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685649">
      <w:pPr>
        <w:keepNext w:val="0"/>
        <w:keepLines w:val="0"/>
        <w:pageBreakBefore w:val="0"/>
        <w:widowControl w:val="0"/>
        <w:tabs>
          <w:tab w:val="left" w:pos="3136"/>
        </w:tabs>
        <w:kinsoku/>
        <w:wordWrap/>
        <w:overflowPunct w:val="0"/>
        <w:topLinePunct/>
        <w:bidi w:val="0"/>
        <w:adjustRightInd w:val="0"/>
        <w:snapToGrid w:val="0"/>
        <w:spacing w:line="560" w:lineRule="exact"/>
        <w:rPr>
          <w:rFonts w:hint="eastAsia" w:ascii="仿宋" w:hAnsi="仿宋" w:eastAsia="仿宋" w:cs="仿宋"/>
          <w:kern w:val="2"/>
          <w:sz w:val="32"/>
          <w:szCs w:val="32"/>
          <w:highlight w:val="none"/>
          <w:lang w:val="en-US" w:eastAsia="zh-CN" w:bidi="ar-SA"/>
        </w:rPr>
      </w:pPr>
      <w:r>
        <w:rPr>
          <w:rFonts w:hint="eastAsia" w:ascii="仿宋" w:hAnsi="仿宋" w:eastAsia="仿宋" w:cs="仿宋"/>
          <w:kern w:val="2"/>
          <w:sz w:val="32"/>
          <w:szCs w:val="32"/>
          <w:highlight w:val="none"/>
          <w:lang w:val="en-US" w:eastAsia="zh-CN" w:bidi="ar-SA"/>
        </w:rPr>
        <w:t>附件1</w:t>
      </w:r>
    </w:p>
    <w:p w14:paraId="437AC0C1">
      <w:pPr>
        <w:pStyle w:val="4"/>
        <w:keepNext w:val="0"/>
        <w:keepLines w:val="0"/>
        <w:pageBreakBefore w:val="0"/>
        <w:widowControl w:val="0"/>
        <w:kinsoku/>
        <w:wordWrap/>
        <w:overflowPunct w:val="0"/>
        <w:topLinePunct w:val="0"/>
        <w:autoSpaceDE w:val="0"/>
        <w:autoSpaceDN w:val="0"/>
        <w:bidi w:val="0"/>
        <w:adjustRightInd w:val="0"/>
        <w:snapToGrid w:val="0"/>
        <w:spacing w:line="560" w:lineRule="exact"/>
        <w:ind w:left="0" w:leftChars="0" w:firstLine="0" w:firstLineChars="0"/>
        <w:textAlignment w:val="baseline"/>
        <w:rPr>
          <w:rFonts w:hint="eastAsia" w:ascii="仿宋_GB2312" w:hAnsi="宋体" w:eastAsia="仿宋_GB2312"/>
          <w:snapToGrid w:val="0"/>
          <w:spacing w:val="0"/>
          <w:kern w:val="0"/>
          <w:sz w:val="32"/>
          <w:szCs w:val="32"/>
          <w:lang w:val="en-US" w:eastAsia="zh-CN"/>
        </w:rPr>
      </w:pPr>
    </w:p>
    <w:p w14:paraId="75012964">
      <w:pPr>
        <w:pStyle w:val="4"/>
        <w:keepNext w:val="0"/>
        <w:keepLines w:val="0"/>
        <w:pageBreakBefore w:val="0"/>
        <w:widowControl w:val="0"/>
        <w:kinsoku/>
        <w:wordWrap/>
        <w:overflowPunct w:val="0"/>
        <w:topLinePunct w:val="0"/>
        <w:autoSpaceDE w:val="0"/>
        <w:autoSpaceDN w:val="0"/>
        <w:bidi w:val="0"/>
        <w:adjustRightInd w:val="0"/>
        <w:snapToGrid w:val="0"/>
        <w:spacing w:line="560" w:lineRule="exact"/>
        <w:ind w:left="0" w:leftChars="0" w:firstLine="0" w:firstLineChars="0"/>
        <w:jc w:val="center"/>
        <w:textAlignment w:val="baseline"/>
        <w:rPr>
          <w:rFonts w:hint="eastAsia" w:ascii="宋体" w:hAnsi="宋体" w:eastAsia="宋体" w:cs="宋体"/>
          <w:b/>
          <w:bCs/>
          <w:snapToGrid w:val="0"/>
          <w:spacing w:val="0"/>
          <w:kern w:val="0"/>
          <w:sz w:val="44"/>
          <w:szCs w:val="44"/>
          <w:lang w:val="en-US" w:eastAsia="zh-CN"/>
        </w:rPr>
      </w:pPr>
      <w:r>
        <w:rPr>
          <w:rFonts w:hint="eastAsia" w:ascii="宋体" w:hAnsi="宋体" w:eastAsia="宋体" w:cs="宋体"/>
          <w:b/>
          <w:bCs/>
          <w:snapToGrid w:val="0"/>
          <w:spacing w:val="0"/>
          <w:kern w:val="0"/>
          <w:sz w:val="44"/>
          <w:szCs w:val="44"/>
          <w:lang w:val="en-US" w:eastAsia="zh-CN"/>
        </w:rPr>
        <w:t>江苏邳州农村商业银行股份有限公司2026年第一次临时股东会会议议程</w:t>
      </w:r>
    </w:p>
    <w:p w14:paraId="2CDA0EA6">
      <w:pPr>
        <w:pStyle w:val="4"/>
        <w:keepNext w:val="0"/>
        <w:keepLines w:val="0"/>
        <w:pageBreakBefore w:val="0"/>
        <w:widowControl w:val="0"/>
        <w:kinsoku/>
        <w:wordWrap/>
        <w:overflowPunct w:val="0"/>
        <w:topLinePunct w:val="0"/>
        <w:autoSpaceDE w:val="0"/>
        <w:autoSpaceDN w:val="0"/>
        <w:bidi w:val="0"/>
        <w:adjustRightInd w:val="0"/>
        <w:snapToGrid w:val="0"/>
        <w:spacing w:line="560" w:lineRule="exact"/>
        <w:ind w:left="0" w:leftChars="0" w:firstLine="640" w:firstLineChars="200"/>
        <w:textAlignment w:val="baseline"/>
        <w:rPr>
          <w:rFonts w:hint="eastAsia" w:ascii="仿宋_GB2312" w:hAnsi="宋体" w:eastAsia="仿宋_GB2312"/>
          <w:snapToGrid w:val="0"/>
          <w:spacing w:val="0"/>
          <w:kern w:val="0"/>
          <w:sz w:val="32"/>
          <w:szCs w:val="32"/>
          <w:lang w:val="en-US" w:eastAsia="zh-CN"/>
        </w:rPr>
      </w:pPr>
    </w:p>
    <w:p w14:paraId="6576DDA7">
      <w:pPr>
        <w:pStyle w:val="4"/>
        <w:keepNext w:val="0"/>
        <w:keepLines w:val="0"/>
        <w:pageBreakBefore w:val="0"/>
        <w:widowControl w:val="0"/>
        <w:kinsoku/>
        <w:wordWrap/>
        <w:overflowPunct w:val="0"/>
        <w:topLinePunct w:val="0"/>
        <w:autoSpaceDE w:val="0"/>
        <w:autoSpaceDN w:val="0"/>
        <w:bidi w:val="0"/>
        <w:adjustRightInd w:val="0"/>
        <w:snapToGrid w:val="0"/>
        <w:spacing w:line="560" w:lineRule="exact"/>
        <w:ind w:left="0" w:leftChars="0" w:firstLine="640" w:firstLineChars="200"/>
        <w:textAlignment w:val="baseline"/>
        <w:rPr>
          <w:rFonts w:hint="eastAsia" w:ascii="仿宋" w:hAnsi="仿宋" w:eastAsia="仿宋" w:cs="仿宋"/>
          <w:sz w:val="32"/>
          <w:szCs w:val="32"/>
          <w:highlight w:val="none"/>
        </w:rPr>
      </w:pPr>
      <w:r>
        <w:rPr>
          <w:rFonts w:hint="eastAsia" w:ascii="仿宋" w:hAnsi="仿宋" w:eastAsia="仿宋" w:cs="仿宋"/>
          <w:sz w:val="32"/>
          <w:szCs w:val="32"/>
          <w:highlight w:val="none"/>
        </w:rPr>
        <w:t>1.审议《关于新设合并组建江苏徐州农村商业银行股份有限公司并取消原法人资格</w:t>
      </w:r>
      <w:r>
        <w:rPr>
          <w:rFonts w:hint="eastAsia" w:ascii="仿宋" w:hAnsi="仿宋" w:eastAsia="仿宋" w:cs="仿宋"/>
          <w:sz w:val="32"/>
          <w:szCs w:val="32"/>
          <w:highlight w:val="none"/>
          <w:lang w:eastAsia="zh-CN"/>
        </w:rPr>
        <w:t>的议案</w:t>
      </w:r>
      <w:r>
        <w:rPr>
          <w:rFonts w:hint="eastAsia" w:ascii="仿宋" w:hAnsi="仿宋" w:eastAsia="仿宋" w:cs="仿宋"/>
          <w:sz w:val="32"/>
          <w:szCs w:val="32"/>
          <w:highlight w:val="none"/>
        </w:rPr>
        <w:t>》；</w:t>
      </w:r>
    </w:p>
    <w:p w14:paraId="1346FABB">
      <w:pPr>
        <w:pStyle w:val="4"/>
        <w:keepNext w:val="0"/>
        <w:keepLines w:val="0"/>
        <w:pageBreakBefore w:val="0"/>
        <w:widowControl w:val="0"/>
        <w:kinsoku/>
        <w:wordWrap/>
        <w:overflowPunct w:val="0"/>
        <w:topLinePunct w:val="0"/>
        <w:autoSpaceDE w:val="0"/>
        <w:autoSpaceDN w:val="0"/>
        <w:bidi w:val="0"/>
        <w:adjustRightInd w:val="0"/>
        <w:snapToGrid w:val="0"/>
        <w:spacing w:line="560" w:lineRule="exact"/>
        <w:ind w:left="0" w:leftChars="0" w:firstLine="640" w:firstLineChars="200"/>
        <w:textAlignment w:val="baseline"/>
        <w:rPr>
          <w:rFonts w:hint="eastAsia" w:ascii="仿宋" w:hAnsi="仿宋" w:eastAsia="仿宋" w:cs="仿宋"/>
          <w:sz w:val="32"/>
          <w:szCs w:val="32"/>
          <w:highlight w:val="none"/>
        </w:rPr>
      </w:pPr>
      <w:r>
        <w:rPr>
          <w:rFonts w:hint="eastAsia" w:ascii="仿宋" w:hAnsi="仿宋" w:eastAsia="仿宋" w:cs="仿宋"/>
          <w:sz w:val="32"/>
          <w:szCs w:val="32"/>
          <w:highlight w:val="none"/>
        </w:rPr>
        <w:t>2.审议《关于新设立的江苏徐州农村商业银行股份有限公司承继原</w:t>
      </w:r>
      <w:r>
        <w:rPr>
          <w:rFonts w:hint="eastAsia" w:ascii="仿宋" w:hAnsi="仿宋" w:eastAsia="仿宋" w:cs="仿宋"/>
          <w:sz w:val="32"/>
          <w:szCs w:val="32"/>
          <w:highlight w:val="none"/>
          <w:lang w:val="en-US" w:eastAsia="zh-CN"/>
        </w:rPr>
        <w:t>江苏邳州</w:t>
      </w:r>
      <w:r>
        <w:rPr>
          <w:rFonts w:hint="eastAsia" w:ascii="仿宋" w:hAnsi="仿宋" w:eastAsia="仿宋" w:cs="仿宋"/>
          <w:sz w:val="32"/>
          <w:szCs w:val="32"/>
          <w:highlight w:val="none"/>
        </w:rPr>
        <w:t>农村商业银行股份有限公司债权债务</w:t>
      </w:r>
      <w:r>
        <w:rPr>
          <w:rFonts w:hint="eastAsia" w:ascii="仿宋" w:hAnsi="仿宋" w:eastAsia="仿宋" w:cs="仿宋"/>
          <w:sz w:val="32"/>
          <w:szCs w:val="32"/>
          <w:highlight w:val="none"/>
          <w:lang w:val="en-US" w:eastAsia="zh-CN"/>
        </w:rPr>
        <w:t>和各项业务</w:t>
      </w:r>
      <w:r>
        <w:rPr>
          <w:rFonts w:hint="eastAsia" w:ascii="仿宋" w:hAnsi="仿宋" w:eastAsia="仿宋" w:cs="仿宋"/>
          <w:sz w:val="32"/>
          <w:szCs w:val="32"/>
          <w:highlight w:val="none"/>
          <w:lang w:eastAsia="zh-CN"/>
        </w:rPr>
        <w:t>的议案</w:t>
      </w:r>
      <w:r>
        <w:rPr>
          <w:rFonts w:hint="eastAsia" w:ascii="仿宋" w:hAnsi="仿宋" w:eastAsia="仿宋" w:cs="仿宋"/>
          <w:sz w:val="32"/>
          <w:szCs w:val="32"/>
          <w:highlight w:val="none"/>
        </w:rPr>
        <w:t>》；</w:t>
      </w:r>
    </w:p>
    <w:p w14:paraId="379DE430">
      <w:pPr>
        <w:pStyle w:val="4"/>
        <w:keepNext w:val="0"/>
        <w:keepLines w:val="0"/>
        <w:pageBreakBefore w:val="0"/>
        <w:widowControl w:val="0"/>
        <w:kinsoku/>
        <w:wordWrap/>
        <w:overflowPunct w:val="0"/>
        <w:topLinePunct w:val="0"/>
        <w:autoSpaceDE w:val="0"/>
        <w:autoSpaceDN w:val="0"/>
        <w:bidi w:val="0"/>
        <w:adjustRightInd w:val="0"/>
        <w:snapToGrid w:val="0"/>
        <w:spacing w:line="560" w:lineRule="exact"/>
        <w:ind w:left="0" w:leftChars="0" w:firstLine="640" w:firstLineChars="200"/>
        <w:textAlignment w:val="baseline"/>
        <w:rPr>
          <w:rFonts w:hint="eastAsia" w:ascii="仿宋" w:hAnsi="仿宋" w:eastAsia="仿宋" w:cs="仿宋"/>
          <w:sz w:val="32"/>
          <w:szCs w:val="32"/>
          <w:highlight w:val="none"/>
        </w:rPr>
      </w:pPr>
      <w:r>
        <w:rPr>
          <w:rFonts w:hint="eastAsia" w:ascii="仿宋" w:hAnsi="仿宋" w:eastAsia="仿宋" w:cs="仿宋"/>
          <w:sz w:val="32"/>
          <w:szCs w:val="32"/>
          <w:highlight w:val="none"/>
        </w:rPr>
        <w:t>3.审议《关于成立江苏徐州农村商业银行股份有限公司筹建工作小组</w:t>
      </w:r>
      <w:r>
        <w:rPr>
          <w:rFonts w:hint="eastAsia" w:ascii="仿宋" w:hAnsi="仿宋" w:eastAsia="仿宋" w:cs="仿宋"/>
          <w:sz w:val="32"/>
          <w:szCs w:val="32"/>
          <w:highlight w:val="none"/>
          <w:lang w:eastAsia="zh-CN"/>
        </w:rPr>
        <w:t>的议案</w:t>
      </w:r>
      <w:r>
        <w:rPr>
          <w:rFonts w:hint="eastAsia" w:ascii="仿宋" w:hAnsi="仿宋" w:eastAsia="仿宋" w:cs="仿宋"/>
          <w:sz w:val="32"/>
          <w:szCs w:val="32"/>
          <w:highlight w:val="none"/>
        </w:rPr>
        <w:t>》；</w:t>
      </w:r>
    </w:p>
    <w:p w14:paraId="34E2458C">
      <w:pPr>
        <w:pStyle w:val="4"/>
        <w:keepNext w:val="0"/>
        <w:keepLines w:val="0"/>
        <w:pageBreakBefore w:val="0"/>
        <w:widowControl w:val="0"/>
        <w:kinsoku/>
        <w:wordWrap/>
        <w:overflowPunct w:val="0"/>
        <w:topLinePunct w:val="0"/>
        <w:autoSpaceDE w:val="0"/>
        <w:autoSpaceDN w:val="0"/>
        <w:bidi w:val="0"/>
        <w:adjustRightInd w:val="0"/>
        <w:snapToGrid w:val="0"/>
        <w:spacing w:line="560" w:lineRule="exact"/>
        <w:ind w:left="0" w:leftChars="0" w:firstLine="640" w:firstLineChars="200"/>
        <w:textAlignment w:val="baseline"/>
        <w:rPr>
          <w:rFonts w:hint="eastAsia" w:ascii="仿宋" w:hAnsi="仿宋" w:eastAsia="仿宋" w:cs="仿宋"/>
          <w:sz w:val="32"/>
          <w:szCs w:val="32"/>
          <w:highlight w:val="none"/>
        </w:rPr>
      </w:pPr>
      <w:r>
        <w:rPr>
          <w:rFonts w:hint="eastAsia" w:ascii="仿宋" w:hAnsi="仿宋" w:eastAsia="仿宋" w:cs="仿宋"/>
          <w:sz w:val="32"/>
          <w:szCs w:val="32"/>
          <w:highlight w:val="none"/>
        </w:rPr>
        <w:t>4.审议《关于江苏徐州农村商业银行股份有限公司筹建工作方案</w:t>
      </w:r>
      <w:r>
        <w:rPr>
          <w:rFonts w:hint="eastAsia" w:ascii="仿宋" w:hAnsi="仿宋" w:eastAsia="仿宋" w:cs="仿宋"/>
          <w:sz w:val="32"/>
          <w:szCs w:val="32"/>
          <w:highlight w:val="none"/>
          <w:lang w:eastAsia="zh-CN"/>
        </w:rPr>
        <w:t>的议案</w:t>
      </w:r>
      <w:r>
        <w:rPr>
          <w:rFonts w:hint="eastAsia" w:ascii="仿宋" w:hAnsi="仿宋" w:eastAsia="仿宋" w:cs="仿宋"/>
          <w:sz w:val="32"/>
          <w:szCs w:val="32"/>
          <w:highlight w:val="none"/>
        </w:rPr>
        <w:t>》；</w:t>
      </w:r>
    </w:p>
    <w:p w14:paraId="29CF8B4B">
      <w:pPr>
        <w:pStyle w:val="4"/>
        <w:keepNext w:val="0"/>
        <w:keepLines w:val="0"/>
        <w:pageBreakBefore w:val="0"/>
        <w:widowControl w:val="0"/>
        <w:kinsoku/>
        <w:wordWrap/>
        <w:overflowPunct w:val="0"/>
        <w:topLinePunct w:val="0"/>
        <w:autoSpaceDE w:val="0"/>
        <w:autoSpaceDN w:val="0"/>
        <w:bidi w:val="0"/>
        <w:adjustRightInd w:val="0"/>
        <w:snapToGrid w:val="0"/>
        <w:spacing w:line="560" w:lineRule="exact"/>
        <w:ind w:left="0" w:leftChars="0" w:firstLine="640" w:firstLineChars="200"/>
        <w:textAlignment w:val="baseline"/>
        <w:rPr>
          <w:rFonts w:hint="eastAsia" w:ascii="仿宋" w:hAnsi="仿宋" w:eastAsia="仿宋" w:cs="仿宋"/>
          <w:sz w:val="32"/>
          <w:szCs w:val="32"/>
          <w:highlight w:val="none"/>
        </w:rPr>
      </w:pPr>
      <w:r>
        <w:rPr>
          <w:rFonts w:hint="eastAsia" w:ascii="仿宋" w:hAnsi="仿宋" w:eastAsia="仿宋" w:cs="仿宋"/>
          <w:sz w:val="32"/>
          <w:szCs w:val="32"/>
          <w:highlight w:val="none"/>
        </w:rPr>
        <w:t>5.审议《关于授权江苏徐州农村商业银行股份有限公司筹建工作小组组织实施〈江苏徐州农村商业银行股份有限公司筹建工作方案〉</w:t>
      </w:r>
      <w:r>
        <w:rPr>
          <w:rFonts w:hint="eastAsia" w:ascii="仿宋" w:hAnsi="仿宋" w:eastAsia="仿宋" w:cs="仿宋"/>
          <w:sz w:val="32"/>
          <w:szCs w:val="32"/>
          <w:highlight w:val="none"/>
          <w:lang w:eastAsia="zh-CN"/>
        </w:rPr>
        <w:t>的议案</w:t>
      </w:r>
      <w:r>
        <w:rPr>
          <w:rFonts w:hint="eastAsia" w:ascii="仿宋" w:hAnsi="仿宋" w:eastAsia="仿宋" w:cs="仿宋"/>
          <w:sz w:val="32"/>
          <w:szCs w:val="32"/>
          <w:highlight w:val="none"/>
        </w:rPr>
        <w:t>》；</w:t>
      </w:r>
    </w:p>
    <w:p w14:paraId="159614C0">
      <w:pPr>
        <w:pStyle w:val="4"/>
        <w:keepNext w:val="0"/>
        <w:keepLines w:val="0"/>
        <w:pageBreakBefore w:val="0"/>
        <w:widowControl w:val="0"/>
        <w:kinsoku/>
        <w:wordWrap/>
        <w:overflowPunct w:val="0"/>
        <w:topLinePunct w:val="0"/>
        <w:autoSpaceDE w:val="0"/>
        <w:autoSpaceDN w:val="0"/>
        <w:bidi w:val="0"/>
        <w:adjustRightInd w:val="0"/>
        <w:snapToGrid w:val="0"/>
        <w:spacing w:line="560" w:lineRule="exact"/>
        <w:ind w:left="0" w:leftChars="0" w:firstLine="640" w:firstLineChars="200"/>
        <w:textAlignment w:val="baseline"/>
        <w:rPr>
          <w:rFonts w:hint="eastAsia" w:ascii="仿宋" w:hAnsi="仿宋" w:eastAsia="仿宋" w:cs="仿宋"/>
          <w:sz w:val="32"/>
          <w:szCs w:val="32"/>
          <w:highlight w:val="none"/>
        </w:rPr>
      </w:pPr>
      <w:r>
        <w:rPr>
          <w:rFonts w:hint="eastAsia" w:ascii="仿宋" w:hAnsi="仿宋" w:eastAsia="仿宋" w:cs="仿宋"/>
          <w:sz w:val="32"/>
          <w:szCs w:val="32"/>
          <w:highlight w:val="none"/>
        </w:rPr>
        <w:t>6.审议《关于</w:t>
      </w:r>
      <w:r>
        <w:rPr>
          <w:rFonts w:hint="eastAsia" w:ascii="仿宋" w:hAnsi="仿宋" w:eastAsia="仿宋" w:cs="仿宋"/>
          <w:sz w:val="32"/>
          <w:szCs w:val="32"/>
          <w:highlight w:val="none"/>
          <w:lang w:val="en-US" w:eastAsia="zh-CN"/>
        </w:rPr>
        <w:t>江苏邳州</w:t>
      </w:r>
      <w:r>
        <w:rPr>
          <w:rFonts w:hint="eastAsia" w:ascii="仿宋" w:hAnsi="仿宋" w:eastAsia="仿宋" w:cs="仿宋"/>
          <w:sz w:val="32"/>
          <w:szCs w:val="32"/>
          <w:highlight w:val="none"/>
        </w:rPr>
        <w:t>农村商业银行股份有限公司清产核资、资产评估和净资产处置工作方案</w:t>
      </w:r>
      <w:r>
        <w:rPr>
          <w:rFonts w:hint="eastAsia" w:ascii="仿宋" w:hAnsi="仿宋" w:eastAsia="仿宋" w:cs="仿宋"/>
          <w:sz w:val="32"/>
          <w:szCs w:val="32"/>
          <w:highlight w:val="none"/>
          <w:lang w:eastAsia="zh-CN"/>
        </w:rPr>
        <w:t>的议案</w:t>
      </w:r>
      <w:r>
        <w:rPr>
          <w:rFonts w:hint="eastAsia" w:ascii="仿宋" w:hAnsi="仿宋" w:eastAsia="仿宋" w:cs="仿宋"/>
          <w:sz w:val="32"/>
          <w:szCs w:val="32"/>
          <w:highlight w:val="none"/>
        </w:rPr>
        <w:t>》；</w:t>
      </w:r>
    </w:p>
    <w:p w14:paraId="2E4CA57E">
      <w:pPr>
        <w:pStyle w:val="4"/>
        <w:keepNext w:val="0"/>
        <w:keepLines w:val="0"/>
        <w:pageBreakBefore w:val="0"/>
        <w:widowControl w:val="0"/>
        <w:kinsoku/>
        <w:wordWrap/>
        <w:overflowPunct w:val="0"/>
        <w:topLinePunct w:val="0"/>
        <w:autoSpaceDE w:val="0"/>
        <w:autoSpaceDN w:val="0"/>
        <w:bidi w:val="0"/>
        <w:adjustRightInd w:val="0"/>
        <w:snapToGrid w:val="0"/>
        <w:spacing w:line="560" w:lineRule="exact"/>
        <w:ind w:left="0" w:leftChars="0" w:firstLine="640" w:firstLineChars="200"/>
        <w:textAlignment w:val="baseline"/>
        <w:rPr>
          <w:rFonts w:hint="eastAsia" w:ascii="仿宋" w:hAnsi="仿宋" w:eastAsia="仿宋" w:cs="仿宋"/>
          <w:sz w:val="32"/>
          <w:szCs w:val="32"/>
          <w:highlight w:val="none"/>
        </w:rPr>
      </w:pPr>
      <w:r>
        <w:rPr>
          <w:rFonts w:hint="eastAsia" w:ascii="仿宋" w:hAnsi="仿宋" w:eastAsia="仿宋" w:cs="仿宋"/>
          <w:sz w:val="32"/>
          <w:szCs w:val="32"/>
          <w:highlight w:val="none"/>
        </w:rPr>
        <w:t>7.审议《关于授权江苏徐州农村商业银行股份有限公司筹建工作小组聘请中介机构进行清产核资、资产评估及提供法律服务</w:t>
      </w:r>
      <w:r>
        <w:rPr>
          <w:rFonts w:hint="eastAsia" w:ascii="仿宋" w:hAnsi="仿宋" w:eastAsia="仿宋" w:cs="仿宋"/>
          <w:sz w:val="32"/>
          <w:szCs w:val="32"/>
          <w:highlight w:val="none"/>
          <w:lang w:eastAsia="zh-CN"/>
        </w:rPr>
        <w:t>的议案</w:t>
      </w:r>
      <w:r>
        <w:rPr>
          <w:rFonts w:hint="eastAsia" w:ascii="仿宋" w:hAnsi="仿宋" w:eastAsia="仿宋" w:cs="仿宋"/>
          <w:sz w:val="32"/>
          <w:szCs w:val="32"/>
          <w:highlight w:val="none"/>
        </w:rPr>
        <w:t>》；</w:t>
      </w:r>
    </w:p>
    <w:p w14:paraId="3AE52C5A">
      <w:pPr>
        <w:pStyle w:val="4"/>
        <w:keepNext w:val="0"/>
        <w:keepLines w:val="0"/>
        <w:pageBreakBefore w:val="0"/>
        <w:widowControl w:val="0"/>
        <w:kinsoku/>
        <w:wordWrap/>
        <w:overflowPunct w:val="0"/>
        <w:topLinePunct w:val="0"/>
        <w:autoSpaceDE w:val="0"/>
        <w:autoSpaceDN w:val="0"/>
        <w:bidi w:val="0"/>
        <w:adjustRightInd w:val="0"/>
        <w:snapToGrid w:val="0"/>
        <w:spacing w:line="560" w:lineRule="exact"/>
        <w:ind w:left="0" w:leftChars="0" w:firstLine="640" w:firstLineChars="200"/>
        <w:textAlignment w:val="baseline"/>
        <w:rPr>
          <w:rFonts w:hint="eastAsia" w:ascii="仿宋" w:hAnsi="仿宋" w:eastAsia="仿宋" w:cs="仿宋"/>
          <w:sz w:val="32"/>
          <w:szCs w:val="32"/>
          <w:highlight w:val="none"/>
        </w:rPr>
      </w:pPr>
      <w:r>
        <w:rPr>
          <w:rFonts w:hint="eastAsia" w:ascii="仿宋" w:hAnsi="仿宋" w:eastAsia="仿宋" w:cs="仿宋"/>
          <w:sz w:val="32"/>
          <w:szCs w:val="32"/>
          <w:highlight w:val="none"/>
        </w:rPr>
        <w:t>8.审议《关于授权江苏徐州农村商业银行股份有限公司筹建工作小组对</w:t>
      </w:r>
      <w:r>
        <w:rPr>
          <w:rFonts w:hint="eastAsia" w:ascii="仿宋" w:hAnsi="仿宋" w:eastAsia="仿宋" w:cs="仿宋"/>
          <w:sz w:val="32"/>
          <w:szCs w:val="32"/>
          <w:highlight w:val="none"/>
          <w:lang w:val="en-US" w:eastAsia="zh-CN"/>
        </w:rPr>
        <w:t>江苏邳州</w:t>
      </w:r>
      <w:r>
        <w:rPr>
          <w:rFonts w:hint="eastAsia" w:ascii="仿宋" w:hAnsi="仿宋" w:eastAsia="仿宋" w:cs="仿宋"/>
          <w:sz w:val="32"/>
          <w:szCs w:val="32"/>
          <w:highlight w:val="none"/>
          <w:lang w:eastAsia="zh-CN"/>
        </w:rPr>
        <w:t>农村商业银行股份有限公司</w:t>
      </w:r>
      <w:r>
        <w:rPr>
          <w:rFonts w:hint="eastAsia" w:ascii="仿宋" w:hAnsi="仿宋" w:eastAsia="仿宋" w:cs="仿宋"/>
          <w:sz w:val="32"/>
          <w:szCs w:val="32"/>
          <w:highlight w:val="none"/>
        </w:rPr>
        <w:t>净资产进行处置</w:t>
      </w:r>
      <w:r>
        <w:rPr>
          <w:rFonts w:hint="eastAsia" w:ascii="仿宋" w:hAnsi="仿宋" w:eastAsia="仿宋" w:cs="仿宋"/>
          <w:sz w:val="32"/>
          <w:szCs w:val="32"/>
          <w:highlight w:val="none"/>
          <w:lang w:eastAsia="zh-CN"/>
        </w:rPr>
        <w:t>的议案</w:t>
      </w:r>
      <w:r>
        <w:rPr>
          <w:rFonts w:hint="eastAsia" w:ascii="仿宋" w:hAnsi="仿宋" w:eastAsia="仿宋" w:cs="仿宋"/>
          <w:sz w:val="32"/>
          <w:szCs w:val="32"/>
          <w:highlight w:val="none"/>
        </w:rPr>
        <w:t>》；</w:t>
      </w:r>
    </w:p>
    <w:p w14:paraId="2691CABF">
      <w:pPr>
        <w:pStyle w:val="4"/>
        <w:keepNext w:val="0"/>
        <w:keepLines w:val="0"/>
        <w:pageBreakBefore w:val="0"/>
        <w:widowControl w:val="0"/>
        <w:kinsoku/>
        <w:wordWrap/>
        <w:overflowPunct w:val="0"/>
        <w:topLinePunct w:val="0"/>
        <w:autoSpaceDE w:val="0"/>
        <w:autoSpaceDN w:val="0"/>
        <w:bidi w:val="0"/>
        <w:adjustRightInd w:val="0"/>
        <w:snapToGrid w:val="0"/>
        <w:spacing w:line="560" w:lineRule="exact"/>
        <w:ind w:left="0" w:leftChars="0" w:firstLine="640" w:firstLineChars="200"/>
        <w:textAlignment w:val="baseline"/>
        <w:rPr>
          <w:rFonts w:hint="eastAsia" w:ascii="仿宋" w:hAnsi="仿宋" w:eastAsia="仿宋" w:cs="仿宋"/>
          <w:sz w:val="32"/>
          <w:szCs w:val="32"/>
          <w:highlight w:val="none"/>
        </w:rPr>
      </w:pPr>
      <w:r>
        <w:rPr>
          <w:rFonts w:hint="eastAsia" w:ascii="仿宋" w:hAnsi="仿宋" w:eastAsia="仿宋" w:cs="仿宋"/>
          <w:sz w:val="32"/>
          <w:szCs w:val="32"/>
          <w:highlight w:val="none"/>
        </w:rPr>
        <w:t>9.审议《关于授权</w:t>
      </w:r>
      <w:r>
        <w:rPr>
          <w:rFonts w:hint="eastAsia" w:ascii="仿宋" w:hAnsi="仿宋" w:eastAsia="仿宋" w:cs="仿宋"/>
          <w:sz w:val="32"/>
          <w:szCs w:val="32"/>
          <w:highlight w:val="none"/>
          <w:lang w:val="en-US" w:eastAsia="zh-CN"/>
        </w:rPr>
        <w:t>江苏邳州</w:t>
      </w:r>
      <w:r>
        <w:rPr>
          <w:rFonts w:hint="eastAsia" w:ascii="仿宋" w:hAnsi="仿宋" w:eastAsia="仿宋" w:cs="仿宋"/>
          <w:sz w:val="32"/>
          <w:szCs w:val="32"/>
          <w:highlight w:val="none"/>
          <w:lang w:eastAsia="zh-CN"/>
        </w:rPr>
        <w:t>农村商业银行股份有限公司</w:t>
      </w:r>
      <w:r>
        <w:rPr>
          <w:rFonts w:hint="eastAsia" w:ascii="仿宋" w:hAnsi="仿宋" w:eastAsia="仿宋" w:cs="仿宋"/>
          <w:sz w:val="32"/>
          <w:szCs w:val="32"/>
          <w:highlight w:val="none"/>
        </w:rPr>
        <w:t>法定代表人出席江苏徐州农村商业银行股份有限公司</w:t>
      </w:r>
      <w:r>
        <w:rPr>
          <w:rFonts w:hint="eastAsia" w:ascii="仿宋" w:hAnsi="仿宋" w:eastAsia="仿宋" w:cs="仿宋"/>
          <w:sz w:val="32"/>
          <w:szCs w:val="32"/>
          <w:highlight w:val="none"/>
          <w:lang w:val="en-US" w:eastAsia="zh-CN"/>
        </w:rPr>
        <w:t>成立</w:t>
      </w:r>
      <w:r>
        <w:rPr>
          <w:rFonts w:hint="eastAsia" w:ascii="仿宋" w:hAnsi="仿宋" w:eastAsia="仿宋" w:cs="仿宋"/>
          <w:sz w:val="32"/>
          <w:szCs w:val="32"/>
          <w:highlight w:val="none"/>
        </w:rPr>
        <w:t>大会暨第一次股东会并签署相关法律文件</w:t>
      </w:r>
      <w:r>
        <w:rPr>
          <w:rFonts w:hint="eastAsia" w:ascii="仿宋" w:hAnsi="仿宋" w:eastAsia="仿宋" w:cs="仿宋"/>
          <w:sz w:val="32"/>
          <w:szCs w:val="32"/>
          <w:highlight w:val="none"/>
          <w:lang w:eastAsia="zh-CN"/>
        </w:rPr>
        <w:t>的议案</w:t>
      </w:r>
      <w:r>
        <w:rPr>
          <w:rFonts w:hint="eastAsia" w:ascii="仿宋" w:hAnsi="仿宋" w:eastAsia="仿宋" w:cs="仿宋"/>
          <w:sz w:val="32"/>
          <w:szCs w:val="32"/>
          <w:highlight w:val="none"/>
        </w:rPr>
        <w:t>》；</w:t>
      </w:r>
    </w:p>
    <w:p w14:paraId="5EF9762D">
      <w:pPr>
        <w:pStyle w:val="4"/>
        <w:keepNext w:val="0"/>
        <w:keepLines w:val="0"/>
        <w:pageBreakBefore w:val="0"/>
        <w:widowControl w:val="0"/>
        <w:kinsoku/>
        <w:wordWrap/>
        <w:overflowPunct w:val="0"/>
        <w:topLinePunct w:val="0"/>
        <w:autoSpaceDE w:val="0"/>
        <w:autoSpaceDN w:val="0"/>
        <w:bidi w:val="0"/>
        <w:adjustRightInd w:val="0"/>
        <w:snapToGrid w:val="0"/>
        <w:spacing w:line="560" w:lineRule="exact"/>
        <w:ind w:left="0" w:leftChars="0" w:firstLine="640" w:firstLineChars="200"/>
        <w:textAlignment w:val="baseline"/>
        <w:rPr>
          <w:rFonts w:hint="eastAsia" w:ascii="仿宋" w:hAnsi="仿宋" w:eastAsia="仿宋" w:cs="仿宋"/>
          <w:sz w:val="32"/>
          <w:szCs w:val="32"/>
          <w:highlight w:val="none"/>
        </w:rPr>
      </w:pPr>
      <w:r>
        <w:rPr>
          <w:rFonts w:hint="eastAsia" w:ascii="仿宋" w:hAnsi="仿宋" w:eastAsia="仿宋" w:cs="仿宋"/>
          <w:sz w:val="32"/>
          <w:szCs w:val="32"/>
          <w:highlight w:val="none"/>
        </w:rPr>
        <w:t>10.审议《关于</w:t>
      </w:r>
      <w:r>
        <w:rPr>
          <w:rFonts w:hint="eastAsia" w:ascii="仿宋" w:hAnsi="仿宋" w:eastAsia="仿宋" w:cs="仿宋"/>
          <w:sz w:val="32"/>
          <w:szCs w:val="32"/>
          <w:highlight w:val="none"/>
          <w:lang w:val="en-US" w:eastAsia="zh-CN"/>
        </w:rPr>
        <w:t>江苏邳州</w:t>
      </w:r>
      <w:r>
        <w:rPr>
          <w:rFonts w:hint="eastAsia" w:ascii="仿宋" w:hAnsi="仿宋" w:eastAsia="仿宋" w:cs="仿宋"/>
          <w:sz w:val="32"/>
          <w:szCs w:val="32"/>
          <w:highlight w:val="none"/>
          <w:lang w:eastAsia="zh-CN"/>
        </w:rPr>
        <w:t>农村商业银行股份有限公司</w:t>
      </w:r>
      <w:r>
        <w:rPr>
          <w:rFonts w:hint="eastAsia" w:ascii="仿宋" w:hAnsi="仿宋" w:eastAsia="仿宋" w:cs="仿宋"/>
          <w:sz w:val="32"/>
          <w:szCs w:val="32"/>
          <w:highlight w:val="none"/>
        </w:rPr>
        <w:t>自清产核资评估基准日至江苏徐州农村商业银行股份有限公司开业期间经营成果处置意见</w:t>
      </w:r>
      <w:r>
        <w:rPr>
          <w:rFonts w:hint="eastAsia" w:ascii="仿宋" w:hAnsi="仿宋" w:eastAsia="仿宋" w:cs="仿宋"/>
          <w:sz w:val="32"/>
          <w:szCs w:val="32"/>
          <w:highlight w:val="none"/>
          <w:lang w:eastAsia="zh-CN"/>
        </w:rPr>
        <w:t>的议案</w:t>
      </w:r>
      <w:r>
        <w:rPr>
          <w:rFonts w:hint="eastAsia" w:ascii="仿宋" w:hAnsi="仿宋" w:eastAsia="仿宋" w:cs="仿宋"/>
          <w:sz w:val="32"/>
          <w:szCs w:val="32"/>
          <w:highlight w:val="none"/>
        </w:rPr>
        <w:t>》；</w:t>
      </w:r>
    </w:p>
    <w:p w14:paraId="3A467748">
      <w:pPr>
        <w:pStyle w:val="4"/>
        <w:keepNext w:val="0"/>
        <w:keepLines w:val="0"/>
        <w:pageBreakBefore w:val="0"/>
        <w:widowControl w:val="0"/>
        <w:kinsoku/>
        <w:wordWrap/>
        <w:overflowPunct w:val="0"/>
        <w:topLinePunct w:val="0"/>
        <w:autoSpaceDE w:val="0"/>
        <w:autoSpaceDN w:val="0"/>
        <w:bidi w:val="0"/>
        <w:adjustRightInd w:val="0"/>
        <w:snapToGrid w:val="0"/>
        <w:spacing w:line="560" w:lineRule="exact"/>
        <w:ind w:left="0" w:leftChars="0" w:firstLine="640" w:firstLineChars="200"/>
        <w:textAlignment w:val="baseline"/>
        <w:rPr>
          <w:rFonts w:hint="eastAsia" w:ascii="仿宋" w:hAnsi="仿宋" w:eastAsia="仿宋" w:cs="仿宋"/>
          <w:sz w:val="32"/>
          <w:szCs w:val="32"/>
          <w:highlight w:val="none"/>
        </w:rPr>
      </w:pPr>
      <w:r>
        <w:rPr>
          <w:rFonts w:hint="eastAsia" w:ascii="仿宋" w:hAnsi="仿宋" w:eastAsia="仿宋" w:cs="仿宋"/>
          <w:sz w:val="32"/>
          <w:szCs w:val="32"/>
          <w:highlight w:val="none"/>
        </w:rPr>
        <w:t>11.审议《关于</w:t>
      </w:r>
      <w:r>
        <w:rPr>
          <w:rFonts w:hint="eastAsia" w:ascii="仿宋" w:hAnsi="仿宋" w:eastAsia="仿宋" w:cs="仿宋"/>
          <w:sz w:val="32"/>
          <w:szCs w:val="32"/>
          <w:highlight w:val="none"/>
          <w:lang w:val="en-US" w:eastAsia="zh-CN"/>
        </w:rPr>
        <w:t>江苏邳州</w:t>
      </w:r>
      <w:r>
        <w:rPr>
          <w:rFonts w:hint="eastAsia" w:ascii="仿宋" w:hAnsi="仿宋" w:eastAsia="仿宋" w:cs="仿宋"/>
          <w:sz w:val="32"/>
          <w:szCs w:val="32"/>
          <w:highlight w:val="none"/>
          <w:lang w:eastAsia="zh-CN"/>
        </w:rPr>
        <w:t>农村商业银行股份有限公司</w:t>
      </w:r>
      <w:r>
        <w:rPr>
          <w:rFonts w:hint="eastAsia" w:ascii="仿宋" w:hAnsi="仿宋" w:eastAsia="仿宋" w:cs="仿宋"/>
          <w:sz w:val="32"/>
          <w:szCs w:val="32"/>
          <w:highlight w:val="none"/>
        </w:rPr>
        <w:t>原股东股金处置方案</w:t>
      </w:r>
      <w:r>
        <w:rPr>
          <w:rFonts w:hint="eastAsia" w:ascii="仿宋" w:hAnsi="仿宋" w:eastAsia="仿宋" w:cs="仿宋"/>
          <w:sz w:val="32"/>
          <w:szCs w:val="32"/>
          <w:highlight w:val="none"/>
          <w:lang w:eastAsia="zh-CN"/>
        </w:rPr>
        <w:t>的议案</w:t>
      </w:r>
      <w:r>
        <w:rPr>
          <w:rFonts w:hint="eastAsia" w:ascii="仿宋" w:hAnsi="仿宋" w:eastAsia="仿宋" w:cs="仿宋"/>
          <w:sz w:val="32"/>
          <w:szCs w:val="32"/>
          <w:highlight w:val="none"/>
        </w:rPr>
        <w:t>》；</w:t>
      </w:r>
    </w:p>
    <w:p w14:paraId="42C50D69">
      <w:pPr>
        <w:pStyle w:val="4"/>
        <w:keepNext w:val="0"/>
        <w:keepLines w:val="0"/>
        <w:pageBreakBefore w:val="0"/>
        <w:widowControl w:val="0"/>
        <w:kinsoku/>
        <w:wordWrap/>
        <w:overflowPunct w:val="0"/>
        <w:topLinePunct w:val="0"/>
        <w:autoSpaceDE w:val="0"/>
        <w:autoSpaceDN w:val="0"/>
        <w:bidi w:val="0"/>
        <w:adjustRightInd w:val="0"/>
        <w:snapToGrid w:val="0"/>
        <w:spacing w:line="560" w:lineRule="exact"/>
        <w:ind w:left="0" w:leftChars="0" w:firstLine="640" w:firstLineChars="200"/>
        <w:textAlignment w:val="baseline"/>
        <w:rPr>
          <w:rFonts w:hint="eastAsia" w:ascii="仿宋" w:hAnsi="仿宋" w:eastAsia="仿宋" w:cs="仿宋"/>
          <w:sz w:val="32"/>
          <w:szCs w:val="32"/>
          <w:highlight w:val="none"/>
        </w:rPr>
      </w:pPr>
      <w:r>
        <w:rPr>
          <w:rFonts w:hint="eastAsia" w:ascii="仿宋" w:hAnsi="仿宋" w:eastAsia="仿宋" w:cs="仿宋"/>
          <w:sz w:val="32"/>
          <w:szCs w:val="32"/>
          <w:highlight w:val="none"/>
        </w:rPr>
        <w:t>12.审议《关于授权江苏徐州农村商业银行股份有限公司筹建工作小组制定并实施</w:t>
      </w:r>
      <w:r>
        <w:rPr>
          <w:rFonts w:hint="eastAsia" w:ascii="仿宋" w:hAnsi="仿宋" w:eastAsia="仿宋" w:cs="仿宋"/>
          <w:color w:val="auto"/>
          <w:sz w:val="32"/>
          <w:szCs w:val="32"/>
          <w:highlight w:val="none"/>
        </w:rPr>
        <w:t>〈江苏徐州农村商业银行股份有限公司征集发起人方案〉</w:t>
      </w:r>
      <w:r>
        <w:rPr>
          <w:rFonts w:hint="eastAsia" w:ascii="仿宋" w:hAnsi="仿宋" w:eastAsia="仿宋" w:cs="仿宋"/>
          <w:sz w:val="32"/>
          <w:szCs w:val="32"/>
          <w:highlight w:val="none"/>
          <w:lang w:eastAsia="zh-CN"/>
        </w:rPr>
        <w:t>的议案</w:t>
      </w:r>
      <w:r>
        <w:rPr>
          <w:rFonts w:hint="eastAsia" w:ascii="仿宋" w:hAnsi="仿宋" w:eastAsia="仿宋" w:cs="仿宋"/>
          <w:sz w:val="32"/>
          <w:szCs w:val="32"/>
          <w:highlight w:val="none"/>
        </w:rPr>
        <w:t>》；</w:t>
      </w:r>
    </w:p>
    <w:p w14:paraId="23155E9C">
      <w:pPr>
        <w:pStyle w:val="4"/>
        <w:keepNext w:val="0"/>
        <w:keepLines w:val="0"/>
        <w:pageBreakBefore w:val="0"/>
        <w:widowControl w:val="0"/>
        <w:kinsoku/>
        <w:wordWrap/>
        <w:overflowPunct w:val="0"/>
        <w:topLinePunct w:val="0"/>
        <w:autoSpaceDE w:val="0"/>
        <w:autoSpaceDN w:val="0"/>
        <w:bidi w:val="0"/>
        <w:adjustRightInd w:val="0"/>
        <w:snapToGrid w:val="0"/>
        <w:spacing w:line="560" w:lineRule="exact"/>
        <w:ind w:left="0" w:leftChars="0" w:firstLine="640" w:firstLineChars="200"/>
        <w:textAlignment w:val="baseline"/>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rPr>
        <w:t>13.</w:t>
      </w:r>
      <w:r>
        <w:rPr>
          <w:rFonts w:hint="eastAsia" w:ascii="仿宋" w:hAnsi="仿宋" w:eastAsia="仿宋" w:cs="仿宋"/>
          <w:sz w:val="32"/>
          <w:szCs w:val="32"/>
          <w:highlight w:val="none"/>
          <w:lang w:val="en-US" w:eastAsia="zh-CN"/>
        </w:rPr>
        <w:t>审议《</w:t>
      </w:r>
      <w:r>
        <w:rPr>
          <w:rFonts w:hint="eastAsia" w:ascii="仿宋" w:hAnsi="仿宋" w:eastAsia="仿宋" w:cs="仿宋"/>
          <w:sz w:val="32"/>
          <w:szCs w:val="32"/>
          <w:highlight w:val="none"/>
        </w:rPr>
        <w:t>关于</w:t>
      </w:r>
      <w:r>
        <w:rPr>
          <w:rFonts w:hint="eastAsia" w:ascii="仿宋" w:hAnsi="仿宋" w:eastAsia="仿宋" w:cs="仿宋"/>
          <w:sz w:val="32"/>
          <w:szCs w:val="32"/>
          <w:highlight w:val="none"/>
          <w:lang w:val="en-US" w:eastAsia="zh-CN"/>
        </w:rPr>
        <w:t>江苏邳州</w:t>
      </w:r>
      <w:r>
        <w:rPr>
          <w:rFonts w:hint="eastAsia" w:ascii="仿宋" w:hAnsi="仿宋" w:eastAsia="仿宋" w:cs="仿宋"/>
          <w:sz w:val="32"/>
          <w:szCs w:val="32"/>
          <w:highlight w:val="none"/>
          <w:lang w:eastAsia="zh-CN"/>
        </w:rPr>
        <w:t>农村商业银行股份有限公司</w:t>
      </w:r>
      <w:r>
        <w:rPr>
          <w:rFonts w:hint="eastAsia" w:ascii="仿宋" w:hAnsi="仿宋" w:eastAsia="仿宋" w:cs="仿宋"/>
          <w:sz w:val="32"/>
          <w:szCs w:val="32"/>
          <w:highlight w:val="none"/>
        </w:rPr>
        <w:t>2025年度</w:t>
      </w:r>
      <w:r>
        <w:rPr>
          <w:rFonts w:hint="eastAsia" w:ascii="仿宋" w:hAnsi="仿宋" w:eastAsia="仿宋" w:cs="仿宋"/>
          <w:sz w:val="32"/>
          <w:szCs w:val="32"/>
          <w:highlight w:val="none"/>
          <w:lang w:val="en-US" w:eastAsia="zh-CN"/>
        </w:rPr>
        <w:t>利润分配</w:t>
      </w:r>
      <w:r>
        <w:rPr>
          <w:rFonts w:hint="eastAsia" w:ascii="仿宋" w:hAnsi="仿宋" w:eastAsia="仿宋" w:cs="仿宋"/>
          <w:sz w:val="32"/>
          <w:szCs w:val="32"/>
          <w:highlight w:val="none"/>
        </w:rPr>
        <w:t>的议案</w:t>
      </w:r>
      <w:r>
        <w:rPr>
          <w:rFonts w:hint="eastAsia" w:ascii="仿宋" w:hAnsi="仿宋" w:eastAsia="仿宋" w:cs="仿宋"/>
          <w:sz w:val="32"/>
          <w:szCs w:val="32"/>
          <w:highlight w:val="none"/>
          <w:lang w:val="en-US" w:eastAsia="zh-CN"/>
        </w:rPr>
        <w:t>》；</w:t>
      </w:r>
    </w:p>
    <w:p w14:paraId="40F6D12B">
      <w:pPr>
        <w:keepNext w:val="0"/>
        <w:keepLines w:val="0"/>
        <w:pageBreakBefore w:val="0"/>
        <w:widowControl w:val="0"/>
        <w:kinsoku/>
        <w:wordWrap/>
        <w:overflowPunct w:val="0"/>
        <w:topLinePunct/>
        <w:bidi w:val="0"/>
        <w:spacing w:line="560" w:lineRule="exact"/>
        <w:ind w:left="0" w:leftChars="0" w:firstLine="640" w:firstLineChars="200"/>
        <w:rPr>
          <w:rFonts w:hint="eastAsia" w:ascii="仿宋" w:hAnsi="仿宋" w:eastAsia="仿宋" w:cs="仿宋"/>
          <w:sz w:val="32"/>
          <w:szCs w:val="32"/>
          <w:highlight w:val="none"/>
          <w:lang w:eastAsia="zh-CN"/>
        </w:rPr>
      </w:pPr>
      <w:r>
        <w:rPr>
          <w:rFonts w:hint="eastAsia" w:ascii="仿宋" w:hAnsi="仿宋" w:eastAsia="仿宋" w:cs="仿宋"/>
          <w:sz w:val="32"/>
          <w:szCs w:val="32"/>
          <w:highlight w:val="none"/>
        </w:rPr>
        <w:t>1</w:t>
      </w:r>
      <w:r>
        <w:rPr>
          <w:rFonts w:hint="eastAsia" w:ascii="仿宋" w:hAnsi="仿宋" w:eastAsia="仿宋" w:cs="仿宋"/>
          <w:sz w:val="32"/>
          <w:szCs w:val="32"/>
          <w:highlight w:val="none"/>
          <w:lang w:val="en-US" w:eastAsia="zh-CN"/>
        </w:rPr>
        <w:t>4</w:t>
      </w:r>
      <w:r>
        <w:rPr>
          <w:rFonts w:hint="eastAsia" w:ascii="仿宋" w:hAnsi="仿宋" w:eastAsia="仿宋" w:cs="仿宋"/>
          <w:sz w:val="32"/>
          <w:szCs w:val="32"/>
          <w:highlight w:val="none"/>
        </w:rPr>
        <w:t>.审议《关于</w:t>
      </w:r>
      <w:r>
        <w:rPr>
          <w:rFonts w:hint="eastAsia" w:ascii="仿宋" w:hAnsi="仿宋" w:eastAsia="仿宋" w:cs="仿宋"/>
          <w:sz w:val="32"/>
          <w:szCs w:val="32"/>
          <w:highlight w:val="none"/>
          <w:lang w:val="en-US" w:eastAsia="zh-CN"/>
        </w:rPr>
        <w:t>江苏邳州</w:t>
      </w:r>
      <w:r>
        <w:rPr>
          <w:rFonts w:hint="eastAsia" w:ascii="仿宋" w:hAnsi="仿宋" w:eastAsia="仿宋" w:cs="仿宋"/>
          <w:sz w:val="32"/>
          <w:szCs w:val="32"/>
          <w:highlight w:val="none"/>
          <w:lang w:eastAsia="zh-CN"/>
        </w:rPr>
        <w:t>农村商业银行股份有限公司</w:t>
      </w:r>
      <w:r>
        <w:rPr>
          <w:rFonts w:hint="eastAsia" w:ascii="仿宋" w:hAnsi="仿宋" w:eastAsia="仿宋" w:cs="仿宋"/>
          <w:sz w:val="32"/>
          <w:szCs w:val="32"/>
          <w:highlight w:val="none"/>
        </w:rPr>
        <w:t>2025年度股金分红的议案》</w:t>
      </w:r>
      <w:r>
        <w:rPr>
          <w:rFonts w:hint="eastAsia" w:ascii="仿宋" w:hAnsi="仿宋" w:eastAsia="仿宋" w:cs="仿宋"/>
          <w:sz w:val="32"/>
          <w:szCs w:val="32"/>
          <w:highlight w:val="none"/>
          <w:lang w:eastAsia="zh-CN"/>
        </w:rPr>
        <w:t>；</w:t>
      </w:r>
    </w:p>
    <w:p w14:paraId="34465B01">
      <w:pPr>
        <w:keepNext w:val="0"/>
        <w:keepLines w:val="0"/>
        <w:pageBreakBefore w:val="0"/>
        <w:widowControl w:val="0"/>
        <w:tabs>
          <w:tab w:val="left" w:pos="3136"/>
        </w:tabs>
        <w:kinsoku/>
        <w:wordWrap/>
        <w:overflowPunct w:val="0"/>
        <w:topLinePunct/>
        <w:bidi w:val="0"/>
        <w:adjustRightInd w:val="0"/>
        <w:snapToGrid w:val="0"/>
        <w:spacing w:line="560" w:lineRule="exact"/>
        <w:ind w:left="0" w:leftChars="0" w:firstLine="640" w:firstLineChars="200"/>
        <w:rPr>
          <w:rFonts w:hint="eastAsia" w:ascii="仿宋" w:hAnsi="仿宋" w:eastAsia="仿宋" w:cs="仿宋"/>
          <w:snapToGrid w:val="0"/>
          <w:kern w:val="0"/>
          <w:sz w:val="32"/>
          <w:szCs w:val="32"/>
        </w:rPr>
      </w:pPr>
      <w:r>
        <w:rPr>
          <w:rFonts w:hint="eastAsia" w:ascii="仿宋" w:hAnsi="仿宋" w:eastAsia="仿宋" w:cs="仿宋"/>
          <w:sz w:val="32"/>
          <w:szCs w:val="32"/>
          <w:lang w:val="en-US" w:eastAsia="zh-CN"/>
        </w:rPr>
        <w:t>15</w:t>
      </w:r>
      <w:r>
        <w:rPr>
          <w:rFonts w:hint="eastAsia" w:ascii="仿宋" w:hAnsi="仿宋" w:eastAsia="仿宋" w:cs="仿宋"/>
          <w:sz w:val="32"/>
          <w:szCs w:val="32"/>
        </w:rPr>
        <w:t>.</w:t>
      </w:r>
      <w:r>
        <w:rPr>
          <w:rFonts w:hint="eastAsia" w:ascii="仿宋" w:hAnsi="仿宋" w:eastAsia="仿宋" w:cs="仿宋"/>
          <w:snapToGrid w:val="0"/>
          <w:kern w:val="0"/>
          <w:sz w:val="32"/>
          <w:szCs w:val="32"/>
        </w:rPr>
        <w:t>大会表决；</w:t>
      </w:r>
    </w:p>
    <w:p w14:paraId="1485DD85">
      <w:pPr>
        <w:keepNext w:val="0"/>
        <w:keepLines w:val="0"/>
        <w:pageBreakBefore w:val="0"/>
        <w:widowControl w:val="0"/>
        <w:tabs>
          <w:tab w:val="left" w:pos="3136"/>
        </w:tabs>
        <w:kinsoku/>
        <w:wordWrap/>
        <w:overflowPunct w:val="0"/>
        <w:topLinePunct/>
        <w:bidi w:val="0"/>
        <w:adjustRightInd w:val="0"/>
        <w:snapToGrid w:val="0"/>
        <w:spacing w:line="560" w:lineRule="exact"/>
        <w:ind w:left="0" w:leftChars="0" w:firstLine="640" w:firstLineChars="200"/>
        <w:rPr>
          <w:rFonts w:hint="eastAsia" w:ascii="仿宋" w:hAnsi="仿宋" w:eastAsia="仿宋" w:cs="仿宋"/>
          <w:snapToGrid w:val="0"/>
          <w:kern w:val="0"/>
          <w:sz w:val="32"/>
          <w:szCs w:val="32"/>
        </w:rPr>
      </w:pPr>
      <w:r>
        <w:rPr>
          <w:rFonts w:hint="eastAsia" w:ascii="仿宋" w:hAnsi="仿宋" w:eastAsia="仿宋" w:cs="仿宋"/>
          <w:sz w:val="32"/>
          <w:szCs w:val="32"/>
          <w:lang w:val="en-US" w:eastAsia="zh-CN"/>
        </w:rPr>
        <w:t>16</w:t>
      </w:r>
      <w:r>
        <w:rPr>
          <w:rFonts w:hint="eastAsia" w:ascii="仿宋" w:hAnsi="仿宋" w:eastAsia="仿宋" w:cs="仿宋"/>
          <w:sz w:val="32"/>
          <w:szCs w:val="32"/>
        </w:rPr>
        <w:t>.</w:t>
      </w:r>
      <w:r>
        <w:rPr>
          <w:rFonts w:hint="eastAsia" w:ascii="仿宋" w:hAnsi="仿宋" w:eastAsia="仿宋" w:cs="仿宋"/>
          <w:snapToGrid w:val="0"/>
          <w:kern w:val="0"/>
          <w:sz w:val="32"/>
          <w:szCs w:val="32"/>
        </w:rPr>
        <w:t>大会决议；</w:t>
      </w:r>
      <w:bookmarkStart w:id="0" w:name="_GoBack"/>
      <w:bookmarkEnd w:id="0"/>
    </w:p>
    <w:p w14:paraId="7C803EB9">
      <w:pPr>
        <w:keepNext w:val="0"/>
        <w:keepLines w:val="0"/>
        <w:pageBreakBefore w:val="0"/>
        <w:widowControl w:val="0"/>
        <w:tabs>
          <w:tab w:val="left" w:pos="3136"/>
        </w:tabs>
        <w:kinsoku/>
        <w:wordWrap/>
        <w:overflowPunct w:val="0"/>
        <w:topLinePunct/>
        <w:bidi w:val="0"/>
        <w:adjustRightInd w:val="0"/>
        <w:snapToGrid w:val="0"/>
        <w:spacing w:line="560" w:lineRule="exact"/>
        <w:ind w:left="0" w:leftChars="0" w:firstLine="640" w:firstLineChars="200"/>
        <w:rPr>
          <w:rFonts w:hint="eastAsia" w:ascii="仿宋" w:hAnsi="仿宋" w:eastAsia="仿宋" w:cs="仿宋"/>
        </w:rPr>
      </w:pPr>
      <w:r>
        <w:rPr>
          <w:rFonts w:hint="eastAsia" w:ascii="仿宋" w:hAnsi="仿宋" w:eastAsia="仿宋" w:cs="仿宋"/>
          <w:sz w:val="32"/>
          <w:szCs w:val="32"/>
          <w:lang w:val="en-US" w:eastAsia="zh-CN"/>
        </w:rPr>
        <w:t>17</w:t>
      </w:r>
      <w:r>
        <w:rPr>
          <w:rFonts w:hint="eastAsia" w:ascii="仿宋" w:hAnsi="仿宋" w:eastAsia="仿宋" w:cs="仿宋"/>
          <w:sz w:val="32"/>
          <w:szCs w:val="32"/>
        </w:rPr>
        <w:t>.</w:t>
      </w:r>
      <w:r>
        <w:rPr>
          <w:rFonts w:hint="eastAsia" w:ascii="仿宋" w:hAnsi="仿宋" w:eastAsia="仿宋" w:cs="仿宋"/>
          <w:snapToGrid w:val="0"/>
          <w:kern w:val="0"/>
          <w:sz w:val="32"/>
          <w:szCs w:val="32"/>
        </w:rPr>
        <w:t>律师见证。</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KSOFE44F9426">
    <w:panose1 w:val="02010609060101010101"/>
    <w:charset w:val="86"/>
    <w:family w:val="auto"/>
    <w:pitch w:val="default"/>
    <w:sig w:usb0="00000001"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KSOF8235D1FC">
    <w:panose1 w:val="020B0703020204020201"/>
    <w:charset w:val="86"/>
    <w:family w:val="auto"/>
    <w:pitch w:val="default"/>
    <w:sig w:usb0="00000001"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067803"/>
    <w:rsid w:val="10067803"/>
    <w:rsid w:val="3AEB4D0D"/>
    <w:rsid w:val="76C761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三级1"/>
    <w:next w:val="3"/>
    <w:qFormat/>
    <w:uiPriority w:val="0"/>
    <w:pPr>
      <w:ind w:left="2422" w:hanging="720"/>
    </w:pPr>
    <w:rPr>
      <w:rFonts w:ascii="宋体" w:hAnsi="宋体" w:cs="Times New Roman" w:eastAsiaTheme="minorEastAsia"/>
      <w:spacing w:val="10"/>
      <w:sz w:val="32"/>
      <w:lang w:val="en-US" w:eastAsia="zh-CN" w:bidi="ar-SA"/>
    </w:rPr>
  </w:style>
  <w:style w:type="paragraph" w:styleId="3">
    <w:name w:val="Title"/>
    <w:qFormat/>
    <w:uiPriority w:val="0"/>
    <w:pPr>
      <w:widowControl w:val="0"/>
      <w:spacing w:before="240" w:after="60"/>
      <w:jc w:val="center"/>
      <w:outlineLvl w:val="0"/>
    </w:pPr>
    <w:rPr>
      <w:rFonts w:ascii="Times New Roman" w:hAnsi="Times New Roman" w:eastAsia="宋体" w:cs="Times New Roman"/>
      <w:bCs/>
      <w:kern w:val="2"/>
      <w:sz w:val="32"/>
      <w:szCs w:val="32"/>
      <w:lang w:val="en-US" w:eastAsia="zh-CN" w:bidi="ar-SA"/>
    </w:rPr>
  </w:style>
  <w:style w:type="paragraph" w:styleId="4">
    <w:name w:val="Normal Indent"/>
    <w:basedOn w:val="1"/>
    <w:next w:val="1"/>
    <w:unhideWhenUsed/>
    <w:qFormat/>
    <w:uiPriority w:val="99"/>
    <w:pPr>
      <w:ind w:firstLine="420"/>
    </w:pPr>
    <w:rPr>
      <w:sz w:val="28"/>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718</Words>
  <Characters>758</Characters>
  <Lines>0</Lines>
  <Paragraphs>0</Paragraphs>
  <TotalTime>3</TotalTime>
  <ScaleCrop>false</ScaleCrop>
  <LinksUpToDate>false</LinksUpToDate>
  <CharactersWithSpaces>758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2026-02-13T09:11:00Z</dcterms:created>
  <dc:creator>ARS</dc:creator>
  <cp:lastModifiedBy>孙琳</cp:lastModifiedBy>
  <dcterms:modified xsi:type="dcterms:W3CDTF">2026-02-13T11:02:26Z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38D077521A754F2FB055A53022287D7E_11</vt:lpwstr>
  </property>
  <property fmtid="{D5CDD505-2E9C-101B-9397-08002B2CF9AE}" pid="4" name="KSOTemplateDocerSaveRecord">
    <vt:lpwstr>eyJoZGlkIjoiMGIxNmYyMWY4NWE5ZjBhZGY5YmQxNTkxMTUxYjc4Y2YiLCJ1c2VySWQiOiIxMDI2Nzk3NTg0In0=</vt:lpwstr>
  </property>
</Properties>
</file>