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xsi="http://www.w3.org/2001/XMLSchema-instance">
  <w:body>
    <w:p w:rsidR="00FD04DE" w:rsidRDefault="00FD04DE" w:rsidP="00651A79">
      <w:pPr>
        <w:spacing w:before="240" w:afterLines="30" w:line="360" w:lineRule="auto"/>
        <w:jc w:val="center"/>
      </w:pPr>
    </w:p>
    <w:p w:rsidR="00FD04DE" w:rsidRDefault="00FD04DE" w:rsidP="00651A79">
      <w:pPr>
        <w:spacing w:before="240" w:afterLines="30" w:line="360" w:lineRule="auto"/>
        <w:jc w:val="center"/>
      </w:pPr>
    </w:p>
    <w:p w:rsidR="00FD04DE" w:rsidRDefault="00FD04DE" w:rsidP="00651A79">
      <w:pPr>
        <w:spacing w:before="240" w:afterLines="30" w:line="360" w:lineRule="auto"/>
        <w:jc w:val="center"/>
      </w:pPr>
    </w:p>
    <w:p w:rsidR="00FD04DE" w:rsidRDefault="0068117A" w:rsidP="00651A79">
      <w:pPr>
        <w:spacing w:before="240" w:afterLines="30" w:line="360" w:lineRule="auto"/>
        <w:jc w:val="center"/>
        <w:rPr>
          <w:rFonts w:ascii="方正黑体简体" w:eastAsia="方正黑体简体"/>
          <w:sz w:val="36"/>
        </w:rPr>
      </w:pPr>
      <w:r>
        <w:rPr>
          <w:rFonts w:ascii="方正黑体简体" w:eastAsia="方正黑体简体"/>
          <w:sz w:val="36"/>
        </w:rPr>
        <w:t>南银理财添瑞日日聚宝2号现金管理类公募人民币理财产品</w:t>
      </w:r>
    </w:p>
    <w:p w:rsidR="00FD04DE" w:rsidRDefault="0068117A" w:rsidP="00651A79">
      <w:pPr>
        <w:spacing w:before="240" w:afterLines="30" w:line="360" w:lineRule="auto"/>
        <w:jc w:val="center"/>
        <w:rPr>
          <w:rFonts w:ascii="方正黑体简体" w:eastAsia="方正黑体简体" w:hAnsi="黑体"/>
          <w:sz w:val="36"/>
        </w:rPr>
      </w:pPr>
      <w:r>
        <w:rPr>
          <w:rFonts w:ascii="方正黑体简体" w:eastAsia="方正黑体简体" w:hAnsi="黑体"/>
          <w:sz w:val="36"/>
        </w:rPr>
        <w:t>2025年半</w:t>
      </w:r>
      <w:r>
        <w:rPr>
          <w:rFonts w:ascii="方正黑体简体" w:eastAsia="方正黑体简体" w:hAnsi="Calibri" w:hint="eastAsia"/>
          <w:sz w:val="36"/>
        </w:rPr>
        <w:t>年度</w:t>
      </w:r>
      <w:r>
        <w:rPr>
          <w:rFonts w:ascii="方正黑体简体" w:eastAsia="方正黑体简体" w:hAnsi="黑体"/>
          <w:sz w:val="36"/>
        </w:rPr>
        <w:t>报告</w:t>
      </w:r>
    </w:p>
    <w:p w:rsidR="00FD04DE" w:rsidRDefault="00FD04DE" w:rsidP="00651A79">
      <w:pPr>
        <w:spacing w:before="240" w:afterLines="30" w:line="360" w:lineRule="auto"/>
        <w:jc w:val="center"/>
        <w:rPr>
          <w:rFonts w:ascii="黑体" w:eastAsia="黑体" w:hAnsi="黑体"/>
          <w:sz w:val="36"/>
        </w:rPr>
      </w:pPr>
    </w:p>
    <w:p w:rsidR="00FD04DE" w:rsidRDefault="00FD04DE" w:rsidP="00651A79">
      <w:pPr>
        <w:spacing w:before="240" w:afterLines="30" w:line="360" w:lineRule="auto"/>
        <w:jc w:val="center"/>
        <w:rPr>
          <w:rFonts w:ascii="黑体" w:eastAsia="黑体" w:hAnsi="黑体"/>
          <w:sz w:val="36"/>
        </w:rPr>
      </w:pPr>
    </w:p>
    <w:p w:rsidR="00FD04DE" w:rsidRDefault="00FD04DE" w:rsidP="00651A79">
      <w:pPr>
        <w:spacing w:before="240" w:afterLines="30" w:line="360" w:lineRule="auto"/>
        <w:jc w:val="center"/>
        <w:rPr>
          <w:rFonts w:ascii="黑体" w:eastAsia="黑体" w:hAnsi="黑体"/>
          <w:sz w:val="36"/>
        </w:rPr>
      </w:pPr>
    </w:p>
    <w:p w:rsidR="00FD04DE" w:rsidRDefault="00FD04DE" w:rsidP="00651A79">
      <w:pPr>
        <w:spacing w:before="240" w:afterLines="30" w:line="360" w:lineRule="auto"/>
        <w:jc w:val="center"/>
        <w:rPr>
          <w:rFonts w:ascii="黑体" w:eastAsia="黑体" w:hAnsi="黑体"/>
          <w:sz w:val="36"/>
        </w:rPr>
      </w:pPr>
    </w:p>
    <w:p w:rsidR="00FD04DE" w:rsidRDefault="00FD04DE" w:rsidP="00651A79">
      <w:pPr>
        <w:spacing w:before="240" w:afterLines="30" w:line="360" w:lineRule="auto"/>
        <w:jc w:val="center"/>
        <w:rPr>
          <w:rFonts w:ascii="黑体" w:eastAsia="黑体" w:hAnsi="黑体"/>
          <w:sz w:val="36"/>
        </w:rPr>
      </w:pPr>
    </w:p>
    <w:p w:rsidR="00FD04DE" w:rsidRDefault="00FD04DE" w:rsidP="00651A79">
      <w:pPr>
        <w:spacing w:before="240" w:afterLines="30" w:line="360" w:lineRule="auto"/>
        <w:jc w:val="center"/>
        <w:rPr>
          <w:rFonts w:ascii="黑体" w:eastAsia="黑体" w:hAnsi="黑体"/>
          <w:sz w:val="36"/>
        </w:rPr>
      </w:pPr>
    </w:p>
    <w:p w:rsidR="00FD04DE" w:rsidRDefault="0068117A" w:rsidP="00651A79">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产品管理人:</w:t>
      </w:r>
      <w:r>
        <w:rPr>
          <w:rFonts w:ascii="方正仿宋简体" w:eastAsia="方正仿宋简体"/>
          <w:b/>
          <w:sz w:val="24"/>
          <w:szCs w:val="24"/>
        </w:rPr>
        <w:t>南银理财有限责任公司</w:t>
      </w:r>
    </w:p>
    <w:p w:rsidR="00FD04DE" w:rsidRDefault="0068117A" w:rsidP="00651A79">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产品托管人:</w:t>
      </w:r>
      <w:r>
        <w:rPr>
          <w:rFonts w:ascii="方正仿宋简体" w:eastAsia="方正仿宋简体"/>
          <w:b/>
          <w:sz w:val="24"/>
          <w:szCs w:val="24"/>
        </w:rPr>
        <w:t>南京银行股份有限公司</w:t>
      </w:r>
    </w:p>
    <w:p w:rsidR="00FD04DE" w:rsidRDefault="0068117A">
      <w:pPr>
        <w:widowControl/>
        <w:jc w:val="left"/>
        <w:rPr>
          <w:rFonts w:ascii="方正仿宋简体" w:eastAsia="方正仿宋简体"/>
        </w:rPr>
      </w:pPr>
      <w:r>
        <w:rPr>
          <w:rFonts w:ascii="方正仿宋简体" w:eastAsia="方正仿宋简体"/>
        </w:rPr>
        <w:br w:type="page"/>
      </w:r>
    </w:p>
    <w:p w:rsidR="00FD04DE" w:rsidRDefault="0068117A" w:rsidP="00651A79">
      <w:pPr>
        <w:spacing w:before="240" w:afterLines="30" w:line="360" w:lineRule="auto"/>
        <w:jc w:val="center"/>
        <w:rPr>
          <w:rFonts w:ascii="方正仿宋简体" w:eastAsia="方正仿宋简体"/>
        </w:rPr>
      </w:pPr>
      <w:r>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2724"/>
        <w:gridCol w:w="6094"/>
      </w:tblGrid>
      <w:tr w:rsidR="00FD04DE">
        <w:tc>
          <w:tcPr>
            <w:tcW w:w="272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产品全称</w:t>
            </w:r>
          </w:p>
        </w:tc>
        <w:tc>
          <w:tcPr>
            <w:tcW w:w="609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南银理财添瑞日日聚宝2号现金管理类公募人民币理财产品</w:t>
            </w:r>
          </w:p>
        </w:tc>
      </w:tr>
      <w:tr w:rsidR="00FD04DE">
        <w:tc>
          <w:tcPr>
            <w:tcW w:w="272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产品登记编码</w:t>
            </w:r>
          </w:p>
        </w:tc>
        <w:tc>
          <w:tcPr>
            <w:tcW w:w="609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Z7003223000067（投资者可依据该编码在中国理财网www.chinawealth.com.cn查询理财产品相关信息）</w:t>
            </w:r>
          </w:p>
        </w:tc>
      </w:tr>
      <w:tr w:rsidR="00FD04DE">
        <w:tc>
          <w:tcPr>
            <w:tcW w:w="272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产品运作方式</w:t>
            </w:r>
          </w:p>
        </w:tc>
        <w:tc>
          <w:tcPr>
            <w:tcW w:w="609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开放式净值型</w:t>
            </w:r>
          </w:p>
        </w:tc>
      </w:tr>
      <w:tr w:rsidR="00FD04DE">
        <w:tc>
          <w:tcPr>
            <w:tcW w:w="272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产品成立日</w:t>
            </w:r>
          </w:p>
        </w:tc>
        <w:tc>
          <w:tcPr>
            <w:tcW w:w="609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2023年04月04日</w:t>
            </w:r>
          </w:p>
        </w:tc>
      </w:tr>
      <w:tr w:rsidR="00FD04DE">
        <w:tc>
          <w:tcPr>
            <w:tcW w:w="272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报告期末产品份额总额</w:t>
            </w:r>
          </w:p>
        </w:tc>
        <w:tc>
          <w:tcPr>
            <w:tcW w:w="609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3,137,255,341.74份</w:t>
            </w:r>
          </w:p>
        </w:tc>
      </w:tr>
      <w:tr w:rsidR="00FD04DE">
        <w:tc>
          <w:tcPr>
            <w:tcW w:w="272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报告期末产品杠杆水平</w:t>
            </w:r>
          </w:p>
        </w:tc>
        <w:tc>
          <w:tcPr>
            <w:tcW w:w="609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sz w:val="24"/>
                <w:szCs w:val="24"/>
              </w:rPr>
              <w:t>100.05%</w:t>
            </w:r>
          </w:p>
        </w:tc>
      </w:tr>
      <w:tr w:rsidR="00FD04DE">
        <w:tc>
          <w:tcPr>
            <w:tcW w:w="272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合作机构</w:t>
            </w:r>
          </w:p>
        </w:tc>
        <w:tc>
          <w:tcPr>
            <w:tcW w:w="609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中诚信托有限责任公司,华润深国投信托有限公司,光大永明资产管理股份有限公司</w:t>
            </w:r>
          </w:p>
        </w:tc>
      </w:tr>
      <w:tr w:rsidR="00FD04DE">
        <w:tc>
          <w:tcPr>
            <w:tcW w:w="272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产品管理人</w:t>
            </w:r>
          </w:p>
        </w:tc>
        <w:tc>
          <w:tcPr>
            <w:tcW w:w="609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南银理财有限责任公司</w:t>
            </w:r>
          </w:p>
        </w:tc>
      </w:tr>
      <w:tr w:rsidR="00FD04DE">
        <w:tc>
          <w:tcPr>
            <w:tcW w:w="272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产品托管人</w:t>
            </w:r>
          </w:p>
        </w:tc>
        <w:tc>
          <w:tcPr>
            <w:tcW w:w="6094" w:type="dxa"/>
            <w:vAlign w:val="center"/>
          </w:tcPr>
          <w:p w:rsidR="00FD04DE" w:rsidRDefault="0068117A" w:rsidP="00651A79">
            <w:pPr>
              <w:spacing w:beforeLines="20" w:afterLines="20"/>
              <w:jc w:val="left"/>
              <w:rPr>
                <w:rFonts w:ascii="方正仿宋简体" w:eastAsia="方正仿宋简体"/>
                <w:sz w:val="24"/>
                <w:szCs w:val="24"/>
              </w:rPr>
            </w:pPr>
            <w:r>
              <w:rPr>
                <w:rFonts w:ascii="方正仿宋简体" w:eastAsia="方正仿宋简体" w:hint="eastAsia"/>
                <w:sz w:val="24"/>
                <w:szCs w:val="24"/>
              </w:rPr>
              <w:t>南京银行股份有限公司</w:t>
            </w:r>
          </w:p>
        </w:tc>
      </w:tr>
    </w:tbl>
    <w:p w:rsidR="00FD04DE" w:rsidRDefault="00FD04DE" w:rsidP="00651A79">
      <w:pPr>
        <w:spacing w:before="240" w:afterLines="30" w:line="360" w:lineRule="auto"/>
        <w:rPr>
          <w:rFonts w:ascii="方正仿宋简体" w:eastAsia="方正仿宋简体" w:hAnsi="Calibri"/>
          <w:sz w:val="24"/>
          <w:szCs w:val="24"/>
        </w:rPr>
      </w:pPr>
    </w:p>
    <w:p w:rsidR="00FD04DE" w:rsidRDefault="0068117A" w:rsidP="00651A79">
      <w:pPr>
        <w:spacing w:before="240" w:afterLines="30" w:line="360" w:lineRule="auto"/>
        <w:jc w:val="center"/>
        <w:rPr>
          <w:rFonts w:ascii="方正仿宋简体" w:eastAsia="方正仿宋简体"/>
          <w:b/>
          <w:sz w:val="24"/>
          <w:szCs w:val="24"/>
        </w:rPr>
      </w:pPr>
      <w:r>
        <w:rPr>
          <w:rFonts w:ascii="方正仿宋简体" w:eastAsia="方正仿宋简体" w:hAnsi="Calibri" w:hint="eastAsia"/>
          <w:b/>
          <w:sz w:val="24"/>
          <w:szCs w:val="24"/>
        </w:rPr>
        <w:t>§2  主要财务指标</w:t>
      </w:r>
    </w:p>
    <w:p w:rsidR="00FD04DE" w:rsidRDefault="0068117A" w:rsidP="00651A79">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2.1 主要财务指标</w:t>
      </w:r>
    </w:p>
    <w:p w:rsidR="00FD04DE" w:rsidRDefault="0068117A" w:rsidP="00651A79">
      <w:pPr>
        <w:spacing w:before="240" w:afterLines="30" w:line="360" w:lineRule="auto"/>
        <w:jc w:val="right"/>
        <w:rPr>
          <w:rFonts w:ascii="方正仿宋简体" w:eastAsia="方正仿宋简体" w:cs="宋体"/>
          <w:kern w:val="0"/>
          <w:sz w:val="24"/>
          <w:szCs w:val="24"/>
        </w:rPr>
      </w:pPr>
      <w:r>
        <w:rPr>
          <w:rFonts w:ascii="方正仿宋简体" w:eastAsia="方正仿宋简体" w:cs="宋体" w:hint="eastAsia"/>
          <w:kern w:val="0"/>
          <w:sz w:val="24"/>
          <w:szCs w:val="24"/>
        </w:rPr>
        <w:t>单位：人民币元</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1271"/>
        <w:gridCol w:w="2693"/>
        <w:gridCol w:w="1563"/>
        <w:gridCol w:w="1556"/>
        <w:gridCol w:w="1819"/>
      </w:tblGrid>
      <w:tr w:rsidR="00FD04DE">
        <w:tc>
          <w:tcPr>
            <w:tcW w:w="1271" w:type="dxa"/>
            <w:vMerge w:val="restart"/>
            <w:vAlign w:val="center"/>
          </w:tcPr>
          <w:p w:rsidR="00FD04DE" w:rsidRDefault="0068117A" w:rsidP="00651A79">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内部销售代码</w:t>
            </w:r>
          </w:p>
        </w:tc>
        <w:tc>
          <w:tcPr>
            <w:tcW w:w="7631" w:type="dxa"/>
            <w:gridSpan w:val="4"/>
            <w:vAlign w:val="center"/>
          </w:tcPr>
          <w:p w:rsidR="00FD04DE" w:rsidRDefault="0068117A" w:rsidP="00651A79">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报告期（2025年01月01日 - 2025年06月30日）</w:t>
            </w:r>
          </w:p>
        </w:tc>
      </w:tr>
      <w:tr w:rsidR="00FD04DE">
        <w:trPr>
          <w:trHeight w:val="835"/>
        </w:trPr>
        <w:tc>
          <w:tcPr>
            <w:tcW w:w="1271" w:type="dxa"/>
            <w:vMerge/>
            <w:vAlign w:val="center"/>
          </w:tcPr>
          <w:p w:rsidR="00FD04DE" w:rsidRDefault="00FD04DE" w:rsidP="00651A79">
            <w:pPr>
              <w:spacing w:beforeLines="20" w:afterLines="20"/>
              <w:jc w:val="center"/>
              <w:rPr>
                <w:rFonts w:ascii="方正仿宋简体" w:eastAsia="方正仿宋简体"/>
                <w:sz w:val="24"/>
                <w:szCs w:val="24"/>
                <w:shd w:val="clear" w:color="auto" w:fill="FFFFFF"/>
              </w:rPr>
            </w:pPr>
          </w:p>
        </w:tc>
        <w:tc>
          <w:tcPr>
            <w:tcW w:w="2693" w:type="dxa"/>
            <w:vAlign w:val="center"/>
          </w:tcPr>
          <w:p w:rsidR="00FD04DE" w:rsidRDefault="0068117A" w:rsidP="00651A79">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1.期末产品最后一个市场交易日资产净值</w:t>
            </w:r>
          </w:p>
        </w:tc>
        <w:tc>
          <w:tcPr>
            <w:tcW w:w="1563" w:type="dxa"/>
            <w:vAlign w:val="center"/>
          </w:tcPr>
          <w:p w:rsidR="00FD04DE" w:rsidRDefault="0068117A" w:rsidP="00651A79">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2.期末产品最后一个市场交易日份额净值</w:t>
            </w:r>
          </w:p>
        </w:tc>
        <w:tc>
          <w:tcPr>
            <w:tcW w:w="1556" w:type="dxa"/>
            <w:vAlign w:val="center"/>
          </w:tcPr>
          <w:p w:rsidR="00FD04DE" w:rsidRDefault="0068117A" w:rsidP="00651A79">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3.期末产品最后一个市场交易日份额累计净值</w:t>
            </w:r>
          </w:p>
        </w:tc>
        <w:tc>
          <w:tcPr>
            <w:tcW w:w="1819" w:type="dxa"/>
            <w:vAlign w:val="center"/>
          </w:tcPr>
          <w:p w:rsidR="00FD04DE" w:rsidRDefault="0068117A" w:rsidP="00651A79">
            <w:pPr>
              <w:spacing w:beforeLines="20" w:afterLines="20"/>
              <w:jc w:val="center"/>
              <w:rPr>
                <w:rFonts w:ascii="方正仿宋简体" w:eastAsia="方正仿宋简体"/>
                <w:sz w:val="24"/>
                <w:szCs w:val="24"/>
                <w:shd w:val="clear" w:color="auto" w:fill="FFFFFF"/>
              </w:rPr>
            </w:pPr>
            <w:r>
              <w:rPr>
                <w:rFonts w:ascii="方正仿宋简体" w:eastAsia="方正仿宋简体" w:hint="eastAsia"/>
                <w:sz w:val="24"/>
                <w:szCs w:val="24"/>
                <w:shd w:val="clear" w:color="auto" w:fill="FFFFFF"/>
              </w:rPr>
              <w:t>4.其它费用</w:t>
            </w:r>
          </w:p>
        </w:tc>
      </w:tr>
      <w:tr>
        <w:trPr xsi:nil="true"/>
        <w:tc>
          <w:tcPr>
            <w:tcW w:w="127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A20003</w:t>
            </w:r>
          </w:p>
        </w:tc>
        <w:tc>
          <w:tcPr>
            <w:tcW w:w="269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333,538,582.16</w:t>
            </w:r>
          </w:p>
        </w:tc>
        <w:tc>
          <w:tcPr>
            <w:tcW w:w="156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556"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819"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8,484.00</w:t>
            </w:r>
          </w:p>
        </w:tc>
      </w:tr>
      <w:tr>
        <w:trPr xsi:nil="true"/>
        <w:tc>
          <w:tcPr>
            <w:tcW w:w="127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A21003</w:t>
            </w:r>
          </w:p>
        </w:tc>
        <w:tc>
          <w:tcPr>
            <w:tcW w:w="269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211,682,015.11</w:t>
            </w:r>
          </w:p>
        </w:tc>
        <w:tc>
          <w:tcPr>
            <w:tcW w:w="156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556"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819"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xsi:nil="true"/>
        <w:tc>
          <w:tcPr>
            <w:tcW w:w="127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A21103</w:t>
            </w:r>
          </w:p>
        </w:tc>
        <w:tc>
          <w:tcPr>
            <w:tcW w:w="269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1,139,964,437.62</w:t>
            </w:r>
          </w:p>
        </w:tc>
        <w:tc>
          <w:tcPr>
            <w:tcW w:w="156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556"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819"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xsi:nil="true"/>
        <w:tc>
          <w:tcPr>
            <w:tcW w:w="127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A21203</w:t>
            </w:r>
          </w:p>
        </w:tc>
        <w:tc>
          <w:tcPr>
            <w:tcW w:w="269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270,773,342.35</w:t>
            </w:r>
          </w:p>
        </w:tc>
        <w:tc>
          <w:tcPr>
            <w:tcW w:w="156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556"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819"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xsi:nil="true"/>
        <w:tc>
          <w:tcPr>
            <w:tcW w:w="127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A23003</w:t>
            </w:r>
          </w:p>
        </w:tc>
        <w:tc>
          <w:tcPr>
            <w:tcW w:w="269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247,292,042.95</w:t>
            </w:r>
          </w:p>
        </w:tc>
        <w:tc>
          <w:tcPr>
            <w:tcW w:w="156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556"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819"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xsi:nil="true"/>
        <w:tc>
          <w:tcPr>
            <w:tcW w:w="127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A24003</w:t>
            </w:r>
          </w:p>
        </w:tc>
        <w:tc>
          <w:tcPr>
            <w:tcW w:w="269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381,644,058.63</w:t>
            </w:r>
          </w:p>
        </w:tc>
        <w:tc>
          <w:tcPr>
            <w:tcW w:w="156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556"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819"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xsi:nil="true"/>
        <w:tc>
          <w:tcPr>
            <w:tcW w:w="127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A26003</w:t>
            </w:r>
          </w:p>
        </w:tc>
        <w:tc>
          <w:tcPr>
            <w:tcW w:w="269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4,277,777.96</w:t>
            </w:r>
          </w:p>
        </w:tc>
        <w:tc>
          <w:tcPr>
            <w:tcW w:w="156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556"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819"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xsi:nil="true"/>
        <w:tc>
          <w:tcPr>
            <w:tcW w:w="127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A27003</w:t>
            </w:r>
          </w:p>
        </w:tc>
        <w:tc>
          <w:tcPr>
            <w:tcW w:w="269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548,081,815.75</w:t>
            </w:r>
          </w:p>
        </w:tc>
        <w:tc>
          <w:tcPr>
            <w:tcW w:w="156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556"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819"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xsi:nil="true"/>
        <w:tc>
          <w:tcPr>
            <w:tcW w:w="127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A28003</w:t>
            </w:r>
          </w:p>
        </w:tc>
        <w:tc>
          <w:tcPr>
            <w:tcW w:w="269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1,269.21</w:t>
            </w:r>
          </w:p>
        </w:tc>
        <w:tc>
          <w:tcPr>
            <w:tcW w:w="156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556"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1.0000</w:t>
            </w:r>
          </w:p>
        </w:tc>
        <w:tc>
          <w:tcPr>
            <w:tcW w:w="1819"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D04DE" w:rsidRDefault="0068117A" w:rsidP="00651A79">
      <w:pPr>
        <w:spacing w:before="240" w:afterLines="30" w:line="360" w:lineRule="auto"/>
        <w:rPr>
          <w:rFonts w:ascii="方正仿宋简体" w:eastAsia="方正仿宋简体"/>
          <w:sz w:val="24"/>
          <w:szCs w:val="24"/>
        </w:rPr>
      </w:pPr>
      <w:r>
        <w:rPr>
          <w:rFonts w:ascii="方正仿宋简体" w:eastAsia="方正仿宋简体" w:hint="eastAsia"/>
          <w:sz w:val="24"/>
          <w:szCs w:val="24"/>
        </w:rPr>
        <w:t>注：产品净值可能存在未扣除管理人及投资合作机构业绩报酬、赎回费等费用（如有）</w:t>
      </w:r>
      <w:r>
        <w:rPr>
          <w:rFonts w:ascii="方正仿宋简体" w:eastAsia="方正仿宋简体" w:hint="eastAsia"/>
          <w:sz w:val="24"/>
          <w:szCs w:val="24"/>
        </w:rPr>
        <w:lastRenderedPageBreak/>
        <w:t>的情况，实际收益以兑付为准。</w:t>
      </w:r>
    </w:p>
    <w:p w:rsidR="00FD04DE" w:rsidRDefault="00FD04DE" w:rsidP="00651A79">
      <w:pPr>
        <w:spacing w:before="240" w:afterLines="30" w:line="360" w:lineRule="auto"/>
        <w:rPr>
          <w:rFonts w:ascii="方正仿宋简体" w:eastAsia="方正仿宋简体" w:hAnsi="宋体" w:cs="宋体"/>
          <w:kern w:val="0"/>
          <w:sz w:val="24"/>
          <w:szCs w:val="24"/>
        </w:rPr>
      </w:pPr>
    </w:p>
    <w:p w:rsidR="00FD04DE" w:rsidRDefault="0068117A" w:rsidP="00651A79">
      <w:pPr>
        <w:spacing w:before="240" w:afterLines="30" w:line="360" w:lineRule="auto"/>
        <w:jc w:val="center"/>
        <w:rPr>
          <w:rFonts w:ascii="方正仿宋简体" w:eastAsia="方正仿宋简体"/>
          <w:b/>
          <w:sz w:val="24"/>
          <w:szCs w:val="24"/>
        </w:rPr>
      </w:pPr>
      <w:r>
        <w:rPr>
          <w:rFonts w:ascii="方正仿宋简体" w:eastAsia="方正仿宋简体" w:hAnsi="Calibri" w:hint="eastAsia"/>
          <w:b/>
          <w:sz w:val="24"/>
          <w:szCs w:val="24"/>
        </w:rPr>
        <w:t>§3  管理人报告</w:t>
      </w:r>
    </w:p>
    <w:p w:rsidR="00FD04DE" w:rsidRDefault="0068117A" w:rsidP="00651A79">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3.1 报告期内产品的投资策略和运作分析</w:t>
      </w:r>
    </w:p>
    <w:p w:rsidR="00FD04DE" w:rsidRDefault="0068117A" w:rsidP="00651A79">
      <w:pPr>
        <w:spacing w:before="240" w:afterLines="30" w:line="360" w:lineRule="auto"/>
        <w:rPr>
          <w:rFonts w:ascii="方正仿宋简体" w:eastAsia="方正仿宋简体"/>
          <w:sz w:val="24"/>
          <w:szCs w:val="24"/>
        </w:rPr>
      </w:pPr>
      <w:r>
        <w:rPr>
          <w:rFonts w:ascii="方正仿宋简体" w:eastAsia="方正仿宋简体" w:hint="eastAsia"/>
          <w:sz w:val="24"/>
          <w:szCs w:val="24"/>
        </w:rPr>
        <w:t>  二季度外部压力上升，推动宽货币政策落地，债市收益率整体下行。4月初美国“对等关税”超预期落地，引发市场风险偏好调整，宽货币预期随之升温并在5月落地，债券收益率快速下行，收益率曲线平坦化下移。此后利率低位震荡，市场情绪受关税谈判、政府债供给、银行负债端压力等多方因素中反复扰动，但在资金面宽松背景下基本保持平稳态势。截至6月30日，10年国债到期收益率由季初高点1.81%下行至1.65%。</w:t>
        <w:br w:type="textWrapping" w:clear="all"/>
      </w:r>
      <w:r>
        <w:rPr>
          <w:rFonts w:ascii="方正仿宋简体" w:eastAsia="方正仿宋简体" w:hint="eastAsia"/>
          <w:sz w:val="24"/>
          <w:szCs w:val="24"/>
        </w:rPr>
        <w:t>  展望后市，一方面当前抢出口脉冲效应对经济的支撑力度渐弱，内需呈现弱修复态势，物价持续低位运行，另一方面市场流动性充裕，资金价格平稳，债市总体处于偏顺风环境。后续关注中美关税谈判、重要会议预期、机构情绪波动等因素带来的市场变动，把握新的投资机会。</w:t>
        <w:br w:type="textWrapping" w:clear="all"/>
      </w:r>
      <w:r>
        <w:rPr>
          <w:rFonts w:ascii="方正仿宋简体" w:eastAsia="方正仿宋简体" w:hint="eastAsia"/>
          <w:sz w:val="24"/>
          <w:szCs w:val="24"/>
        </w:rPr>
        <w:t>  操作方面，产品延续了稳健的投资风格，积极加大对存款、存单和高等级信用债等高流动性资产的配置力度，不断优化资产结构。未来将继续在保证流动性安全、守住信用风险底线的基础上，强化资产获取能力，为客户提供稳定的收益回报，提升客户体验。</w:t>
      </w:r>
      <w:r>
        <w:rPr>
          <w:rFonts w:ascii="方正仿宋简体" w:eastAsia="方正仿宋简体" w:hint="eastAsia"/>
          <w:sz w:val="24"/>
          <w:szCs w:val="24"/>
        </w:rPr>
        <w:t/>
      </w:r>
    </w:p>
    <w:p w:rsidR="00FD04DE" w:rsidRDefault="0068117A" w:rsidP="00651A79">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3.2 报告期内产品的流动性风险分析</w:t>
      </w:r>
    </w:p>
    <w:p w:rsidR="00FD04DE" w:rsidRDefault="0068117A" w:rsidP="00651A79">
      <w:pPr>
        <w:spacing w:before="240" w:afterLines="30" w:line="360" w:lineRule="auto"/>
        <w:rPr>
          <w:rFonts w:ascii="方正仿宋简体" w:eastAsia="方正仿宋简体"/>
          <w:sz w:val="24"/>
          <w:szCs w:val="24"/>
        </w:rPr>
      </w:pPr>
      <w:r>
        <w:rPr>
          <w:rFonts w:ascii="方正仿宋简体" w:eastAsia="方正仿宋简体" w:hint="eastAsia"/>
          <w:sz w:val="24"/>
          <w:szCs w:val="24"/>
        </w:rPr>
        <w:t>  下阶段产品将继续保持稳健的投资风格，在风险可控的前提下灵活运用杠杆。同时关注市场各关键时点资金波动情况，做好流动性预判和资产到期分布安排，提前做好应对方案，防范流动性风险。</w:t>
      </w:r>
    </w:p>
    <w:p w:rsidR="00FD04DE" w:rsidRDefault="0068117A" w:rsidP="00651A79">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3.3 报告期内产品的业绩表现</w:t>
      </w:r>
    </w:p>
    <w:p w:rsidR="00FD04DE" w:rsidRDefault="0068117A" w:rsidP="00651A79">
      <w:pPr>
        <w:spacing w:before="240" w:afterLines="30" w:line="360" w:lineRule="auto"/>
        <w:ind w:firstLineChars="200" w:firstLine="480"/>
        <w:rPr>
          <w:rFonts w:ascii="方正仿宋简体" w:eastAsia="方正仿宋简体"/>
          <w:sz w:val="24"/>
          <w:szCs w:val="24"/>
        </w:rPr>
      </w:pPr>
      <w:r>
        <w:rPr>
          <w:rFonts w:ascii="方正仿宋简体" w:eastAsia="方正仿宋简体" w:hint="eastAsia"/>
          <w:sz w:val="24"/>
          <w:szCs w:val="24"/>
        </w:rPr>
        <w:t>截至报告期末，本产品A20003份额净值为1.0000元，A21003份额净值为1.0000元，A21103份额净值为1.0000元，A21203份额净值为1.0000元，A23003份额净值为1.0000元，A24003份额净值为1.0000元，A26003份额净值为1.0000元，A27003份额净值为1.0000元，A28003份额净值为1.0000元。</w:t>
      </w:r>
    </w:p>
    <w:p w:rsidR="00FD04DE" w:rsidRDefault="00FD04DE" w:rsidP="00651A79">
      <w:pPr>
        <w:spacing w:before="240" w:afterLines="30" w:line="360" w:lineRule="auto"/>
        <w:rPr>
          <w:rFonts w:ascii="方正仿宋简体" w:eastAsia="方正仿宋简体" w:hAnsi="宋体" w:cs="宋体"/>
          <w:kern w:val="0"/>
          <w:sz w:val="24"/>
          <w:szCs w:val="24"/>
        </w:rPr>
      </w:pPr>
    </w:p>
    <w:p w:rsidR="00FD04DE" w:rsidRDefault="0068117A" w:rsidP="00651A79">
      <w:pPr>
        <w:spacing w:before="240" w:afterLines="30" w:line="360" w:lineRule="auto"/>
        <w:jc w:val="center"/>
        <w:rPr>
          <w:rFonts w:ascii="方正仿宋简体" w:eastAsia="方正仿宋简体" w:hAnsi="Calibri"/>
          <w:b/>
          <w:sz w:val="24"/>
          <w:szCs w:val="24"/>
        </w:rPr>
      </w:pPr>
      <w:r>
        <w:rPr>
          <w:rFonts w:ascii="方正仿宋简体" w:eastAsia="方正仿宋简体" w:hAnsi="Calibri" w:hint="eastAsia"/>
          <w:b/>
          <w:sz w:val="24"/>
          <w:szCs w:val="24"/>
        </w:rPr>
        <w:t>§4  托管人报告</w:t>
      </w:r>
    </w:p>
    <w:p w:rsidR="00FD04DE" w:rsidRDefault="0068117A" w:rsidP="00651A79">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4.1报告期内托管人遵规守信情况声明</w:t>
      </w:r>
    </w:p>
    <w:p w:rsidR="00FD04DE" w:rsidRDefault="0068117A" w:rsidP="00651A79">
      <w:pPr>
        <w:spacing w:before="240" w:afterLines="30" w:line="360" w:lineRule="auto"/>
        <w:rPr>
          <w:rFonts w:ascii="方正仿宋简体" w:eastAsia="方正仿宋简体"/>
          <w:sz w:val="24"/>
          <w:szCs w:val="24"/>
        </w:rPr>
      </w:pPr>
      <w:r>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在报告期内产品的投资运作进行了认真、独立的会计核算和必要的投资监督，认真履行了托管人的义务，没有从事任何损害产品份额持有人利益的行为。</w:t>
      </w:r>
    </w:p>
    <w:p w:rsidR="00FD04DE" w:rsidRDefault="0068117A" w:rsidP="00651A79">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4.2 托管人对报告期内投资运作遵规守信、净值计算、利润分配等情况的说明</w:t>
      </w:r>
    </w:p>
    <w:p w:rsidR="00FD04DE" w:rsidRDefault="0068117A" w:rsidP="00651A79">
      <w:pPr>
        <w:spacing w:before="240" w:afterLines="30" w:line="360" w:lineRule="auto"/>
        <w:rPr>
          <w:rFonts w:ascii="方正仿宋简体" w:eastAsia="方正仿宋简体"/>
          <w:sz w:val="24"/>
          <w:szCs w:val="24"/>
        </w:rPr>
      </w:pPr>
      <w:r>
        <w:rPr>
          <w:rFonts w:ascii="方正仿宋简体" w:eastAsia="方正仿宋简体" w:hint="eastAsia"/>
          <w:sz w:val="24"/>
          <w:szCs w:val="24"/>
        </w:rPr>
        <w:t>  本托管人认为,管理人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D04DE" w:rsidRDefault="0068117A" w:rsidP="00651A79">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4.3 托管人对本报告期内报告中财务信息等内容的真实、准确和完整发表意见</w:t>
      </w:r>
    </w:p>
    <w:p w:rsidR="00FD04DE" w:rsidRDefault="0068117A" w:rsidP="00651A79">
      <w:pPr>
        <w:spacing w:before="240" w:afterLines="30" w:line="360" w:lineRule="auto"/>
        <w:rPr>
          <w:rFonts w:ascii="方正仿宋简体" w:eastAsia="方正仿宋简体"/>
          <w:sz w:val="24"/>
          <w:szCs w:val="24"/>
        </w:rPr>
      </w:pPr>
      <w:r>
        <w:rPr>
          <w:rFonts w:ascii="方正仿宋简体" w:eastAsia="方正仿宋简体" w:hint="eastAsia"/>
          <w:sz w:val="24"/>
          <w:szCs w:val="24"/>
        </w:rPr>
        <w:t>  本托管人认为，管理人的信息披露事务符合《商业银行理财子公司管理办法》及其他相关法律法规的规定，产品管理人所编制和披露的本产品报告中的财务指标、净值表现等信息真实、准确、完整，未发现有损害产品持有人利益的行为。</w:t>
      </w:r>
    </w:p>
    <w:p w:rsidR="00FD04DE" w:rsidRDefault="00FD04DE" w:rsidP="00651A79">
      <w:pPr>
        <w:spacing w:before="240" w:afterLines="30" w:line="360" w:lineRule="auto"/>
        <w:rPr>
          <w:rFonts w:ascii="方正仿宋简体" w:eastAsia="方正仿宋简体"/>
          <w:sz w:val="24"/>
          <w:szCs w:val="24"/>
        </w:rPr>
      </w:pPr>
    </w:p>
    <w:p w:rsidR="00FD04DE" w:rsidRDefault="0068117A" w:rsidP="00651A79">
      <w:pPr>
        <w:spacing w:before="240" w:afterLines="30" w:line="360" w:lineRule="auto"/>
        <w:jc w:val="center"/>
        <w:rPr>
          <w:rFonts w:ascii="方正仿宋简体" w:eastAsia="方正仿宋简体"/>
          <w:b/>
          <w:sz w:val="24"/>
          <w:szCs w:val="24"/>
        </w:rPr>
      </w:pPr>
      <w:r>
        <w:rPr>
          <w:rFonts w:ascii="方正仿宋简体" w:eastAsia="方正仿宋简体" w:hAnsi="Calibri" w:hint="eastAsia"/>
          <w:b/>
          <w:sz w:val="24"/>
          <w:szCs w:val="24"/>
        </w:rPr>
        <w:t>§5  投资组合报告</w:t>
      </w:r>
    </w:p>
    <w:p w:rsidR="00FD04DE" w:rsidRDefault="0068117A" w:rsidP="00651A79">
      <w:pPr>
        <w:spacing w:before="240" w:afterLines="30" w:line="360" w:lineRule="auto"/>
        <w:rPr>
          <w:rFonts w:ascii="方正仿宋简体" w:eastAsia="方正仿宋简体"/>
          <w:b/>
          <w:sz w:val="24"/>
          <w:szCs w:val="24"/>
        </w:rPr>
      </w:pPr>
      <w:r>
        <w:rPr>
          <w:rFonts w:ascii="方正仿宋简体" w:eastAsia="方正仿宋简体" w:hint="eastAsia"/>
          <w:b/>
          <w:sz w:val="24"/>
          <w:szCs w:val="24"/>
        </w:rPr>
        <w:t>5.1 报告期末产品资产组合情况</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745"/>
        <w:gridCol w:w="1861"/>
        <w:gridCol w:w="3004"/>
        <w:gridCol w:w="3292"/>
      </w:tblGrid>
      <w:tr w:rsidR="00FD04DE">
        <w:trPr>
          <w:jc w:val="center"/>
        </w:trPr>
        <w:tc>
          <w:tcPr>
            <w:tcW w:w="745" w:type="dxa"/>
            <w:vAlign w:val="bottom"/>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861" w:type="dxa"/>
            <w:vAlign w:val="bottom"/>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资产类别</w:t>
            </w:r>
          </w:p>
        </w:tc>
        <w:tc>
          <w:tcPr>
            <w:tcW w:w="3004"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穿透前占总资产比例</w:t>
            </w:r>
          </w:p>
        </w:tc>
        <w:tc>
          <w:tcPr>
            <w:tcW w:w="3292"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穿透后占总资产比例</w:t>
            </w:r>
          </w:p>
        </w:tc>
      </w:tr>
      <w:tr w:rsidR="00FD04DE">
        <w:trPr>
          <w:jc w:val="center"/>
        </w:trPr>
        <w:tc>
          <w:tcPr>
            <w:tcW w:w="745" w:type="dxa"/>
            <w:vAlign w:val="bottom"/>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w:t>
            </w:r>
          </w:p>
        </w:tc>
        <w:tc>
          <w:tcPr>
            <w:tcW w:w="1861" w:type="dxa"/>
            <w:vAlign w:val="bottom"/>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固定收益类</w:t>
            </w:r>
          </w:p>
        </w:tc>
        <w:tc>
          <w:tcPr>
            <w:tcW w:w="3004"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100.00</w:t>
            </w:r>
            <w:r>
              <w:rPr>
                <w:rFonts w:ascii="方正仿宋简体" w:eastAsia="方正仿宋简体" w:hAnsiTheme="minorEastAsia"/>
                <w:sz w:val="24"/>
                <w:szCs w:val="24"/>
              </w:rPr>
              <w:t>%</w:t>
            </w:r>
          </w:p>
        </w:tc>
        <w:tc>
          <w:tcPr>
            <w:tcW w:w="3292"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100.00</w:t>
            </w:r>
            <w:r>
              <w:rPr>
                <w:rFonts w:ascii="方正仿宋简体" w:eastAsia="方正仿宋简体" w:hAnsiTheme="minorEastAsia"/>
                <w:sz w:val="24"/>
                <w:szCs w:val="24"/>
              </w:rPr>
              <w:t>%</w:t>
            </w:r>
          </w:p>
        </w:tc>
      </w:tr>
      <w:tr w:rsidR="00FD04DE">
        <w:trPr>
          <w:jc w:val="center"/>
        </w:trPr>
        <w:tc>
          <w:tcPr>
            <w:tcW w:w="745" w:type="dxa"/>
            <w:vAlign w:val="bottom"/>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2</w:t>
            </w:r>
          </w:p>
        </w:tc>
        <w:tc>
          <w:tcPr>
            <w:tcW w:w="1861" w:type="dxa"/>
            <w:vAlign w:val="bottom"/>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权益类</w:t>
            </w:r>
          </w:p>
        </w:tc>
        <w:tc>
          <w:tcPr>
            <w:tcW w:w="3004"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c>
          <w:tcPr>
            <w:tcW w:w="3292"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r>
      <w:tr w:rsidR="00FD04DE">
        <w:trPr>
          <w:jc w:val="center"/>
        </w:trPr>
        <w:tc>
          <w:tcPr>
            <w:tcW w:w="745" w:type="dxa"/>
            <w:vAlign w:val="bottom"/>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3</w:t>
            </w:r>
          </w:p>
        </w:tc>
        <w:tc>
          <w:tcPr>
            <w:tcW w:w="1861" w:type="dxa"/>
            <w:vAlign w:val="bottom"/>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商品及金融衍生品类</w:t>
            </w:r>
          </w:p>
        </w:tc>
        <w:tc>
          <w:tcPr>
            <w:tcW w:w="3004"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c>
          <w:tcPr>
            <w:tcW w:w="3292"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r>
      <w:tr w:rsidR="00FD04DE">
        <w:trPr>
          <w:jc w:val="center"/>
        </w:trPr>
        <w:tc>
          <w:tcPr>
            <w:tcW w:w="745" w:type="dxa"/>
            <w:vAlign w:val="bottom"/>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4</w:t>
            </w:r>
          </w:p>
        </w:tc>
        <w:tc>
          <w:tcPr>
            <w:tcW w:w="1861" w:type="dxa"/>
            <w:vAlign w:val="bottom"/>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混合类</w:t>
            </w:r>
          </w:p>
        </w:tc>
        <w:tc>
          <w:tcPr>
            <w:tcW w:w="3004"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c>
          <w:tcPr>
            <w:tcW w:w="3292"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0.00</w:t>
            </w:r>
            <w:r>
              <w:rPr>
                <w:rFonts w:ascii="方正仿宋简体" w:eastAsia="方正仿宋简体" w:hAnsiTheme="minorEastAsia"/>
                <w:sz w:val="24"/>
                <w:szCs w:val="24"/>
              </w:rPr>
              <w:t>%</w:t>
            </w:r>
          </w:p>
        </w:tc>
      </w:tr>
      <w:tr w:rsidR="00FD04DE">
        <w:trPr>
          <w:jc w:val="center"/>
        </w:trPr>
        <w:tc>
          <w:tcPr>
            <w:tcW w:w="745" w:type="dxa"/>
            <w:vAlign w:val="bottom"/>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5</w:t>
            </w:r>
          </w:p>
        </w:tc>
        <w:tc>
          <w:tcPr>
            <w:tcW w:w="1861"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合计</w:t>
            </w:r>
          </w:p>
        </w:tc>
        <w:tc>
          <w:tcPr>
            <w:tcW w:w="3004"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100.00%</w:t>
            </w:r>
          </w:p>
        </w:tc>
        <w:tc>
          <w:tcPr>
            <w:tcW w:w="3292"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100.00%</w:t>
            </w:r>
          </w:p>
        </w:tc>
      </w:tr>
    </w:tbl>
    <w:p w:rsidR="00FD04DE" w:rsidRDefault="00FD04DE" w:rsidP="00651A79">
      <w:pPr>
        <w:spacing w:before="240" w:afterLines="30" w:line="360" w:lineRule="auto"/>
        <w:rPr>
          <w:rFonts w:ascii="方正仿宋简体" w:eastAsia="方正仿宋简体" w:cs="宋体"/>
          <w:kern w:val="0"/>
          <w:sz w:val="24"/>
          <w:szCs w:val="24"/>
        </w:rPr>
      </w:pPr>
    </w:p>
    <w:p w:rsidR="00FD04DE" w:rsidRDefault="0068117A" w:rsidP="00651A79">
      <w:pPr>
        <w:spacing w:before="240" w:afterLines="30" w:line="360" w:lineRule="auto"/>
        <w:rPr>
          <w:rFonts w:ascii="方正仿宋简体" w:eastAsia="方正仿宋简体"/>
          <w:b/>
          <w:sz w:val="24"/>
          <w:szCs w:val="24"/>
          <w:shd w:val="clear" w:color="auto" w:fill="FFFFFF"/>
        </w:rPr>
      </w:pPr>
      <w:r>
        <w:rPr>
          <w:rFonts w:ascii="方正仿宋简体" w:eastAsia="方正仿宋简体" w:hint="eastAsia"/>
          <w:b/>
          <w:sz w:val="24"/>
          <w:szCs w:val="24"/>
        </w:rPr>
        <w:t>5.2 报告期末按公允价值占产品资产净值比例大小排序的前十名资产投资明细</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762"/>
        <w:gridCol w:w="1575"/>
        <w:gridCol w:w="2721"/>
        <w:gridCol w:w="2059"/>
        <w:gridCol w:w="1785"/>
      </w:tblGrid>
      <w:tr w:rsidR="00FD04DE">
        <w:trPr>
          <w:trHeight w:val="870"/>
          <w:jc w:val="center"/>
        </w:trPr>
        <w:tc>
          <w:tcPr>
            <w:tcW w:w="762"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575"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代码</w:t>
            </w:r>
          </w:p>
        </w:tc>
        <w:tc>
          <w:tcPr>
            <w:tcW w:w="2721"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名称</w:t>
            </w:r>
          </w:p>
        </w:tc>
        <w:tc>
          <w:tcPr>
            <w:tcW w:w="2059"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公允价值(元)</w:t>
            </w:r>
          </w:p>
        </w:tc>
        <w:tc>
          <w:tcPr>
            <w:tcW w:w="1785"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占产品资产净值比例（％）</w:t>
            </w:r>
          </w:p>
        </w:tc>
      </w:tr>
      <w:tr>
        <w:trPr>
          <w:trHeight w:val="300"/>
          <w:jc w:val="center"/>
        </w:trPr>
        <w:tc>
          <w:tcPr>
            <w:tcW w:w="762" w:type="dxa"/>
            <w:shd w:val="clear" w:color="auto" w:fill="auto"/>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575" w:type="dxa"/>
            <w:shd w:val="clear" w:color="auto" w:fill="auto"/>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ZJQTT202309130003</w:t>
            </w:r>
          </w:p>
        </w:tc>
        <w:tc>
          <w:tcPr>
            <w:tcW w:w="2721"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华润信托鑫瑞日享3号集合资金信托计划</w:t>
            </w:r>
          </w:p>
        </w:tc>
        <w:tc>
          <w:tcPr>
            <w:tcW w:w="2059"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471,801,930.99</w:t>
            </w:r>
          </w:p>
        </w:tc>
        <w:tc>
          <w:tcPr>
            <w:tcW w:w="1785"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15.04</w:t>
            </w:r>
          </w:p>
        </w:tc>
      </w:tr>
      <w:tr>
        <w:trPr>
          <w:trHeight w:val="300"/>
          <w:jc w:val="center"/>
        </w:trPr>
        <w:tc>
          <w:tcPr>
            <w:tcW w:w="762" w:type="dxa"/>
            <w:shd w:val="clear" w:color="auto" w:fill="auto"/>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575" w:type="dxa"/>
            <w:shd w:val="clear" w:color="auto" w:fill="auto"/>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ZJQTT202305230001</w:t>
            </w:r>
          </w:p>
        </w:tc>
        <w:tc>
          <w:tcPr>
            <w:tcW w:w="2721"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华润信托鑫瑞日享1号集合资金信托计划</w:t>
            </w:r>
          </w:p>
        </w:tc>
        <w:tc>
          <w:tcPr>
            <w:tcW w:w="2059"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315,121,541.10</w:t>
            </w:r>
          </w:p>
        </w:tc>
        <w:tc>
          <w:tcPr>
            <w:tcW w:w="1785"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10.04</w:t>
            </w:r>
          </w:p>
        </w:tc>
      </w:tr>
      <w:tr>
        <w:trPr>
          <w:trHeight w:val="300"/>
          <w:jc w:val="center"/>
        </w:trPr>
        <w:tc>
          <w:tcPr>
            <w:tcW w:w="762" w:type="dxa"/>
            <w:shd w:val="clear" w:color="auto" w:fill="auto"/>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575" w:type="dxa"/>
            <w:shd w:val="clear" w:color="auto" w:fill="auto"/>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DQCKX202412270022</w:t>
            </w:r>
          </w:p>
        </w:tc>
        <w:tc>
          <w:tcPr>
            <w:tcW w:w="2721"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浙商银行定期存款20241227C</w:t>
            </w:r>
          </w:p>
        </w:tc>
        <w:tc>
          <w:tcPr>
            <w:tcW w:w="2059"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6.37</w:t>
            </w:r>
          </w:p>
        </w:tc>
      </w:tr>
      <w:tr>
        <w:trPr>
          <w:trHeight w:val="300"/>
          <w:jc w:val="center"/>
        </w:trPr>
        <w:tc>
          <w:tcPr>
            <w:tcW w:w="762" w:type="dxa"/>
            <w:shd w:val="clear" w:color="auto" w:fill="auto"/>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575" w:type="dxa"/>
            <w:shd w:val="clear" w:color="auto" w:fill="auto"/>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ZJQTT202406170001</w:t>
            </w:r>
          </w:p>
        </w:tc>
        <w:tc>
          <w:tcPr>
            <w:tcW w:w="2721"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中诚信托-日日升4号集合资金信托计划</w:t>
            </w:r>
          </w:p>
        </w:tc>
        <w:tc>
          <w:tcPr>
            <w:tcW w:w="2059"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150,218,399.21</w:t>
            </w:r>
          </w:p>
        </w:tc>
        <w:tc>
          <w:tcPr>
            <w:tcW w:w="1785"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4.79</w:t>
            </w:r>
          </w:p>
        </w:tc>
      </w:tr>
      <w:tr>
        <w:trPr>
          <w:trHeight w:val="300"/>
          <w:jc w:val="center"/>
        </w:trPr>
        <w:tc>
          <w:tcPr>
            <w:tcW w:w="762" w:type="dxa"/>
            <w:shd w:val="clear" w:color="auto" w:fill="auto"/>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575" w:type="dxa"/>
            <w:shd w:val="clear" w:color="auto" w:fill="auto"/>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DQCKX202502120002</w:t>
            </w:r>
          </w:p>
        </w:tc>
        <w:tc>
          <w:tcPr>
            <w:tcW w:w="2721"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徽商银行定期存款20250212B</w:t>
            </w:r>
          </w:p>
        </w:tc>
        <w:tc>
          <w:tcPr>
            <w:tcW w:w="2059"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3.19</w:t>
            </w:r>
          </w:p>
        </w:tc>
      </w:tr>
      <w:tr>
        <w:trPr>
          <w:trHeight w:val="300"/>
          <w:jc w:val="center"/>
        </w:trPr>
        <w:tc>
          <w:tcPr>
            <w:tcW w:w="762" w:type="dxa"/>
            <w:shd w:val="clear" w:color="auto" w:fill="auto"/>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575" w:type="dxa"/>
            <w:shd w:val="clear" w:color="auto" w:fill="auto"/>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DQCKX202412270023</w:t>
            </w:r>
          </w:p>
        </w:tc>
        <w:tc>
          <w:tcPr>
            <w:tcW w:w="2721"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浙商银行定期存款20241227D</w:t>
            </w:r>
          </w:p>
        </w:tc>
        <w:tc>
          <w:tcPr>
            <w:tcW w:w="2059"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3.19</w:t>
            </w:r>
          </w:p>
        </w:tc>
      </w:tr>
      <w:tr>
        <w:trPr>
          <w:trHeight w:val="300"/>
          <w:jc w:val="center"/>
        </w:trPr>
        <w:tc>
          <w:tcPr>
            <w:tcW w:w="762" w:type="dxa"/>
            <w:shd w:val="clear" w:color="auto" w:fill="auto"/>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575" w:type="dxa"/>
            <w:shd w:val="clear" w:color="auto" w:fill="auto"/>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DQCKX202503030004</w:t>
            </w:r>
          </w:p>
        </w:tc>
        <w:tc>
          <w:tcPr>
            <w:tcW w:w="2721"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杭州银行定期存款20250303B</w:t>
            </w:r>
          </w:p>
        </w:tc>
        <w:tc>
          <w:tcPr>
            <w:tcW w:w="2059"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3.19</w:t>
            </w:r>
          </w:p>
        </w:tc>
      </w:tr>
      <w:tr>
        <w:trPr>
          <w:trHeight w:val="300"/>
          <w:jc w:val="center"/>
        </w:trPr>
        <w:tc>
          <w:tcPr>
            <w:tcW w:w="762" w:type="dxa"/>
            <w:shd w:val="clear" w:color="auto" w:fill="auto"/>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575" w:type="dxa"/>
            <w:shd w:val="clear" w:color="auto" w:fill="auto"/>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DQCKX202503040003</w:t>
            </w:r>
          </w:p>
        </w:tc>
        <w:tc>
          <w:tcPr>
            <w:tcW w:w="2721"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吉林银行定期存款20250304</w:t>
            </w:r>
          </w:p>
        </w:tc>
        <w:tc>
          <w:tcPr>
            <w:tcW w:w="2059"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3.19</w:t>
            </w:r>
          </w:p>
        </w:tc>
      </w:tr>
      <w:tr>
        <w:trPr>
          <w:trHeight w:val="300"/>
          <w:jc w:val="center"/>
        </w:trPr>
        <w:tc>
          <w:tcPr>
            <w:tcW w:w="762" w:type="dxa"/>
            <w:shd w:val="clear" w:color="auto" w:fill="auto"/>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575" w:type="dxa"/>
            <w:shd w:val="clear" w:color="auto" w:fill="auto"/>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DQCKX202503030021</w:t>
            </w:r>
          </w:p>
        </w:tc>
        <w:tc>
          <w:tcPr>
            <w:tcW w:w="2721"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恒丰银行定期存款20250303</w:t>
            </w:r>
          </w:p>
        </w:tc>
        <w:tc>
          <w:tcPr>
            <w:tcW w:w="2059"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3.19</w:t>
            </w:r>
          </w:p>
        </w:tc>
      </w:tr>
      <w:tr>
        <w:trPr>
          <w:trHeight w:val="300"/>
          <w:jc w:val="center"/>
        </w:trPr>
        <w:tc>
          <w:tcPr>
            <w:tcW w:w="762" w:type="dxa"/>
            <w:shd w:val="clear" w:color="auto" w:fill="auto"/>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575" w:type="dxa"/>
            <w:shd w:val="clear" w:color="auto" w:fill="auto"/>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112417135</w:t>
            </w:r>
          </w:p>
        </w:tc>
        <w:tc>
          <w:tcPr>
            <w:tcW w:w="2721"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24光大银行CD135</w:t>
            </w:r>
          </w:p>
        </w:tc>
        <w:tc>
          <w:tcPr>
            <w:tcW w:w="2059"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99,914,407.75</w:t>
            </w:r>
          </w:p>
        </w:tc>
        <w:tc>
          <w:tcPr>
            <w:tcW w:w="1785" w:type="dxa"/>
            <w:shd w:val="clear" w:color="000000" w:fill="FFFFFF"/>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3.18</w:t>
            </w:r>
          </w:p>
        </w:tc>
      </w:tr>
    </w:tbl>
    <w:p w:rsidR="00FD04DE" w:rsidRDefault="00FD04DE" w:rsidP="00651A79">
      <w:pPr>
        <w:spacing w:before="240" w:afterLines="30" w:line="360" w:lineRule="auto"/>
        <w:rPr>
          <w:rFonts w:ascii="方正仿宋简体" w:eastAsia="方正仿宋简体" w:hAnsi="宋体" w:cs="宋体"/>
          <w:sz w:val="24"/>
          <w:szCs w:val="24"/>
          <w:shd w:val="clear" w:color="auto" w:fill="FFFFFF"/>
        </w:rPr>
      </w:pPr>
    </w:p>
    <w:p w:rsidR="00FD04DE" w:rsidRDefault="0068117A" w:rsidP="00651A79">
      <w:pPr>
        <w:spacing w:before="240" w:afterLines="30" w:line="360" w:lineRule="auto"/>
        <w:rPr>
          <w:rFonts w:ascii="方正仿宋简体" w:eastAsia="方正仿宋简体" w:hAnsi="宋体" w:cs="宋体"/>
          <w:b/>
          <w:sz w:val="24"/>
          <w:szCs w:val="24"/>
          <w:shd w:val="clear" w:color="auto" w:fill="FFFFFF"/>
        </w:rPr>
      </w:pPr>
      <w:r>
        <w:rPr>
          <w:rFonts w:ascii="方正仿宋简体" w:eastAsia="方正仿宋简体" w:hAnsi="宋体" w:cs="宋体" w:hint="eastAsia"/>
          <w:b/>
          <w:sz w:val="24"/>
          <w:szCs w:val="24"/>
          <w:shd w:val="clear" w:color="auto" w:fill="FFFFFF"/>
        </w:rPr>
        <w:t>5.3报告期末非标准化债权类资产明细</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707"/>
        <w:gridCol w:w="1272"/>
        <w:gridCol w:w="1695"/>
        <w:gridCol w:w="1412"/>
        <w:gridCol w:w="1695"/>
        <w:gridCol w:w="1272"/>
        <w:gridCol w:w="849"/>
      </w:tblGrid>
      <w:tr w:rsidR="00FD04DE">
        <w:trPr>
          <w:jc w:val="center"/>
        </w:trPr>
        <w:tc>
          <w:tcPr>
            <w:tcW w:w="707"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lastRenderedPageBreak/>
              <w:t>序号</w:t>
            </w:r>
          </w:p>
        </w:tc>
        <w:tc>
          <w:tcPr>
            <w:tcW w:w="1272"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融资客户</w:t>
            </w:r>
          </w:p>
        </w:tc>
        <w:tc>
          <w:tcPr>
            <w:tcW w:w="1695"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项目名称</w:t>
            </w:r>
          </w:p>
        </w:tc>
        <w:tc>
          <w:tcPr>
            <w:tcW w:w="1412"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剩余融资期限</w:t>
            </w:r>
          </w:p>
        </w:tc>
        <w:tc>
          <w:tcPr>
            <w:tcW w:w="1695"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到期收益分配</w:t>
            </w:r>
          </w:p>
        </w:tc>
        <w:tc>
          <w:tcPr>
            <w:tcW w:w="1272"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交易结构</w:t>
            </w:r>
          </w:p>
        </w:tc>
        <w:tc>
          <w:tcPr>
            <w:tcW w:w="849"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风险状况</w:t>
            </w:r>
          </w:p>
        </w:tc>
      </w:tr>
      <w:tr>
        <w:trPr>
          <w:jc w:val="center"/>
        </w:trPr>
        <w:tc>
          <w:tcPr>
            <w:tcW w:w="70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272"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695"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412"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695"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272"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84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D04DE" w:rsidRDefault="00FD04DE" w:rsidP="00651A79">
      <w:pPr>
        <w:spacing w:before="240" w:afterLines="30" w:line="360" w:lineRule="auto"/>
        <w:rPr>
          <w:rFonts w:ascii="方正仿宋简体" w:eastAsia="方正仿宋简体" w:hAnsi="宋体" w:cs="宋体"/>
          <w:kern w:val="0"/>
          <w:sz w:val="24"/>
          <w:szCs w:val="24"/>
        </w:rPr>
      </w:pPr>
    </w:p>
    <w:p w:rsidR="00FD04DE" w:rsidRDefault="0068117A" w:rsidP="00651A79">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§6投资账户信息</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704"/>
        <w:gridCol w:w="1559"/>
        <w:gridCol w:w="2671"/>
        <w:gridCol w:w="1984"/>
        <w:gridCol w:w="1984"/>
      </w:tblGrid>
      <w:tr w:rsidR="00FD04DE">
        <w:trPr>
          <w:trHeight w:val="705"/>
          <w:jc w:val="center"/>
        </w:trPr>
        <w:tc>
          <w:tcPr>
            <w:tcW w:w="704"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559"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账户类型</w:t>
            </w:r>
          </w:p>
        </w:tc>
        <w:tc>
          <w:tcPr>
            <w:tcW w:w="2671"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账号</w:t>
            </w:r>
          </w:p>
        </w:tc>
        <w:tc>
          <w:tcPr>
            <w:tcW w:w="1984"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账户名称</w:t>
            </w:r>
          </w:p>
        </w:tc>
        <w:tc>
          <w:tcPr>
            <w:tcW w:w="1984"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开户单位</w:t>
            </w:r>
          </w:p>
        </w:tc>
      </w:tr>
      <w:tr>
        <w:trPr>
          <w:trHeight w:val="364"/>
          <w:jc w:val="center"/>
        </w:trPr>
        <w:tc>
          <w:tcPr>
            <w:tcW w:w="70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55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67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0120040000001123</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南银理财添瑞日日聚宝2号</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FD04DE" w:rsidRDefault="00FD04DE" w:rsidP="00651A79">
      <w:pPr>
        <w:spacing w:before="240" w:afterLines="30" w:line="360" w:lineRule="auto"/>
        <w:rPr>
          <w:rFonts w:ascii="方正仿宋简体" w:eastAsia="方正仿宋简体"/>
          <w:sz w:val="24"/>
          <w:szCs w:val="24"/>
        </w:rPr>
      </w:pPr>
    </w:p>
    <w:p w:rsidR="00FD04DE" w:rsidRDefault="0068117A" w:rsidP="00651A79">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§7 关联交易情况</w:t>
      </w:r>
    </w:p>
    <w:p w:rsidR="00FD04DE" w:rsidRDefault="0068117A" w:rsidP="00651A79">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报告期内，产品投资于关联方发行的证券</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FD04DE" w:rsidRDefault="0068117A" w:rsidP="00651A79">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产品投资于关联方作为融资人的非标准化债权类资产业务交易金额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FD04DE" w:rsidRDefault="0068117A" w:rsidP="00651A79">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产品投资于关联方承销的证券交易金额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20,003,106.85</w:t>
      </w:r>
      <w:r>
        <w:rPr>
          <w:rFonts w:ascii="方正仿宋简体" w:eastAsia="方正仿宋简体" w:hAnsi="宋体" w:cs="宋体" w:hint="eastAsia"/>
          <w:color w:val="000000"/>
          <w:kern w:val="0"/>
          <w:sz w:val="24"/>
          <w:szCs w:val="24"/>
        </w:rPr>
        <w:t>元。</w:t>
      </w:r>
    </w:p>
    <w:p w:rsidR="00FD04DE" w:rsidRDefault="0068117A" w:rsidP="00651A79">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产品与关联方作为交易对手开展的投融资业务交易金额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FD04DE" w:rsidRDefault="0068117A" w:rsidP="00651A79">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产品投资关联方作为管理人的资产管理产品交易金额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FD04DE" w:rsidRDefault="00E340F5" w:rsidP="00651A79">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lastRenderedPageBreak/>
        <w:t>产品</w:t>
      </w:r>
      <w:r w:rsidR="0068117A">
        <w:rPr>
          <w:rFonts w:ascii="方正仿宋简体" w:eastAsia="方正仿宋简体" w:hAnsi="宋体" w:cs="宋体" w:hint="eastAsia"/>
          <w:color w:val="000000"/>
          <w:kern w:val="0"/>
          <w:sz w:val="24"/>
          <w:szCs w:val="24"/>
        </w:rPr>
        <w:t>支付关联方托管费</w:t>
      </w:r>
      <w:r w:rsidR="0068117A">
        <w:rPr>
          <w:rFonts w:ascii="方正仿宋简体" w:eastAsia="方正仿宋简体" w:hAnsi="宋体" w:cs="宋体"/>
          <w:color w:val="000000"/>
          <w:kern w:val="0"/>
          <w:sz w:val="24"/>
          <w:szCs w:val="24"/>
        </w:rPr>
        <w:t/>
      </w:r>
      <w:r w:rsidR="0068117A">
        <w:rPr>
          <w:rFonts w:ascii="方正仿宋简体" w:eastAsia="方正仿宋简体" w:hAnsi="宋体" w:cs="宋体" w:hint="eastAsia"/>
          <w:color w:val="000000"/>
          <w:kern w:val="0"/>
          <w:sz w:val="24"/>
          <w:szCs w:val="24"/>
        </w:rPr>
        <w:t/>
      </w:r>
      <w:r w:rsidR="0068117A">
        <w:rPr>
          <w:rFonts w:ascii="方正仿宋简体" w:eastAsia="方正仿宋简体" w:hAnsi="宋体" w:cs="宋体"/>
          <w:color w:val="000000"/>
          <w:kern w:val="0"/>
          <w:sz w:val="24"/>
          <w:szCs w:val="24"/>
        </w:rPr>
        <w:t>335,438.58</w:t>
      </w:r>
      <w:r>
        <w:rPr>
          <w:rFonts w:ascii="方正仿宋简体" w:eastAsia="方正仿宋简体" w:hAnsi="宋体" w:cs="宋体" w:hint="eastAsia"/>
          <w:color w:val="000000"/>
          <w:kern w:val="0"/>
          <w:sz w:val="24"/>
          <w:szCs w:val="24"/>
        </w:rPr>
        <w:t>元，</w:t>
      </w:r>
      <w:r w:rsidR="0068117A">
        <w:rPr>
          <w:rFonts w:ascii="方正仿宋简体" w:eastAsia="方正仿宋简体" w:hAnsi="宋体" w:cs="宋体" w:hint="eastAsia"/>
          <w:color w:val="000000"/>
          <w:kern w:val="0"/>
          <w:sz w:val="24"/>
          <w:szCs w:val="24"/>
        </w:rPr>
        <w:t>支付关联方代销费</w:t>
      </w:r>
      <w:r w:rsidR="0068117A">
        <w:rPr>
          <w:rFonts w:ascii="方正仿宋简体" w:eastAsia="方正仿宋简体" w:hAnsi="宋体" w:cs="宋体"/>
          <w:color w:val="000000"/>
          <w:kern w:val="0"/>
          <w:sz w:val="24"/>
          <w:szCs w:val="24"/>
        </w:rPr>
        <w:t/>
      </w:r>
      <w:r w:rsidR="0068117A">
        <w:rPr>
          <w:rFonts w:ascii="方正仿宋简体" w:eastAsia="方正仿宋简体" w:hAnsi="宋体" w:cs="宋体" w:hint="eastAsia"/>
          <w:color w:val="000000"/>
          <w:kern w:val="0"/>
          <w:sz w:val="24"/>
          <w:szCs w:val="24"/>
        </w:rPr>
        <w:t/>
      </w:r>
      <w:r w:rsidR="0068117A">
        <w:rPr>
          <w:rFonts w:ascii="方正仿宋简体" w:eastAsia="方正仿宋简体" w:hAnsi="宋体" w:cs="宋体"/>
          <w:color w:val="000000"/>
          <w:kern w:val="0"/>
          <w:sz w:val="24"/>
          <w:szCs w:val="24"/>
        </w:rPr>
        <w:t>1,721,850.20</w:t>
      </w:r>
      <w:r w:rsidR="0068117A">
        <w:rPr>
          <w:rFonts w:ascii="方正仿宋简体" w:eastAsia="方正仿宋简体" w:hAnsi="宋体" w:cs="宋体" w:hint="eastAsia"/>
          <w:color w:val="000000"/>
          <w:kern w:val="0"/>
          <w:sz w:val="24"/>
          <w:szCs w:val="24"/>
        </w:rPr>
        <w:t>元。</w:t>
      </w:r>
    </w:p>
    <w:p w:rsidR="00FD04DE" w:rsidRDefault="0068117A" w:rsidP="00651A79">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产品发生其他关联交易金额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FD04DE" w:rsidRDefault="0068117A" w:rsidP="00651A79">
      <w:pPr>
        <w:spacing w:before="240" w:afterLines="30" w:line="360" w:lineRule="auto"/>
        <w:ind w:firstLineChars="200" w:firstLine="480"/>
        <w:rPr>
          <w:rFonts w:ascii="方正仿宋简体" w:eastAsia="方正仿宋简体" w:hAnsi="宋体" w:cs="宋体"/>
          <w:kern w:val="0"/>
          <w:sz w:val="24"/>
          <w:szCs w:val="24"/>
        </w:rPr>
      </w:pPr>
      <w:r>
        <w:rPr>
          <w:rFonts w:ascii="方正仿宋简体" w:eastAsia="方正仿宋简体" w:hAnsi="宋体" w:cs="宋体" w:hint="eastAsia"/>
          <w:color w:val="000000"/>
          <w:kern w:val="0"/>
          <w:sz w:val="24"/>
          <w:szCs w:val="24"/>
        </w:rPr>
        <w:t>报告期内，产品未发生重大关联交易。</w:t>
      </w:r>
    </w:p>
    <w:p w:rsidR="00FD04DE" w:rsidRDefault="00FD04DE" w:rsidP="00651A79">
      <w:pPr>
        <w:spacing w:before="240" w:afterLines="30" w:line="360" w:lineRule="auto"/>
        <w:rPr>
          <w:rFonts w:ascii="方正仿宋简体" w:eastAsia="方正仿宋简体" w:hAnsi="宋体" w:cs="宋体"/>
          <w:kern w:val="0"/>
          <w:sz w:val="24"/>
          <w:szCs w:val="24"/>
        </w:rPr>
      </w:pPr>
    </w:p>
    <w:p w:rsidR="00FD04DE" w:rsidRDefault="0068117A" w:rsidP="00651A79">
      <w:pPr>
        <w:spacing w:before="240" w:afterLines="30" w:line="360" w:lineRule="auto"/>
        <w:jc w:val="center"/>
        <w:rPr>
          <w:rFonts w:ascii="方正仿宋简体" w:eastAsia="方正仿宋简体"/>
          <w:b/>
          <w:sz w:val="24"/>
          <w:szCs w:val="24"/>
        </w:rPr>
      </w:pPr>
      <w:r>
        <w:rPr>
          <w:rFonts w:ascii="方正仿宋简体" w:eastAsia="方正仿宋简体" w:hint="eastAsia"/>
          <w:b/>
          <w:sz w:val="24"/>
          <w:szCs w:val="24"/>
        </w:rPr>
        <w:t>§</w:t>
      </w:r>
      <w:r>
        <w:rPr>
          <w:rFonts w:ascii="方正仿宋简体" w:eastAsia="方正仿宋简体"/>
          <w:b/>
          <w:sz w:val="24"/>
          <w:szCs w:val="24"/>
        </w:rPr>
        <w:t>8</w:t>
      </w:r>
      <w:r>
        <w:rPr>
          <w:rFonts w:ascii="方正仿宋简体" w:eastAsia="方正仿宋简体" w:hint="eastAsia"/>
          <w:b/>
          <w:sz w:val="24"/>
          <w:szCs w:val="24"/>
        </w:rPr>
        <w:t>前10名投资者情况</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846"/>
        <w:gridCol w:w="1559"/>
        <w:gridCol w:w="3686"/>
        <w:gridCol w:w="2811"/>
      </w:tblGrid>
      <w:tr w:rsidR="00FD04DE">
        <w:trPr>
          <w:trHeight w:val="705"/>
          <w:jc w:val="center"/>
        </w:trPr>
        <w:tc>
          <w:tcPr>
            <w:tcW w:w="846"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序号</w:t>
            </w:r>
          </w:p>
        </w:tc>
        <w:tc>
          <w:tcPr>
            <w:tcW w:w="1559"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类别</w:t>
            </w:r>
          </w:p>
        </w:tc>
        <w:tc>
          <w:tcPr>
            <w:tcW w:w="3686"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持有份额（份）</w:t>
            </w:r>
          </w:p>
        </w:tc>
        <w:tc>
          <w:tcPr>
            <w:tcW w:w="2811" w:type="dxa"/>
            <w:vAlign w:val="center"/>
          </w:tcPr>
          <w:p w:rsidR="00FD04DE" w:rsidRDefault="0068117A" w:rsidP="00651A79">
            <w:pPr>
              <w:spacing w:beforeLines="20" w:afterLines="20"/>
              <w:jc w:val="center"/>
              <w:rPr>
                <w:rFonts w:ascii="方正仿宋简体" w:eastAsia="方正仿宋简体" w:hAnsiTheme="minorEastAsia"/>
                <w:sz w:val="24"/>
                <w:szCs w:val="24"/>
              </w:rPr>
            </w:pPr>
            <w:r>
              <w:rPr>
                <w:rFonts w:ascii="方正仿宋简体" w:eastAsia="方正仿宋简体" w:hAnsiTheme="minorEastAsia" w:hint="eastAsia"/>
                <w:sz w:val="24"/>
                <w:szCs w:val="24"/>
              </w:rPr>
              <w:t>占总份额比例（%）</w:t>
            </w:r>
          </w:p>
        </w:tc>
      </w:tr>
      <w:tr>
        <w:trPr>
          <w:trHeight w:val="364"/>
          <w:jc w:val="center"/>
        </w:trPr>
        <w:tc>
          <w:tcPr>
            <w:tcW w:w="84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55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机构</w:t>
            </w:r>
          </w:p>
        </w:tc>
        <w:tc>
          <w:tcPr>
            <w:tcW w:w="368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80,743,403.04</w:t>
            </w:r>
          </w:p>
        </w:tc>
        <w:tc>
          <w:tcPr>
            <w:tcW w:w="281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2.57</w:t>
            </w:r>
          </w:p>
        </w:tc>
      </w:tr>
      <w:tr>
        <w:trPr>
          <w:trHeight w:val="364"/>
          <w:jc w:val="center"/>
        </w:trPr>
        <w:tc>
          <w:tcPr>
            <w:tcW w:w="84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55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机构</w:t>
            </w:r>
          </w:p>
        </w:tc>
        <w:tc>
          <w:tcPr>
            <w:tcW w:w="368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50,373,533.62</w:t>
            </w:r>
          </w:p>
        </w:tc>
        <w:tc>
          <w:tcPr>
            <w:tcW w:w="281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1.61</w:t>
            </w:r>
          </w:p>
        </w:tc>
      </w:tr>
      <w:tr>
        <w:trPr>
          <w:trHeight w:val="364"/>
          <w:jc w:val="center"/>
        </w:trPr>
        <w:tc>
          <w:tcPr>
            <w:tcW w:w="84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55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个人</w:t>
            </w:r>
          </w:p>
        </w:tc>
        <w:tc>
          <w:tcPr>
            <w:tcW w:w="368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42,330,382.46</w:t>
            </w:r>
          </w:p>
        </w:tc>
        <w:tc>
          <w:tcPr>
            <w:tcW w:w="281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1.35</w:t>
            </w:r>
          </w:p>
        </w:tc>
      </w:tr>
      <w:tr>
        <w:trPr>
          <w:trHeight w:val="364"/>
          <w:jc w:val="center"/>
        </w:trPr>
        <w:tc>
          <w:tcPr>
            <w:tcW w:w="84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55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个人</w:t>
            </w:r>
          </w:p>
        </w:tc>
        <w:tc>
          <w:tcPr>
            <w:tcW w:w="368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40,080,493.44</w:t>
            </w:r>
          </w:p>
        </w:tc>
        <w:tc>
          <w:tcPr>
            <w:tcW w:w="281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1.28</w:t>
            </w:r>
          </w:p>
        </w:tc>
      </w:tr>
      <w:tr>
        <w:trPr>
          <w:trHeight w:val="364"/>
          <w:jc w:val="center"/>
        </w:trPr>
        <w:tc>
          <w:tcPr>
            <w:tcW w:w="84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55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个人</w:t>
            </w:r>
          </w:p>
        </w:tc>
        <w:tc>
          <w:tcPr>
            <w:tcW w:w="368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30,608,142.02</w:t>
            </w:r>
          </w:p>
        </w:tc>
        <w:tc>
          <w:tcPr>
            <w:tcW w:w="281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0.98</w:t>
            </w:r>
          </w:p>
        </w:tc>
      </w:tr>
      <w:tr>
        <w:trPr>
          <w:trHeight w:val="364"/>
          <w:jc w:val="center"/>
        </w:trPr>
        <w:tc>
          <w:tcPr>
            <w:tcW w:w="84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55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个人</w:t>
            </w:r>
          </w:p>
        </w:tc>
        <w:tc>
          <w:tcPr>
            <w:tcW w:w="368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25,034,543.58</w:t>
            </w:r>
          </w:p>
        </w:tc>
        <w:tc>
          <w:tcPr>
            <w:tcW w:w="281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0.80</w:t>
            </w:r>
          </w:p>
        </w:tc>
      </w:tr>
      <w:tr>
        <w:trPr>
          <w:trHeight w:val="364"/>
          <w:jc w:val="center"/>
        </w:trPr>
        <w:tc>
          <w:tcPr>
            <w:tcW w:w="84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55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个人</w:t>
            </w:r>
          </w:p>
        </w:tc>
        <w:tc>
          <w:tcPr>
            <w:tcW w:w="368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20,136,003.06</w:t>
            </w:r>
          </w:p>
        </w:tc>
        <w:tc>
          <w:tcPr>
            <w:tcW w:w="281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0.64</w:t>
            </w:r>
          </w:p>
        </w:tc>
      </w:tr>
      <w:tr>
        <w:trPr>
          <w:trHeight w:val="364"/>
          <w:jc w:val="center"/>
        </w:trPr>
        <w:tc>
          <w:tcPr>
            <w:tcW w:w="84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55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个人</w:t>
            </w:r>
          </w:p>
        </w:tc>
        <w:tc>
          <w:tcPr>
            <w:tcW w:w="368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16,358,573.20</w:t>
            </w:r>
          </w:p>
        </w:tc>
        <w:tc>
          <w:tcPr>
            <w:tcW w:w="281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0.52</w:t>
            </w:r>
          </w:p>
        </w:tc>
      </w:tr>
      <w:tr>
        <w:trPr>
          <w:trHeight w:val="364"/>
          <w:jc w:val="center"/>
        </w:trPr>
        <w:tc>
          <w:tcPr>
            <w:tcW w:w="84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55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个人</w:t>
            </w:r>
          </w:p>
        </w:tc>
        <w:tc>
          <w:tcPr>
            <w:tcW w:w="368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16,010,595.34</w:t>
            </w:r>
          </w:p>
        </w:tc>
        <w:tc>
          <w:tcPr>
            <w:tcW w:w="281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0.51</w:t>
            </w:r>
          </w:p>
        </w:tc>
      </w:tr>
      <w:tr>
        <w:trPr>
          <w:trHeight w:val="364"/>
          <w:jc w:val="center"/>
        </w:trPr>
        <w:tc>
          <w:tcPr>
            <w:tcW w:w="84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55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个人</w:t>
            </w:r>
          </w:p>
        </w:tc>
        <w:tc>
          <w:tcPr>
            <w:tcW w:w="368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15,009,911.91</w:t>
            </w:r>
          </w:p>
        </w:tc>
        <w:tc>
          <w:tcPr>
            <w:tcW w:w="281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0.48</w:t>
            </w:r>
          </w:p>
        </w:tc>
      </w:tr>
    </w:tbl>
    <w:p w:rsidR="00FD04DE" w:rsidRDefault="00FD04DE" w:rsidP="00651A79">
      <w:pPr>
        <w:spacing w:before="240" w:afterLines="30" w:line="360" w:lineRule="auto"/>
        <w:rPr>
          <w:rFonts w:ascii="方正仿宋简体" w:eastAsia="方正仿宋简体" w:hAnsi="宋体" w:cs="宋体"/>
          <w:kern w:val="0"/>
          <w:sz w:val="24"/>
          <w:szCs w:val="24"/>
        </w:rPr>
      </w:pPr>
      <w:bookmarkStart w:id="0" w:name="_GoBack"/>
      <w:bookmarkEnd w:id="0"/>
    </w:p>
    <w:p w:rsidR="00FD04DE" w:rsidRDefault="0068117A">
      <w:pPr>
        <w:spacing w:before="240" w:line="360" w:lineRule="auto"/>
        <w:jc w:val="center"/>
        <w:rPr>
          <w:rFonts w:ascii="方正仿宋简体" w:eastAsia="方正仿宋简体"/>
          <w:b/>
          <w:sz w:val="24"/>
          <w:szCs w:val="24"/>
        </w:rPr>
      </w:pPr>
      <w:r>
        <w:rPr>
          <w:rFonts w:ascii="方正仿宋简体" w:eastAsia="方正仿宋简体" w:hint="eastAsia"/>
          <w:b/>
          <w:sz w:val="24"/>
          <w:szCs w:val="24"/>
        </w:rPr>
        <w:t>§9 现金管理类理财产品持有份额不低于20%投资者情况</w:t>
      </w:r>
    </w:p>
    <w:tbl>
      <w:tblPr>
        <w:tblW w:w="11280" w:type="dxa"/>
        <w:jc w:val="center"/>
        <w:tblInd w:w="-9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1335"/>
        <w:gridCol w:w="1560"/>
        <w:gridCol w:w="1515"/>
        <w:gridCol w:w="1787"/>
        <w:gridCol w:w="1701"/>
        <w:gridCol w:w="1792"/>
        <w:gridCol w:w="1590"/>
      </w:tblGrid>
      <w:tr w:rsidR="00FD04DE">
        <w:tc>
          <w:tcPr>
            <w:tcW w:w="1335"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hAnsi="Calibri" w:hint="eastAsia"/>
                <w:sz w:val="24"/>
                <w:szCs w:val="24"/>
                <w:shd w:val="clear" w:color="auto" w:fill="FFFFFF"/>
              </w:rPr>
              <w:t>序号</w:t>
            </w:r>
          </w:p>
        </w:tc>
        <w:tc>
          <w:tcPr>
            <w:tcW w:w="1560"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日期</w:t>
            </w:r>
          </w:p>
        </w:tc>
        <w:tc>
          <w:tcPr>
            <w:tcW w:w="1515"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sz w:val="24"/>
                <w:szCs w:val="24"/>
              </w:rPr>
              <w:t>投资者类别</w:t>
            </w:r>
          </w:p>
        </w:tc>
        <w:tc>
          <w:tcPr>
            <w:tcW w:w="1787"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sz w:val="24"/>
                <w:szCs w:val="24"/>
              </w:rPr>
              <w:t>持有份额</w:t>
            </w:r>
          </w:p>
        </w:tc>
        <w:tc>
          <w:tcPr>
            <w:tcW w:w="1701"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sz w:val="24"/>
                <w:szCs w:val="24"/>
              </w:rPr>
              <w:t>占总份额比例</w:t>
            </w:r>
          </w:p>
        </w:tc>
        <w:tc>
          <w:tcPr>
            <w:tcW w:w="1792" w:type="dxa"/>
            <w:vAlign w:val="center"/>
          </w:tcPr>
          <w:p w:rsidR="00FD04DE" w:rsidRDefault="0068117A" w:rsidP="00651A79">
            <w:pPr>
              <w:spacing w:beforeLines="20" w:afterLines="20"/>
              <w:jc w:val="center"/>
              <w:rPr>
                <w:rFonts w:ascii="方正仿宋简体" w:eastAsia="方正仿宋简体"/>
                <w:sz w:val="24"/>
                <w:szCs w:val="24"/>
              </w:rPr>
            </w:pPr>
            <w:r>
              <w:rPr>
                <w:rFonts w:ascii="方正仿宋简体" w:eastAsia="方正仿宋简体"/>
                <w:sz w:val="24"/>
                <w:szCs w:val="24"/>
              </w:rPr>
              <w:t>持有份额</w:t>
            </w:r>
          </w:p>
          <w:p w:rsidR="00FD04DE" w:rsidRDefault="0068117A" w:rsidP="00651A79">
            <w:pPr>
              <w:spacing w:beforeLines="20" w:afterLines="20"/>
              <w:jc w:val="center"/>
              <w:rPr>
                <w:rFonts w:ascii="方正仿宋简体" w:eastAsia="方正仿宋简体"/>
                <w:sz w:val="24"/>
                <w:szCs w:val="24"/>
                <w:shd w:val="clear" w:color="auto" w:fill="FFFFFF"/>
              </w:rPr>
            </w:pPr>
            <w:r>
              <w:rPr>
                <w:rFonts w:ascii="方正仿宋简体" w:eastAsia="方正仿宋简体"/>
                <w:sz w:val="24"/>
                <w:szCs w:val="24"/>
              </w:rPr>
              <w:t>变化情况</w:t>
            </w:r>
          </w:p>
        </w:tc>
        <w:tc>
          <w:tcPr>
            <w:tcW w:w="1590"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产品风险</w:t>
            </w:r>
          </w:p>
        </w:tc>
      </w:tr>
      <w:tr w:rsidR="00FD04DE">
        <w:tc>
          <w:tcPr>
            <w:tcW w:w="1335"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c>
          <w:tcPr>
            <w:tcW w:w="1560"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c>
          <w:tcPr>
            <w:tcW w:w="1515"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c>
          <w:tcPr>
            <w:tcW w:w="1787"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c>
          <w:tcPr>
            <w:tcW w:w="1701"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c>
          <w:tcPr>
            <w:tcW w:w="1792"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c>
          <w:tcPr>
            <w:tcW w:w="1590" w:type="dxa"/>
            <w:vAlign w:val="center"/>
          </w:tcPr>
          <w:p w:rsidR="00FD04DE" w:rsidRDefault="0068117A">
            <w:pPr>
              <w:spacing w:before="240" w:line="360" w:lineRule="auto"/>
              <w:jc w:val="center"/>
              <w:rPr>
                <w:rFonts w:ascii="方正仿宋简体" w:eastAsia="方正仿宋简体"/>
                <w:sz w:val="24"/>
                <w:szCs w:val="24"/>
                <w:shd w:val="clear" w:color="auto" w:fill="FFFFFF"/>
              </w:rPr>
            </w:pPr>
            <w:r>
              <w:rPr>
                <w:rFonts w:ascii="方正仿宋简体" w:eastAsia="方正仿宋简体" w:hint="eastAsia"/>
                <w:sz w:val="24"/>
                <w:szCs w:val="24"/>
              </w:rPr>
              <w:t>-</w:t>
            </w:r>
          </w:p>
        </w:tc>
      </w:tr>
    </w:tbl>
    <w:p w:rsidR="00FD04DE" w:rsidRDefault="00FD04DE" w:rsidP="00651A79">
      <w:pPr>
        <w:spacing w:before="240" w:afterLines="30" w:line="360" w:lineRule="auto"/>
        <w:rPr>
          <w:rFonts w:ascii="方正仿宋简体" w:eastAsia="方正仿宋简体" w:hAnsi="宋体" w:cs="宋体"/>
          <w:kern w:val="0"/>
          <w:sz w:val="24"/>
          <w:szCs w:val="24"/>
        </w:rPr>
      </w:pPr>
    </w:p>
    <w:p w:rsidR="00FD04DE" w:rsidRDefault="0068117A" w:rsidP="00651A79">
      <w:pPr>
        <w:spacing w:before="240" w:afterLines="30" w:line="360" w:lineRule="auto"/>
        <w:jc w:val="right"/>
        <w:rPr>
          <w:rFonts w:ascii="方正仿宋简体" w:eastAsia="方正仿宋简体" w:hAnsi="Calibri"/>
          <w:b/>
          <w:sz w:val="24"/>
          <w:szCs w:val="24"/>
        </w:rPr>
      </w:pPr>
      <w:r>
        <w:rPr>
          <w:rFonts w:ascii="方正仿宋简体" w:eastAsia="方正仿宋简体" w:hAnsi="Calibri" w:hint="eastAsia"/>
          <w:b/>
          <w:sz w:val="24"/>
          <w:szCs w:val="24"/>
        </w:rPr>
        <w:t>南银理财有限责任公司</w:t>
      </w:r>
    </w:p>
    <w:p w:rsidR="00FD04DE" w:rsidRDefault="0068117A" w:rsidP="00DE76CB">
      <w:pPr>
        <w:spacing w:before="240" w:afterLines="30" w:line="360" w:lineRule="auto"/>
        <w:jc w:val="right"/>
        <w:rPr>
          <w:rFonts w:ascii="方正仿宋简体" w:eastAsia="方正仿宋简体"/>
          <w:b/>
          <w:sz w:val="24"/>
          <w:szCs w:val="24"/>
        </w:rPr>
      </w:pPr>
      <w:r>
        <w:rPr>
          <w:rFonts w:ascii="方正仿宋简体" w:eastAsia="方正仿宋简体" w:hint="eastAsia"/>
          <w:b/>
          <w:sz w:val="24"/>
          <w:szCs w:val="24"/>
        </w:rPr>
        <w:t>2025年06月30日</w:t>
      </w:r>
    </w:p>
    <w:sectPr w:rsidR="00FD04DE" w:rsidSect="00FD04DE">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227A" w:rsidRDefault="00BE227A" w:rsidP="00FD04DE">
      <w:r>
        <w:separator/>
      </w:r>
    </w:p>
  </w:endnote>
  <w:endnote w:type="continuationSeparator" w:id="1">
    <w:p w:rsidR="00BE227A" w:rsidRDefault="00BE227A" w:rsidP="00FD04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微软雅黑"/>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4DE" w:rsidRDefault="00DE76CB">
    <w:pPr>
      <w:pStyle w:val="a5"/>
      <w:framePr w:wrap="around" w:vAnchor="text" w:hAnchor="margin" w:xAlign="center" w:y="1"/>
      <w:rPr>
        <w:rStyle w:val="ab"/>
      </w:rPr>
    </w:pPr>
    <w:r>
      <w:fldChar w:fldCharType="begin"/>
    </w:r>
    <w:r w:rsidR="0068117A">
      <w:rPr>
        <w:rStyle w:val="ab"/>
      </w:rPr>
      <w:instrText xml:space="preserve">PAGE  </w:instrText>
    </w:r>
    <w:r>
      <w:fldChar w:fldCharType="end"/>
    </w:r>
  </w:p>
  <w:p w:rsidR="00FD04DE" w:rsidRDefault="00FD04DE">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4DE" w:rsidRDefault="00FD04DE">
    <w:pPr>
      <w:pStyle w:val="a5"/>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227A" w:rsidRDefault="00BE227A" w:rsidP="00FD04DE">
      <w:r>
        <w:separator/>
      </w:r>
    </w:p>
  </w:footnote>
  <w:footnote w:type="continuationSeparator" w:id="1">
    <w:p w:rsidR="00BE227A" w:rsidRDefault="00BE227A" w:rsidP="00FD04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4DE" w:rsidRDefault="00FD04DE">
    <w:pPr>
      <w:pStyle w:val="a6"/>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4DE" w:rsidRDefault="00FD04DE">
    <w:pPr>
      <w:pStyle w:val="a6"/>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noPunctuationKerning/>
  <w:characterSpacingControl w:val="compressPunctuation"/>
  <w:hdrShapeDefaults>
    <o:shapedefaults v:ext="edit" spidmax="7170"/>
  </w:hdrShapeDefaults>
  <w:footnotePr>
    <w:footnote w:id="0"/>
    <w:footnote w:id="1"/>
  </w:footnotePr>
  <w:endnotePr>
    <w:endnote w:id="0"/>
    <w:endnote w:id="1"/>
  </w:endnotePr>
  <w:compat>
    <w:doNotExpandShiftReturn/>
    <w:useFELayout/>
  </w:compat>
  <w:rsids>
    <w:rsidRoot w:val="00172A27"/>
    <w:rsid w:val="00000A95"/>
    <w:rsid w:val="000060E5"/>
    <w:rsid w:val="00015019"/>
    <w:rsid w:val="000234FF"/>
    <w:rsid w:val="00026D52"/>
    <w:rsid w:val="000318AA"/>
    <w:rsid w:val="00034FF6"/>
    <w:rsid w:val="000367D9"/>
    <w:rsid w:val="00044BFF"/>
    <w:rsid w:val="000470C2"/>
    <w:rsid w:val="0005474A"/>
    <w:rsid w:val="00061725"/>
    <w:rsid w:val="000633AA"/>
    <w:rsid w:val="00066A9A"/>
    <w:rsid w:val="000737ED"/>
    <w:rsid w:val="00095B95"/>
    <w:rsid w:val="00095BB4"/>
    <w:rsid w:val="000A3711"/>
    <w:rsid w:val="000D5066"/>
    <w:rsid w:val="000E1673"/>
    <w:rsid w:val="000E6ACE"/>
    <w:rsid w:val="000F06ED"/>
    <w:rsid w:val="000F27F1"/>
    <w:rsid w:val="000F6191"/>
    <w:rsid w:val="00117505"/>
    <w:rsid w:val="001279EA"/>
    <w:rsid w:val="00130CE8"/>
    <w:rsid w:val="0013364F"/>
    <w:rsid w:val="00141AB4"/>
    <w:rsid w:val="0014449D"/>
    <w:rsid w:val="00150E2C"/>
    <w:rsid w:val="00152201"/>
    <w:rsid w:val="00172A27"/>
    <w:rsid w:val="00173478"/>
    <w:rsid w:val="001735BA"/>
    <w:rsid w:val="00176636"/>
    <w:rsid w:val="00183C84"/>
    <w:rsid w:val="001B497D"/>
    <w:rsid w:val="001C05F9"/>
    <w:rsid w:val="001C3860"/>
    <w:rsid w:val="001C5395"/>
    <w:rsid w:val="001E2EEA"/>
    <w:rsid w:val="001E5905"/>
    <w:rsid w:val="001E7120"/>
    <w:rsid w:val="002051AF"/>
    <w:rsid w:val="00211F26"/>
    <w:rsid w:val="00220B2B"/>
    <w:rsid w:val="00224D9D"/>
    <w:rsid w:val="00225D2E"/>
    <w:rsid w:val="002263FC"/>
    <w:rsid w:val="002448E3"/>
    <w:rsid w:val="00247593"/>
    <w:rsid w:val="00247A0A"/>
    <w:rsid w:val="00290B55"/>
    <w:rsid w:val="00295E85"/>
    <w:rsid w:val="002A3AE9"/>
    <w:rsid w:val="002A405A"/>
    <w:rsid w:val="002B7F5A"/>
    <w:rsid w:val="002C196E"/>
    <w:rsid w:val="002D2DB0"/>
    <w:rsid w:val="002D75D0"/>
    <w:rsid w:val="002E7131"/>
    <w:rsid w:val="002E795C"/>
    <w:rsid w:val="00301467"/>
    <w:rsid w:val="00302167"/>
    <w:rsid w:val="00305714"/>
    <w:rsid w:val="00313E71"/>
    <w:rsid w:val="00321CB7"/>
    <w:rsid w:val="003379A9"/>
    <w:rsid w:val="00341B28"/>
    <w:rsid w:val="00350ADF"/>
    <w:rsid w:val="00355623"/>
    <w:rsid w:val="00387F9B"/>
    <w:rsid w:val="003A0419"/>
    <w:rsid w:val="003B117F"/>
    <w:rsid w:val="003B4AB4"/>
    <w:rsid w:val="003C4D3B"/>
    <w:rsid w:val="003E09EA"/>
    <w:rsid w:val="003E412C"/>
    <w:rsid w:val="003F098E"/>
    <w:rsid w:val="003F0AC3"/>
    <w:rsid w:val="00433022"/>
    <w:rsid w:val="00455600"/>
    <w:rsid w:val="00456251"/>
    <w:rsid w:val="004A0363"/>
    <w:rsid w:val="004A156A"/>
    <w:rsid w:val="004B5DED"/>
    <w:rsid w:val="004C1607"/>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5514"/>
    <w:rsid w:val="00651A79"/>
    <w:rsid w:val="0065419A"/>
    <w:rsid w:val="00654220"/>
    <w:rsid w:val="006624C2"/>
    <w:rsid w:val="00663B94"/>
    <w:rsid w:val="00676076"/>
    <w:rsid w:val="00677CEA"/>
    <w:rsid w:val="00677F66"/>
    <w:rsid w:val="0068117A"/>
    <w:rsid w:val="006C1014"/>
    <w:rsid w:val="006D5D22"/>
    <w:rsid w:val="006E3BA0"/>
    <w:rsid w:val="006E4E94"/>
    <w:rsid w:val="006E70D5"/>
    <w:rsid w:val="006F69B2"/>
    <w:rsid w:val="007017D8"/>
    <w:rsid w:val="00730BEE"/>
    <w:rsid w:val="0073101E"/>
    <w:rsid w:val="00733378"/>
    <w:rsid w:val="00735153"/>
    <w:rsid w:val="00735E29"/>
    <w:rsid w:val="00745421"/>
    <w:rsid w:val="00745F96"/>
    <w:rsid w:val="0074729D"/>
    <w:rsid w:val="00782F29"/>
    <w:rsid w:val="00796214"/>
    <w:rsid w:val="007A4219"/>
    <w:rsid w:val="007B08DF"/>
    <w:rsid w:val="007C4F56"/>
    <w:rsid w:val="007C516D"/>
    <w:rsid w:val="007E0B6E"/>
    <w:rsid w:val="007E4637"/>
    <w:rsid w:val="007E6537"/>
    <w:rsid w:val="00800690"/>
    <w:rsid w:val="0080200C"/>
    <w:rsid w:val="00802D0C"/>
    <w:rsid w:val="00814110"/>
    <w:rsid w:val="00822116"/>
    <w:rsid w:val="0082561A"/>
    <w:rsid w:val="0083403C"/>
    <w:rsid w:val="00846B2E"/>
    <w:rsid w:val="0085663C"/>
    <w:rsid w:val="00870717"/>
    <w:rsid w:val="008768AB"/>
    <w:rsid w:val="008870FD"/>
    <w:rsid w:val="008904CC"/>
    <w:rsid w:val="008926F7"/>
    <w:rsid w:val="00895C9A"/>
    <w:rsid w:val="008A7510"/>
    <w:rsid w:val="008B2B66"/>
    <w:rsid w:val="008C18AE"/>
    <w:rsid w:val="008C3CBF"/>
    <w:rsid w:val="008C670A"/>
    <w:rsid w:val="008C78BD"/>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3DCD"/>
    <w:rsid w:val="00AA4549"/>
    <w:rsid w:val="00AA5B04"/>
    <w:rsid w:val="00AA6CFF"/>
    <w:rsid w:val="00AC3D79"/>
    <w:rsid w:val="00AC5144"/>
    <w:rsid w:val="00AD3853"/>
    <w:rsid w:val="00AF7510"/>
    <w:rsid w:val="00B13014"/>
    <w:rsid w:val="00B17559"/>
    <w:rsid w:val="00B176FA"/>
    <w:rsid w:val="00B21BF0"/>
    <w:rsid w:val="00B23E1D"/>
    <w:rsid w:val="00B33978"/>
    <w:rsid w:val="00B33B19"/>
    <w:rsid w:val="00B3722F"/>
    <w:rsid w:val="00B404E6"/>
    <w:rsid w:val="00B4360D"/>
    <w:rsid w:val="00B534AE"/>
    <w:rsid w:val="00B61EA9"/>
    <w:rsid w:val="00B62586"/>
    <w:rsid w:val="00B670D1"/>
    <w:rsid w:val="00B74DCA"/>
    <w:rsid w:val="00B763A5"/>
    <w:rsid w:val="00B94CD4"/>
    <w:rsid w:val="00B964AE"/>
    <w:rsid w:val="00BA2C7F"/>
    <w:rsid w:val="00BA5103"/>
    <w:rsid w:val="00BA632A"/>
    <w:rsid w:val="00BC3903"/>
    <w:rsid w:val="00BE106D"/>
    <w:rsid w:val="00BE227A"/>
    <w:rsid w:val="00BE47E0"/>
    <w:rsid w:val="00BF3D9D"/>
    <w:rsid w:val="00BF75C8"/>
    <w:rsid w:val="00C00058"/>
    <w:rsid w:val="00C0286D"/>
    <w:rsid w:val="00C11797"/>
    <w:rsid w:val="00C15C25"/>
    <w:rsid w:val="00C1762E"/>
    <w:rsid w:val="00C20F36"/>
    <w:rsid w:val="00C20F84"/>
    <w:rsid w:val="00C25123"/>
    <w:rsid w:val="00C2582A"/>
    <w:rsid w:val="00C30A48"/>
    <w:rsid w:val="00C375A7"/>
    <w:rsid w:val="00C44DFE"/>
    <w:rsid w:val="00C62DF8"/>
    <w:rsid w:val="00C640FB"/>
    <w:rsid w:val="00C86023"/>
    <w:rsid w:val="00C94EBA"/>
    <w:rsid w:val="00C973B4"/>
    <w:rsid w:val="00CA2770"/>
    <w:rsid w:val="00CB054E"/>
    <w:rsid w:val="00CC52D7"/>
    <w:rsid w:val="00CE4DED"/>
    <w:rsid w:val="00D04811"/>
    <w:rsid w:val="00D20F53"/>
    <w:rsid w:val="00D23611"/>
    <w:rsid w:val="00D23AB6"/>
    <w:rsid w:val="00D50309"/>
    <w:rsid w:val="00D51AA9"/>
    <w:rsid w:val="00D57677"/>
    <w:rsid w:val="00D7264A"/>
    <w:rsid w:val="00D84E43"/>
    <w:rsid w:val="00D870DF"/>
    <w:rsid w:val="00DA30A0"/>
    <w:rsid w:val="00DB0C2F"/>
    <w:rsid w:val="00DB3BF6"/>
    <w:rsid w:val="00DB56A2"/>
    <w:rsid w:val="00DC31CC"/>
    <w:rsid w:val="00DC728A"/>
    <w:rsid w:val="00DD2F3C"/>
    <w:rsid w:val="00DD4A55"/>
    <w:rsid w:val="00DD65B5"/>
    <w:rsid w:val="00DD782E"/>
    <w:rsid w:val="00DE76CB"/>
    <w:rsid w:val="00DF6907"/>
    <w:rsid w:val="00E1059D"/>
    <w:rsid w:val="00E126A1"/>
    <w:rsid w:val="00E12955"/>
    <w:rsid w:val="00E155DF"/>
    <w:rsid w:val="00E174FA"/>
    <w:rsid w:val="00E246E1"/>
    <w:rsid w:val="00E314CE"/>
    <w:rsid w:val="00E340F5"/>
    <w:rsid w:val="00E514EB"/>
    <w:rsid w:val="00E52823"/>
    <w:rsid w:val="00E52B10"/>
    <w:rsid w:val="00E600D0"/>
    <w:rsid w:val="00E7192D"/>
    <w:rsid w:val="00E944FA"/>
    <w:rsid w:val="00E9797A"/>
    <w:rsid w:val="00EB0DB4"/>
    <w:rsid w:val="00EB44BE"/>
    <w:rsid w:val="00ED1047"/>
    <w:rsid w:val="00ED781F"/>
    <w:rsid w:val="00EE0436"/>
    <w:rsid w:val="00EE2819"/>
    <w:rsid w:val="00EF04A5"/>
    <w:rsid w:val="00F258C8"/>
    <w:rsid w:val="00F30035"/>
    <w:rsid w:val="00F33E30"/>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C61B9"/>
    <w:rsid w:val="00FD04DE"/>
    <w:rsid w:val="00FD1F12"/>
    <w:rsid w:val="00FD412B"/>
    <w:rsid w:val="00FF26C8"/>
    <w:rsid w:val="016D581F"/>
    <w:rsid w:val="030F2BA7"/>
    <w:rsid w:val="04240CEE"/>
    <w:rsid w:val="065551D3"/>
    <w:rsid w:val="06C37561"/>
    <w:rsid w:val="0A236A5A"/>
    <w:rsid w:val="0EE72DE1"/>
    <w:rsid w:val="0FC27AFF"/>
    <w:rsid w:val="10992483"/>
    <w:rsid w:val="111D4539"/>
    <w:rsid w:val="13297F9C"/>
    <w:rsid w:val="134727C6"/>
    <w:rsid w:val="141A5102"/>
    <w:rsid w:val="14E8025C"/>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5584B9A"/>
    <w:rsid w:val="5BC1648F"/>
    <w:rsid w:val="5BE61B5E"/>
    <w:rsid w:val="602D020F"/>
    <w:rsid w:val="64C67B5C"/>
    <w:rsid w:val="66F47EBC"/>
    <w:rsid w:val="681903E9"/>
    <w:rsid w:val="68823415"/>
    <w:rsid w:val="6898111C"/>
    <w:rsid w:val="6A485270"/>
    <w:rsid w:val="6D05415D"/>
    <w:rsid w:val="6F66394D"/>
    <w:rsid w:val="73193673"/>
    <w:rsid w:val="74543F24"/>
    <w:rsid w:val="74BE328D"/>
    <w:rsid w:val="780E0FCF"/>
    <w:rsid w:val="78C453A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04D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FD04DE"/>
    <w:pPr>
      <w:jc w:val="left"/>
    </w:pPr>
  </w:style>
  <w:style w:type="paragraph" w:styleId="a4">
    <w:name w:val="Balloon Text"/>
    <w:basedOn w:val="a"/>
    <w:link w:val="Char0"/>
    <w:uiPriority w:val="99"/>
    <w:unhideWhenUsed/>
    <w:qFormat/>
    <w:rsid w:val="00FD04DE"/>
    <w:rPr>
      <w:sz w:val="18"/>
      <w:szCs w:val="18"/>
    </w:rPr>
  </w:style>
  <w:style w:type="paragraph" w:styleId="a5">
    <w:name w:val="footer"/>
    <w:basedOn w:val="a"/>
    <w:link w:val="Char1"/>
    <w:uiPriority w:val="99"/>
    <w:unhideWhenUsed/>
    <w:qFormat/>
    <w:rsid w:val="00FD04DE"/>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FD04DE"/>
    <w:pPr>
      <w:pBdr>
        <w:bottom w:val="single" w:sz="6" w:space="1" w:color="auto"/>
      </w:pBdr>
      <w:tabs>
        <w:tab w:val="center" w:pos="4153"/>
        <w:tab w:val="right" w:pos="8306"/>
      </w:tabs>
      <w:snapToGrid w:val="0"/>
      <w:jc w:val="center"/>
    </w:pPr>
    <w:rPr>
      <w:sz w:val="18"/>
      <w:szCs w:val="18"/>
    </w:rPr>
  </w:style>
  <w:style w:type="paragraph" w:styleId="a7">
    <w:name w:val="footnote text"/>
    <w:basedOn w:val="a"/>
    <w:uiPriority w:val="99"/>
    <w:unhideWhenUsed/>
    <w:qFormat/>
    <w:rsid w:val="00FD04DE"/>
    <w:pPr>
      <w:snapToGrid w:val="0"/>
      <w:jc w:val="left"/>
    </w:pPr>
    <w:rPr>
      <w:sz w:val="18"/>
    </w:rPr>
  </w:style>
  <w:style w:type="paragraph" w:styleId="a8">
    <w:name w:val="Normal (Web)"/>
    <w:basedOn w:val="a"/>
    <w:qFormat/>
    <w:rsid w:val="00FD04DE"/>
    <w:pPr>
      <w:widowControl/>
      <w:spacing w:before="100" w:beforeAutospacing="1" w:after="100" w:afterAutospacing="1"/>
      <w:jc w:val="left"/>
    </w:pPr>
    <w:rPr>
      <w:rFonts w:ascii="宋体" w:hAnsi="宋体"/>
      <w:kern w:val="0"/>
      <w:sz w:val="24"/>
      <w:szCs w:val="24"/>
    </w:rPr>
  </w:style>
  <w:style w:type="paragraph" w:styleId="a9">
    <w:name w:val="annotation subject"/>
    <w:basedOn w:val="a3"/>
    <w:next w:val="a3"/>
    <w:link w:val="Char3"/>
    <w:uiPriority w:val="99"/>
    <w:unhideWhenUsed/>
    <w:qFormat/>
    <w:rsid w:val="00FD04DE"/>
    <w:rPr>
      <w:b/>
      <w:bCs/>
    </w:rPr>
  </w:style>
  <w:style w:type="table" w:styleId="aa">
    <w:name w:val="Table Grid"/>
    <w:basedOn w:val="a1"/>
    <w:uiPriority w:val="59"/>
    <w:qFormat/>
    <w:rsid w:val="00FD04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uiPriority w:val="99"/>
    <w:unhideWhenUsed/>
    <w:qFormat/>
    <w:rsid w:val="00FD04DE"/>
  </w:style>
  <w:style w:type="character" w:styleId="ac">
    <w:name w:val="annotation reference"/>
    <w:uiPriority w:val="99"/>
    <w:unhideWhenUsed/>
    <w:qFormat/>
    <w:rsid w:val="00FD04DE"/>
    <w:rPr>
      <w:sz w:val="21"/>
      <w:szCs w:val="21"/>
    </w:rPr>
  </w:style>
  <w:style w:type="character" w:styleId="ad">
    <w:name w:val="footnote reference"/>
    <w:uiPriority w:val="99"/>
    <w:unhideWhenUsed/>
    <w:qFormat/>
    <w:rsid w:val="00FD04DE"/>
    <w:rPr>
      <w:vertAlign w:val="superscript"/>
    </w:rPr>
  </w:style>
  <w:style w:type="character" w:customStyle="1" w:styleId="Char0">
    <w:name w:val="批注框文本 Char"/>
    <w:link w:val="a4"/>
    <w:uiPriority w:val="99"/>
    <w:semiHidden/>
    <w:qFormat/>
    <w:rsid w:val="00FD04DE"/>
    <w:rPr>
      <w:kern w:val="2"/>
      <w:sz w:val="18"/>
      <w:szCs w:val="18"/>
    </w:rPr>
  </w:style>
  <w:style w:type="character" w:customStyle="1" w:styleId="Char2">
    <w:name w:val="页眉 Char"/>
    <w:link w:val="a6"/>
    <w:uiPriority w:val="99"/>
    <w:semiHidden/>
    <w:qFormat/>
    <w:locked/>
    <w:rsid w:val="00FD04DE"/>
    <w:rPr>
      <w:rFonts w:ascii="Times New Roman" w:hAnsi="Times New Roman" w:cs="Times New Roman" w:hint="default"/>
      <w:sz w:val="18"/>
      <w:szCs w:val="18"/>
    </w:rPr>
  </w:style>
  <w:style w:type="character" w:customStyle="1" w:styleId="Char3">
    <w:name w:val="批注主题 Char"/>
    <w:link w:val="a9"/>
    <w:uiPriority w:val="99"/>
    <w:semiHidden/>
    <w:qFormat/>
    <w:rsid w:val="00FD04DE"/>
    <w:rPr>
      <w:b/>
      <w:bCs/>
      <w:kern w:val="2"/>
      <w:sz w:val="21"/>
      <w:szCs w:val="22"/>
    </w:rPr>
  </w:style>
  <w:style w:type="character" w:customStyle="1" w:styleId="Char1">
    <w:name w:val="页脚 Char"/>
    <w:link w:val="a5"/>
    <w:uiPriority w:val="99"/>
    <w:semiHidden/>
    <w:qFormat/>
    <w:locked/>
    <w:rsid w:val="00FD04DE"/>
    <w:rPr>
      <w:rFonts w:ascii="Times New Roman" w:hAnsi="Times New Roman" w:cs="Times New Roman" w:hint="default"/>
      <w:sz w:val="18"/>
      <w:szCs w:val="18"/>
    </w:rPr>
  </w:style>
  <w:style w:type="character" w:customStyle="1" w:styleId="Char">
    <w:name w:val="批注文字 Char"/>
    <w:link w:val="a3"/>
    <w:uiPriority w:val="99"/>
    <w:qFormat/>
    <w:rsid w:val="00FD04DE"/>
    <w:rPr>
      <w:kern w:val="2"/>
      <w:sz w:val="21"/>
      <w:szCs w:val="22"/>
    </w:rPr>
  </w:style>
  <w:style w:type="paragraph" w:customStyle="1" w:styleId="zhongyaotishi">
    <w:name w:val="zhongyaotishi"/>
    <w:basedOn w:val="a"/>
    <w:qFormat/>
    <w:rsid w:val="00FD04DE"/>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FD04DE"/>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FD04DE"/>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FD04DE"/>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FD04DE"/>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FD04DE"/>
    <w:pPr>
      <w:widowControl w:val="0"/>
      <w:jc w:val="center"/>
    </w:pPr>
    <w:rPr>
      <w:kern w:val="2"/>
      <w:sz w:val="33"/>
      <w:szCs w:val="22"/>
    </w:rPr>
  </w:style>
  <w:style w:type="paragraph" w:customStyle="1" w:styleId="biaogeleft">
    <w:name w:val="biaoge_left"/>
    <w:basedOn w:val="a"/>
    <w:qFormat/>
    <w:rsid w:val="00FD04DE"/>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FD04DE"/>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FD04DE"/>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FD04DE"/>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FD04DE"/>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FD04DE"/>
    <w:pPr>
      <w:widowControl w:val="0"/>
    </w:pPr>
    <w:rPr>
      <w:kern w:val="2"/>
      <w:sz w:val="21"/>
      <w:szCs w:val="22"/>
    </w:rPr>
  </w:style>
  <w:style w:type="paragraph" w:customStyle="1" w:styleId="neirong">
    <w:name w:val="neirong"/>
    <w:basedOn w:val="a"/>
    <w:qFormat/>
    <w:rsid w:val="00FD04DE"/>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FD04DE"/>
    <w:pPr>
      <w:jc w:val="both"/>
    </w:pPr>
    <w:rPr>
      <w:kern w:val="2"/>
      <w:sz w:val="21"/>
      <w:szCs w:val="21"/>
    </w:rPr>
  </w:style>
  <w:style w:type="paragraph" w:customStyle="1" w:styleId="Default">
    <w:name w:val="Default"/>
    <w:qFormat/>
    <w:rsid w:val="00FD04DE"/>
    <w:pPr>
      <w:widowControl w:val="0"/>
      <w:autoSpaceDE w:val="0"/>
      <w:autoSpaceDN w:val="0"/>
      <w:adjustRightInd w:val="0"/>
    </w:pPr>
    <w:rPr>
      <w:rFonts w:ascii="宋体" w:cs="宋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B8A1BB-1FCB-4050-B290-013ED83B5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388</Words>
  <Characters>2214</Characters>
  <Application>Microsoft Office Word</Application>
  <DocSecurity>0</DocSecurity>
  <Lines>18</Lines>
  <Paragraphs>5</Paragraphs>
  <ScaleCrop>false</ScaleCrop>
  <Company>微软中国</Company>
  <LinksUpToDate>false</LinksUpToDate>
  <CharactersWithSpaces>2597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yytx</cp:lastModifiedBy>
  <cp:lastPrinted>2019-09-11T00:56:00Z</cp:lastPrinted>
  <dcterms:modified xsi:type="dcterms:W3CDTF">2025-08-21T07:49:00Z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05675B71ACAB471C8C2DFDDC11AEA90C</vt:lpwstr>
  </property>
</Properties>
</file>