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8E8" w:rsidRDefault="00EF58E8" w:rsidP="00813334">
      <w:pPr>
        <w:spacing w:before="240" w:afterLines="30" w:line="360" w:lineRule="auto"/>
        <w:jc w:val="center"/>
      </w:pPr>
    </w:p>
    <w:p w:rsidR="00EF58E8" w:rsidRDefault="00EF58E8" w:rsidP="00813334">
      <w:pPr>
        <w:spacing w:before="240" w:afterLines="30" w:line="360" w:lineRule="auto"/>
        <w:jc w:val="center"/>
      </w:pPr>
    </w:p>
    <w:p w:rsidR="00EF58E8" w:rsidRDefault="00EF58E8" w:rsidP="00813334">
      <w:pPr>
        <w:spacing w:before="240" w:afterLines="30" w:line="360" w:lineRule="auto"/>
        <w:jc w:val="center"/>
      </w:pPr>
    </w:p>
    <w:p w:rsidR="00EF58E8" w:rsidRDefault="00134CF1" w:rsidP="00813334">
      <w:pPr>
        <w:spacing w:before="240" w:afterLines="30" w:line="360" w:lineRule="auto"/>
        <w:jc w:val="center"/>
        <w:rPr>
          <w:rFonts w:ascii="方正黑体简体" w:eastAsia="方正黑体简体"/>
          <w:sz w:val="36"/>
        </w:rPr>
      </w:pPr>
      <w:r>
        <w:rPr>
          <w:rFonts w:ascii="方正黑体简体" w:eastAsia="方正黑体简体"/>
          <w:sz w:val="36"/>
        </w:rPr>
        <w:t>南银理财添瑞日日聚宝2号现金管理类公募人民币理财产品</w:t>
      </w:r>
    </w:p>
    <w:p w:rsidR="00EF58E8" w:rsidRDefault="00134CF1" w:rsidP="00813334">
      <w:pPr>
        <w:spacing w:before="240" w:afterLines="30" w:line="360" w:lineRule="auto"/>
        <w:jc w:val="center"/>
        <w:rPr>
          <w:rFonts w:ascii="方正黑体简体" w:eastAsia="方正黑体简体" w:hAnsi="黑体"/>
          <w:sz w:val="36"/>
        </w:rPr>
      </w:pPr>
      <w:r>
        <w:rPr>
          <w:rFonts w:ascii="方正黑体简体" w:eastAsia="方正黑体简体" w:hAnsi="黑体"/>
          <w:sz w:val="36"/>
        </w:rPr>
        <w:t>2024年</w:t>
      </w:r>
      <w:r>
        <w:rPr>
          <w:rFonts w:ascii="方正黑体简体" w:eastAsia="方正黑体简体" w:hAnsi="Calibri" w:hint="eastAsia"/>
          <w:sz w:val="36"/>
        </w:rPr>
        <w:t>年度</w:t>
      </w:r>
      <w:r>
        <w:rPr>
          <w:rFonts w:ascii="方正黑体简体" w:eastAsia="方正黑体简体" w:hAnsi="黑体"/>
          <w:sz w:val="36"/>
        </w:rPr>
        <w:t>报告</w:t>
      </w:r>
    </w:p>
    <w:p w:rsidR="00EF58E8" w:rsidRDefault="00EF58E8" w:rsidP="00813334">
      <w:pPr>
        <w:spacing w:before="240" w:afterLines="30" w:line="360" w:lineRule="auto"/>
        <w:jc w:val="center"/>
        <w:rPr>
          <w:rFonts w:ascii="黑体" w:eastAsia="黑体" w:hAnsi="黑体"/>
          <w:sz w:val="36"/>
        </w:rPr>
      </w:pPr>
    </w:p>
    <w:p w:rsidR="00EF58E8" w:rsidRDefault="00EF58E8" w:rsidP="00813334">
      <w:pPr>
        <w:spacing w:before="240" w:afterLines="30" w:line="360" w:lineRule="auto"/>
        <w:jc w:val="center"/>
        <w:rPr>
          <w:rFonts w:ascii="黑体" w:eastAsia="黑体" w:hAnsi="黑体"/>
          <w:sz w:val="36"/>
        </w:rPr>
      </w:pPr>
    </w:p>
    <w:p w:rsidR="00EF58E8" w:rsidRDefault="00EF58E8" w:rsidP="00813334">
      <w:pPr>
        <w:spacing w:before="240" w:afterLines="30" w:line="360" w:lineRule="auto"/>
        <w:jc w:val="center"/>
        <w:rPr>
          <w:rFonts w:ascii="黑体" w:eastAsia="黑体" w:hAnsi="黑体"/>
          <w:sz w:val="36"/>
        </w:rPr>
      </w:pPr>
    </w:p>
    <w:p w:rsidR="00EF58E8" w:rsidRDefault="00EF58E8" w:rsidP="00813334">
      <w:pPr>
        <w:spacing w:before="240" w:afterLines="30" w:line="360" w:lineRule="auto"/>
        <w:jc w:val="center"/>
        <w:rPr>
          <w:rFonts w:ascii="黑体" w:eastAsia="黑体" w:hAnsi="黑体"/>
          <w:sz w:val="36"/>
        </w:rPr>
      </w:pPr>
    </w:p>
    <w:p w:rsidR="00EF58E8" w:rsidRDefault="00EF58E8" w:rsidP="00813334">
      <w:pPr>
        <w:spacing w:before="240" w:afterLines="30" w:line="360" w:lineRule="auto"/>
        <w:jc w:val="center"/>
        <w:rPr>
          <w:rFonts w:ascii="黑体" w:eastAsia="黑体" w:hAnsi="黑体"/>
          <w:sz w:val="36"/>
        </w:rPr>
      </w:pPr>
    </w:p>
    <w:p w:rsidR="00EF58E8" w:rsidRDefault="00EF58E8" w:rsidP="00813334">
      <w:pPr>
        <w:spacing w:before="240" w:afterLines="30" w:line="360" w:lineRule="auto"/>
        <w:jc w:val="center"/>
        <w:rPr>
          <w:rFonts w:ascii="黑体" w:eastAsia="黑体" w:hAnsi="黑体"/>
          <w:sz w:val="36"/>
        </w:rPr>
      </w:pPr>
    </w:p>
    <w:p w:rsidR="00EF58E8" w:rsidRDefault="00EF58E8" w:rsidP="00813334">
      <w:pPr>
        <w:spacing w:before="240" w:afterLines="30" w:line="360" w:lineRule="auto"/>
        <w:jc w:val="center"/>
        <w:rPr>
          <w:rFonts w:ascii="黑体" w:eastAsia="黑体" w:hAnsi="黑体"/>
          <w:sz w:val="36"/>
        </w:rPr>
      </w:pPr>
    </w:p>
    <w:p w:rsidR="00EF58E8" w:rsidRDefault="00134CF1" w:rsidP="00813334">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产品管理人:南银理财有限责任公司</w:t>
      </w:r>
    </w:p>
    <w:p w:rsidR="00EF58E8" w:rsidRDefault="00134CF1" w:rsidP="00813334">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产品托管人:南京银行股份有限公司</w:t>
      </w:r>
    </w:p>
    <w:p w:rsidR="00EF58E8" w:rsidRDefault="00134CF1">
      <w:pPr>
        <w:widowControl/>
        <w:jc w:val="left"/>
        <w:rPr>
          <w:rFonts w:ascii="方正仿宋简体" w:eastAsia="方正仿宋简体"/>
          <w:sz w:val="24"/>
          <w:szCs w:val="24"/>
        </w:rPr>
      </w:pPr>
      <w:r>
        <w:rPr>
          <w:rFonts w:ascii="方正仿宋简体" w:eastAsia="方正仿宋简体"/>
          <w:sz w:val="24"/>
          <w:szCs w:val="24"/>
        </w:rPr>
        <w:br w:type="page"/>
      </w:r>
    </w:p>
    <w:p w:rsidR="00EF58E8" w:rsidRDefault="00134CF1" w:rsidP="00813334">
      <w:pPr>
        <w:spacing w:before="240" w:afterLines="30" w:line="360" w:lineRule="auto"/>
        <w:jc w:val="center"/>
        <w:rPr>
          <w:rFonts w:ascii="方正仿宋简体" w:eastAsia="方正仿宋简体"/>
          <w:sz w:val="24"/>
          <w:szCs w:val="24"/>
        </w:rPr>
      </w:pPr>
      <w:r>
        <w:rPr>
          <w:rFonts w:ascii="方正仿宋简体" w:eastAsia="方正仿宋简体" w:hAnsi="Calibri" w:hint="eastAsia"/>
          <w:b/>
          <w:sz w:val="24"/>
          <w:szCs w:val="24"/>
        </w:rPr>
        <w:lastRenderedPageBreak/>
        <w:t>§1 产品概况</w:t>
      </w:r>
    </w:p>
    <w:tbl>
      <w:tblPr>
        <w:tblW w:w="9243"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24"/>
        <w:gridCol w:w="6519"/>
      </w:tblGrid>
      <w:tr w:rsidR="00EF58E8">
        <w:trPr>
          <w:jc w:val="center"/>
        </w:trPr>
        <w:tc>
          <w:tcPr>
            <w:tcW w:w="2724"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产品全称</w:t>
            </w:r>
          </w:p>
        </w:tc>
        <w:tc>
          <w:tcPr>
            <w:tcW w:w="6519"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南银理财添瑞日日聚宝2号现金管理类公募人民币理财产品</w:t>
            </w:r>
          </w:p>
        </w:tc>
      </w:tr>
      <w:tr w:rsidR="00EF58E8">
        <w:trPr>
          <w:jc w:val="center"/>
        </w:trPr>
        <w:tc>
          <w:tcPr>
            <w:tcW w:w="2724"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产品登记编码</w:t>
            </w:r>
          </w:p>
        </w:tc>
        <w:tc>
          <w:tcPr>
            <w:tcW w:w="6519"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Z7003223000067（投资者可依据该编码在中国理财网www.chinawealth.com.cn查询理财产品相关信息）</w:t>
            </w:r>
          </w:p>
        </w:tc>
      </w:tr>
      <w:tr w:rsidR="00EF58E8">
        <w:trPr>
          <w:jc w:val="center"/>
        </w:trPr>
        <w:tc>
          <w:tcPr>
            <w:tcW w:w="2724"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产品运作方式</w:t>
            </w:r>
          </w:p>
        </w:tc>
        <w:tc>
          <w:tcPr>
            <w:tcW w:w="6519" w:type="dxa"/>
            <w:vAlign w:val="center"/>
          </w:tcPr>
          <w:p w:rsidR="00EF58E8" w:rsidRDefault="000F7EE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开放式</w:t>
            </w:r>
            <w:r w:rsidR="00134CF1">
              <w:rPr>
                <w:rFonts w:ascii="方正仿宋简体" w:eastAsia="方正仿宋简体" w:hint="eastAsia"/>
                <w:sz w:val="24"/>
                <w:szCs w:val="24"/>
              </w:rPr>
              <w:t>净值型</w:t>
            </w:r>
          </w:p>
        </w:tc>
      </w:tr>
      <w:tr w:rsidR="00EF58E8">
        <w:trPr>
          <w:jc w:val="center"/>
        </w:trPr>
        <w:tc>
          <w:tcPr>
            <w:tcW w:w="2724"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产品成立日</w:t>
            </w:r>
          </w:p>
        </w:tc>
        <w:tc>
          <w:tcPr>
            <w:tcW w:w="6519"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2023年04月04日</w:t>
            </w:r>
          </w:p>
        </w:tc>
      </w:tr>
      <w:tr w:rsidR="00EF58E8">
        <w:trPr>
          <w:jc w:val="center"/>
        </w:trPr>
        <w:tc>
          <w:tcPr>
            <w:tcW w:w="2724"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报告期末产品份额总额</w:t>
            </w:r>
          </w:p>
        </w:tc>
        <w:tc>
          <w:tcPr>
            <w:tcW w:w="6519"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3,346,371,875.21份</w:t>
            </w:r>
          </w:p>
        </w:tc>
      </w:tr>
      <w:tr w:rsidR="00EF58E8">
        <w:trPr>
          <w:jc w:val="center"/>
        </w:trPr>
        <w:tc>
          <w:tcPr>
            <w:tcW w:w="2724"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报告期末产品杠杆水平</w:t>
            </w:r>
          </w:p>
        </w:tc>
        <w:tc>
          <w:tcPr>
            <w:tcW w:w="6519"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sz w:val="24"/>
                <w:szCs w:val="24"/>
              </w:rPr>
              <w:t>100.05%</w:t>
            </w:r>
          </w:p>
        </w:tc>
      </w:tr>
      <w:tr w:rsidR="00EF58E8">
        <w:trPr>
          <w:jc w:val="center"/>
        </w:trPr>
        <w:tc>
          <w:tcPr>
            <w:tcW w:w="2724"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合作机构</w:t>
            </w:r>
          </w:p>
        </w:tc>
        <w:tc>
          <w:tcPr>
            <w:tcW w:w="6519"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中粮信托有限责任公司,中诚信托有限责任公司,华润深国投信托有限公司,光大永明资产管理股份有限公司</w:t>
            </w:r>
          </w:p>
        </w:tc>
      </w:tr>
      <w:tr w:rsidR="00EF58E8">
        <w:trPr>
          <w:jc w:val="center"/>
        </w:trPr>
        <w:tc>
          <w:tcPr>
            <w:tcW w:w="2724"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产品管理人</w:t>
            </w:r>
          </w:p>
        </w:tc>
        <w:tc>
          <w:tcPr>
            <w:tcW w:w="6519"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南银理财有限责任公司</w:t>
            </w:r>
          </w:p>
        </w:tc>
      </w:tr>
      <w:tr w:rsidR="00EF58E8">
        <w:trPr>
          <w:jc w:val="center"/>
        </w:trPr>
        <w:tc>
          <w:tcPr>
            <w:tcW w:w="2724"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产品托管人</w:t>
            </w:r>
          </w:p>
        </w:tc>
        <w:tc>
          <w:tcPr>
            <w:tcW w:w="6519" w:type="dxa"/>
            <w:vAlign w:val="center"/>
          </w:tcPr>
          <w:p w:rsidR="00EF58E8" w:rsidRDefault="00134CF1" w:rsidP="00813334">
            <w:pPr>
              <w:spacing w:beforeLines="20" w:afterLines="20"/>
              <w:jc w:val="left"/>
              <w:rPr>
                <w:rFonts w:ascii="方正仿宋简体" w:eastAsia="方正仿宋简体"/>
                <w:sz w:val="24"/>
                <w:szCs w:val="24"/>
              </w:rPr>
            </w:pPr>
            <w:r>
              <w:rPr>
                <w:rFonts w:ascii="方正仿宋简体" w:eastAsia="方正仿宋简体" w:hint="eastAsia"/>
                <w:sz w:val="24"/>
                <w:szCs w:val="24"/>
              </w:rPr>
              <w:t>南京银行股份有限公司</w:t>
            </w:r>
          </w:p>
        </w:tc>
      </w:tr>
    </w:tbl>
    <w:p w:rsidR="00EF58E8" w:rsidRDefault="00EF58E8" w:rsidP="00813334">
      <w:pPr>
        <w:spacing w:before="240" w:afterLines="30" w:line="360" w:lineRule="auto"/>
        <w:rPr>
          <w:rFonts w:ascii="方正仿宋简体" w:eastAsia="方正仿宋简体" w:hAnsi="Calibri"/>
          <w:sz w:val="24"/>
          <w:szCs w:val="24"/>
        </w:rPr>
      </w:pPr>
    </w:p>
    <w:p w:rsidR="00EF58E8" w:rsidRDefault="00134CF1" w:rsidP="00813334">
      <w:pPr>
        <w:spacing w:before="240" w:afterLines="30" w:line="360" w:lineRule="auto"/>
        <w:jc w:val="center"/>
        <w:rPr>
          <w:rFonts w:ascii="方正仿宋简体" w:eastAsia="方正仿宋简体"/>
          <w:b/>
          <w:sz w:val="24"/>
          <w:szCs w:val="24"/>
        </w:rPr>
      </w:pPr>
      <w:r>
        <w:rPr>
          <w:rFonts w:ascii="方正仿宋简体" w:eastAsia="方正仿宋简体" w:hAnsi="Calibri" w:hint="eastAsia"/>
          <w:b/>
          <w:sz w:val="24"/>
          <w:szCs w:val="24"/>
        </w:rPr>
        <w:t>§2  主要财务指标</w:t>
      </w:r>
    </w:p>
    <w:p w:rsidR="00EF58E8" w:rsidRDefault="00134CF1" w:rsidP="00813334">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2.1 主要财务指标</w:t>
      </w:r>
    </w:p>
    <w:p w:rsidR="00EF58E8" w:rsidRDefault="00134CF1" w:rsidP="00813334">
      <w:pPr>
        <w:spacing w:before="240" w:afterLines="30" w:line="360" w:lineRule="auto"/>
        <w:jc w:val="right"/>
        <w:rPr>
          <w:rFonts w:ascii="方正仿宋简体" w:eastAsia="方正仿宋简体" w:cs="宋体"/>
          <w:kern w:val="0"/>
          <w:sz w:val="24"/>
          <w:szCs w:val="24"/>
        </w:rPr>
      </w:pPr>
      <w:r>
        <w:rPr>
          <w:rFonts w:ascii="方正仿宋简体" w:eastAsia="方正仿宋简体" w:cs="宋体" w:hint="eastAsia"/>
          <w:kern w:val="0"/>
          <w:sz w:val="24"/>
          <w:szCs w:val="24"/>
        </w:rPr>
        <w:t>单位：人民币元</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2"/>
        <w:gridCol w:w="2409"/>
        <w:gridCol w:w="1418"/>
        <w:gridCol w:w="1559"/>
        <w:gridCol w:w="1814"/>
      </w:tblGrid>
      <w:tr w:rsidR="00EF58E8">
        <w:trPr>
          <w:jc w:val="center"/>
        </w:trPr>
        <w:tc>
          <w:tcPr>
            <w:tcW w:w="2122" w:type="dxa"/>
            <w:vMerge w:val="restart"/>
            <w:vAlign w:val="center"/>
          </w:tcPr>
          <w:p w:rsidR="00EF58E8" w:rsidRDefault="00134CF1" w:rsidP="00813334">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内部销售代码</w:t>
            </w:r>
          </w:p>
        </w:tc>
        <w:tc>
          <w:tcPr>
            <w:tcW w:w="7200" w:type="dxa"/>
            <w:gridSpan w:val="4"/>
            <w:vAlign w:val="center"/>
          </w:tcPr>
          <w:p w:rsidR="00EF58E8" w:rsidRDefault="00134CF1" w:rsidP="00813334">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报告期（2024年01月01日 - 2024年12月31日）</w:t>
            </w:r>
          </w:p>
        </w:tc>
      </w:tr>
      <w:tr w:rsidR="00EF58E8">
        <w:trPr>
          <w:jc w:val="center"/>
        </w:trPr>
        <w:tc>
          <w:tcPr>
            <w:tcW w:w="2122" w:type="dxa"/>
            <w:vMerge/>
            <w:vAlign w:val="center"/>
          </w:tcPr>
          <w:p w:rsidR="00EF58E8" w:rsidRDefault="00EF58E8" w:rsidP="00813334">
            <w:pPr>
              <w:spacing w:beforeLines="20" w:afterLines="20"/>
              <w:jc w:val="center"/>
              <w:rPr>
                <w:rFonts w:ascii="方正仿宋简体" w:eastAsia="方正仿宋简体"/>
                <w:sz w:val="24"/>
                <w:szCs w:val="24"/>
                <w:shd w:val="clear" w:color="auto" w:fill="FFFFFF"/>
              </w:rPr>
            </w:pPr>
          </w:p>
        </w:tc>
        <w:tc>
          <w:tcPr>
            <w:tcW w:w="2409" w:type="dxa"/>
            <w:vAlign w:val="center"/>
          </w:tcPr>
          <w:p w:rsidR="00EF58E8" w:rsidRDefault="00134CF1" w:rsidP="00813334">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1.期末产品最后一个市场交易日资产净值</w:t>
            </w:r>
          </w:p>
        </w:tc>
        <w:tc>
          <w:tcPr>
            <w:tcW w:w="1418" w:type="dxa"/>
            <w:vAlign w:val="center"/>
          </w:tcPr>
          <w:p w:rsidR="00EF58E8" w:rsidRDefault="00134CF1" w:rsidP="00813334">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2.期末产品最后一个市场交易日份额净值</w:t>
            </w:r>
          </w:p>
        </w:tc>
        <w:tc>
          <w:tcPr>
            <w:tcW w:w="1559" w:type="dxa"/>
            <w:vAlign w:val="center"/>
          </w:tcPr>
          <w:p w:rsidR="00EF58E8" w:rsidRDefault="00134CF1" w:rsidP="00813334">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3.期末产品最后一个市场交易日份额累计净值</w:t>
            </w:r>
          </w:p>
        </w:tc>
        <w:tc>
          <w:tcPr>
            <w:tcW w:w="1814" w:type="dxa"/>
            <w:vAlign w:val="center"/>
          </w:tcPr>
          <w:p w:rsidR="00EF58E8" w:rsidRDefault="00134CF1" w:rsidP="00813334">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4.其它费用</w:t>
            </w:r>
          </w:p>
        </w:tc>
      </w:tr>
      <w:tr w:rsidR="00EF58E8">
        <w:tblPrEx>
          <w:tblBorders>
            <w:top w:val="single" w:sz="1" w:space="0" w:color="000000"/>
            <w:left w:val="single" w:sz="1" w:space="0" w:color="000000"/>
            <w:bottom w:val="single" w:sz="1" w:space="0" w:color="000000"/>
            <w:right w:val="single" w:sz="1" w:space="0" w:color="000000"/>
          </w:tblBorders>
        </w:tblPrEx>
        <w:trPr>
          <w:jc w:val="center"/>
        </w:trPr>
        <w:tc>
          <w:tcPr>
            <w:tcW w:w="2122"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A20003</w:t>
            </w:r>
          </w:p>
        </w:tc>
        <w:tc>
          <w:tcPr>
            <w:tcW w:w="240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338,637,552.47</w:t>
            </w:r>
          </w:p>
        </w:tc>
        <w:tc>
          <w:tcPr>
            <w:tcW w:w="1418"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55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814" w:type="dxa"/>
            <w:vMerge w:val="restart"/>
            <w:vAlign w:val="center"/>
          </w:tcPr>
          <w:p w:rsidR="00EF58E8" w:rsidRDefault="002F6BC5" w:rsidP="00813334">
            <w:pPr>
              <w:spacing w:beforeLines="20" w:afterLines="20"/>
              <w:jc w:val="center"/>
              <w:textAlignment w:val="center"/>
              <w:rPr>
                <w:rFonts w:ascii="方正仿宋简体" w:eastAsia="方正仿宋简体"/>
                <w:sz w:val="24"/>
                <w:szCs w:val="24"/>
                <w:shd w:val="clear" w:color="auto" w:fill="FFFFFF"/>
              </w:rPr>
            </w:pPr>
            <w:r w:rsidRPr="002F6BC5">
              <w:rPr>
                <w:rFonts w:ascii="方正仿宋简体" w:eastAsia="方正仿宋简体" w:hAnsi="方正仿宋简体" w:cs="方正仿宋简体" w:hint="eastAsia"/>
                <w:sz w:val="24"/>
              </w:rPr>
              <w:t>9,700.00</w:t>
            </w:r>
          </w:p>
        </w:tc>
      </w:tr>
      <w:tr w:rsidR="00EF58E8">
        <w:tblPrEx>
          <w:tblBorders>
            <w:top w:val="single" w:sz="1" w:space="0" w:color="000000"/>
            <w:left w:val="single" w:sz="1" w:space="0" w:color="000000"/>
            <w:bottom w:val="single" w:sz="1" w:space="0" w:color="000000"/>
            <w:right w:val="single" w:sz="1" w:space="0" w:color="000000"/>
          </w:tblBorders>
        </w:tblPrEx>
        <w:trPr>
          <w:jc w:val="center"/>
        </w:trPr>
        <w:tc>
          <w:tcPr>
            <w:tcW w:w="2122"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A21003</w:t>
            </w:r>
          </w:p>
        </w:tc>
        <w:tc>
          <w:tcPr>
            <w:tcW w:w="240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585,942,635.91</w:t>
            </w:r>
          </w:p>
        </w:tc>
        <w:tc>
          <w:tcPr>
            <w:tcW w:w="1418"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55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814" w:type="dxa"/>
            <w:vMerge/>
            <w:vAlign w:val="center"/>
          </w:tcPr>
          <w:p w:rsidR="00EF58E8" w:rsidRDefault="00EF58E8" w:rsidP="00813334">
            <w:pPr>
              <w:spacing w:beforeLines="20" w:afterLines="20"/>
              <w:jc w:val="center"/>
              <w:textAlignment w:val="center"/>
              <w:rPr>
                <w:rFonts w:ascii="方正仿宋简体" w:eastAsia="方正仿宋简体"/>
                <w:sz w:val="24"/>
                <w:szCs w:val="24"/>
                <w:shd w:val="clear" w:color="auto" w:fill="FFFFFF"/>
              </w:rPr>
            </w:pPr>
          </w:p>
        </w:tc>
      </w:tr>
      <w:tr w:rsidR="00EF58E8">
        <w:tblPrEx>
          <w:tblBorders>
            <w:top w:val="single" w:sz="1" w:space="0" w:color="000000"/>
            <w:left w:val="single" w:sz="1" w:space="0" w:color="000000"/>
            <w:bottom w:val="single" w:sz="1" w:space="0" w:color="000000"/>
            <w:right w:val="single" w:sz="1" w:space="0" w:color="000000"/>
          </w:tblBorders>
        </w:tblPrEx>
        <w:trPr>
          <w:jc w:val="center"/>
        </w:trPr>
        <w:tc>
          <w:tcPr>
            <w:tcW w:w="2122"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A21103</w:t>
            </w:r>
          </w:p>
        </w:tc>
        <w:tc>
          <w:tcPr>
            <w:tcW w:w="240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952,076,138.16</w:t>
            </w:r>
          </w:p>
        </w:tc>
        <w:tc>
          <w:tcPr>
            <w:tcW w:w="1418"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55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814" w:type="dxa"/>
            <w:vMerge/>
            <w:vAlign w:val="center"/>
          </w:tcPr>
          <w:p w:rsidR="00EF58E8" w:rsidRDefault="00EF58E8" w:rsidP="00813334">
            <w:pPr>
              <w:spacing w:beforeLines="20" w:afterLines="20"/>
              <w:jc w:val="center"/>
              <w:textAlignment w:val="center"/>
              <w:rPr>
                <w:rFonts w:ascii="方正仿宋简体" w:eastAsia="方正仿宋简体"/>
                <w:sz w:val="24"/>
                <w:szCs w:val="24"/>
                <w:shd w:val="clear" w:color="auto" w:fill="FFFFFF"/>
              </w:rPr>
            </w:pPr>
          </w:p>
        </w:tc>
      </w:tr>
      <w:tr w:rsidR="00EF58E8">
        <w:tblPrEx>
          <w:tblBorders>
            <w:top w:val="single" w:sz="1" w:space="0" w:color="000000"/>
            <w:left w:val="single" w:sz="1" w:space="0" w:color="000000"/>
            <w:bottom w:val="single" w:sz="1" w:space="0" w:color="000000"/>
            <w:right w:val="single" w:sz="1" w:space="0" w:color="000000"/>
          </w:tblBorders>
        </w:tblPrEx>
        <w:trPr>
          <w:jc w:val="center"/>
        </w:trPr>
        <w:tc>
          <w:tcPr>
            <w:tcW w:w="2122"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A21203</w:t>
            </w:r>
          </w:p>
        </w:tc>
        <w:tc>
          <w:tcPr>
            <w:tcW w:w="240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313,139,303.65</w:t>
            </w:r>
          </w:p>
        </w:tc>
        <w:tc>
          <w:tcPr>
            <w:tcW w:w="1418"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55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814" w:type="dxa"/>
            <w:vMerge/>
            <w:vAlign w:val="center"/>
          </w:tcPr>
          <w:p w:rsidR="00EF58E8" w:rsidRDefault="00EF58E8" w:rsidP="00813334">
            <w:pPr>
              <w:spacing w:beforeLines="20" w:afterLines="20"/>
              <w:jc w:val="center"/>
              <w:textAlignment w:val="center"/>
              <w:rPr>
                <w:rFonts w:ascii="方正仿宋简体" w:eastAsia="方正仿宋简体"/>
                <w:sz w:val="24"/>
                <w:szCs w:val="24"/>
                <w:shd w:val="clear" w:color="auto" w:fill="FFFFFF"/>
              </w:rPr>
            </w:pPr>
          </w:p>
        </w:tc>
      </w:tr>
      <w:tr w:rsidR="00EF58E8">
        <w:tblPrEx>
          <w:tblBorders>
            <w:top w:val="single" w:sz="1" w:space="0" w:color="000000"/>
            <w:left w:val="single" w:sz="1" w:space="0" w:color="000000"/>
            <w:bottom w:val="single" w:sz="1" w:space="0" w:color="000000"/>
            <w:right w:val="single" w:sz="1" w:space="0" w:color="000000"/>
          </w:tblBorders>
        </w:tblPrEx>
        <w:trPr>
          <w:jc w:val="center"/>
        </w:trPr>
        <w:tc>
          <w:tcPr>
            <w:tcW w:w="2122"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lastRenderedPageBreak/>
              <w:t>A23003</w:t>
            </w:r>
          </w:p>
        </w:tc>
        <w:tc>
          <w:tcPr>
            <w:tcW w:w="240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289,277,088.85</w:t>
            </w:r>
          </w:p>
        </w:tc>
        <w:tc>
          <w:tcPr>
            <w:tcW w:w="1418"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55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814" w:type="dxa"/>
            <w:vMerge/>
            <w:vAlign w:val="center"/>
          </w:tcPr>
          <w:p w:rsidR="00EF58E8" w:rsidRDefault="00EF58E8" w:rsidP="00813334">
            <w:pPr>
              <w:spacing w:beforeLines="20" w:afterLines="20"/>
              <w:jc w:val="center"/>
              <w:textAlignment w:val="center"/>
              <w:rPr>
                <w:rFonts w:ascii="方正仿宋简体" w:eastAsia="方正仿宋简体"/>
                <w:sz w:val="24"/>
                <w:szCs w:val="24"/>
                <w:shd w:val="clear" w:color="auto" w:fill="FFFFFF"/>
              </w:rPr>
            </w:pPr>
          </w:p>
        </w:tc>
      </w:tr>
      <w:tr w:rsidR="00EF58E8">
        <w:tblPrEx>
          <w:tblBorders>
            <w:top w:val="single" w:sz="1" w:space="0" w:color="000000"/>
            <w:left w:val="single" w:sz="1" w:space="0" w:color="000000"/>
            <w:bottom w:val="single" w:sz="1" w:space="0" w:color="000000"/>
            <w:right w:val="single" w:sz="1" w:space="0" w:color="000000"/>
          </w:tblBorders>
        </w:tblPrEx>
        <w:trPr>
          <w:jc w:val="center"/>
        </w:trPr>
        <w:tc>
          <w:tcPr>
            <w:tcW w:w="2122"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A24003</w:t>
            </w:r>
          </w:p>
        </w:tc>
        <w:tc>
          <w:tcPr>
            <w:tcW w:w="240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346,318,523.41</w:t>
            </w:r>
          </w:p>
        </w:tc>
        <w:tc>
          <w:tcPr>
            <w:tcW w:w="1418"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55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814" w:type="dxa"/>
            <w:vMerge/>
            <w:vAlign w:val="center"/>
          </w:tcPr>
          <w:p w:rsidR="00EF58E8" w:rsidRDefault="00EF58E8" w:rsidP="00813334">
            <w:pPr>
              <w:spacing w:beforeLines="20" w:afterLines="20"/>
              <w:jc w:val="center"/>
              <w:textAlignment w:val="center"/>
              <w:rPr>
                <w:rFonts w:ascii="方正仿宋简体" w:eastAsia="方正仿宋简体"/>
                <w:sz w:val="24"/>
                <w:szCs w:val="24"/>
                <w:shd w:val="clear" w:color="auto" w:fill="FFFFFF"/>
              </w:rPr>
            </w:pPr>
          </w:p>
        </w:tc>
      </w:tr>
      <w:tr w:rsidR="00EF58E8">
        <w:tblPrEx>
          <w:tblBorders>
            <w:top w:val="single" w:sz="1" w:space="0" w:color="000000"/>
            <w:left w:val="single" w:sz="1" w:space="0" w:color="000000"/>
            <w:bottom w:val="single" w:sz="1" w:space="0" w:color="000000"/>
            <w:right w:val="single" w:sz="1" w:space="0" w:color="000000"/>
          </w:tblBorders>
        </w:tblPrEx>
        <w:trPr>
          <w:jc w:val="center"/>
        </w:trPr>
        <w:tc>
          <w:tcPr>
            <w:tcW w:w="2122"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A26003</w:t>
            </w:r>
          </w:p>
        </w:tc>
        <w:tc>
          <w:tcPr>
            <w:tcW w:w="240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2,765,205.24</w:t>
            </w:r>
          </w:p>
        </w:tc>
        <w:tc>
          <w:tcPr>
            <w:tcW w:w="1418"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55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814" w:type="dxa"/>
            <w:vMerge/>
            <w:vAlign w:val="center"/>
          </w:tcPr>
          <w:p w:rsidR="00EF58E8" w:rsidRDefault="00EF58E8" w:rsidP="00813334">
            <w:pPr>
              <w:spacing w:beforeLines="20" w:afterLines="20"/>
              <w:jc w:val="center"/>
              <w:textAlignment w:val="center"/>
              <w:rPr>
                <w:rFonts w:ascii="方正仿宋简体" w:eastAsia="方正仿宋简体"/>
                <w:sz w:val="24"/>
                <w:szCs w:val="24"/>
                <w:shd w:val="clear" w:color="auto" w:fill="FFFFFF"/>
              </w:rPr>
            </w:pPr>
          </w:p>
        </w:tc>
      </w:tr>
      <w:tr w:rsidR="00EF58E8">
        <w:tblPrEx>
          <w:tblBorders>
            <w:top w:val="single" w:sz="1" w:space="0" w:color="000000"/>
            <w:left w:val="single" w:sz="1" w:space="0" w:color="000000"/>
            <w:bottom w:val="single" w:sz="1" w:space="0" w:color="000000"/>
            <w:right w:val="single" w:sz="1" w:space="0" w:color="000000"/>
          </w:tblBorders>
        </w:tblPrEx>
        <w:trPr>
          <w:jc w:val="center"/>
        </w:trPr>
        <w:tc>
          <w:tcPr>
            <w:tcW w:w="2122"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A27003</w:t>
            </w:r>
          </w:p>
        </w:tc>
        <w:tc>
          <w:tcPr>
            <w:tcW w:w="240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518,214,199.24</w:t>
            </w:r>
          </w:p>
        </w:tc>
        <w:tc>
          <w:tcPr>
            <w:tcW w:w="1418"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55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814" w:type="dxa"/>
            <w:vMerge/>
            <w:vAlign w:val="center"/>
          </w:tcPr>
          <w:p w:rsidR="00EF58E8" w:rsidRDefault="00EF58E8" w:rsidP="00813334">
            <w:pPr>
              <w:spacing w:beforeLines="20" w:afterLines="20"/>
              <w:jc w:val="center"/>
              <w:textAlignment w:val="center"/>
              <w:rPr>
                <w:rFonts w:ascii="方正仿宋简体" w:eastAsia="方正仿宋简体"/>
                <w:sz w:val="24"/>
                <w:szCs w:val="24"/>
                <w:shd w:val="clear" w:color="auto" w:fill="FFFFFF"/>
              </w:rPr>
            </w:pPr>
          </w:p>
        </w:tc>
      </w:tr>
      <w:tr w:rsidR="00EF58E8">
        <w:tblPrEx>
          <w:tblBorders>
            <w:top w:val="single" w:sz="1" w:space="0" w:color="000000"/>
            <w:left w:val="single" w:sz="1" w:space="0" w:color="000000"/>
            <w:bottom w:val="single" w:sz="1" w:space="0" w:color="000000"/>
            <w:right w:val="single" w:sz="1" w:space="0" w:color="000000"/>
          </w:tblBorders>
        </w:tblPrEx>
        <w:trPr>
          <w:jc w:val="center"/>
        </w:trPr>
        <w:tc>
          <w:tcPr>
            <w:tcW w:w="2122"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A28003</w:t>
            </w:r>
          </w:p>
        </w:tc>
        <w:tc>
          <w:tcPr>
            <w:tcW w:w="240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1,228.28</w:t>
            </w:r>
          </w:p>
        </w:tc>
        <w:tc>
          <w:tcPr>
            <w:tcW w:w="1418"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559" w:type="dxa"/>
            <w:vAlign w:val="center"/>
          </w:tcPr>
          <w:p w:rsidR="00EF58E8" w:rsidRDefault="00134CF1" w:rsidP="00813334">
            <w:pPr>
              <w:spacing w:beforeLines="20" w:afterLines="20"/>
              <w:jc w:val="center"/>
              <w:textAlignment w:val="center"/>
              <w:rPr>
                <w:rFonts w:ascii="方正仿宋简体" w:eastAsia="方正仿宋简体"/>
                <w:sz w:val="24"/>
                <w:szCs w:val="24"/>
                <w:shd w:val="clear" w:color="auto" w:fill="FFFFFF"/>
              </w:rPr>
            </w:pPr>
            <w:r>
              <w:rPr>
                <w:rFonts w:ascii="方正仿宋简体" w:eastAsia="方正仿宋简体" w:hAnsi="方正仿宋简体" w:cs="方正仿宋简体"/>
                <w:sz w:val="24"/>
              </w:rPr>
              <w:t>1.0000</w:t>
            </w:r>
          </w:p>
        </w:tc>
        <w:tc>
          <w:tcPr>
            <w:tcW w:w="1814" w:type="dxa"/>
            <w:vMerge/>
            <w:vAlign w:val="center"/>
          </w:tcPr>
          <w:p w:rsidR="00EF58E8" w:rsidRDefault="00EF58E8" w:rsidP="00813334">
            <w:pPr>
              <w:spacing w:beforeLines="20" w:afterLines="20"/>
              <w:jc w:val="center"/>
              <w:textAlignment w:val="center"/>
              <w:rPr>
                <w:rFonts w:ascii="方正仿宋简体" w:eastAsia="方正仿宋简体"/>
                <w:sz w:val="24"/>
                <w:szCs w:val="24"/>
                <w:shd w:val="clear" w:color="auto" w:fill="FFFFFF"/>
              </w:rPr>
            </w:pPr>
          </w:p>
        </w:tc>
      </w:tr>
    </w:tbl>
    <w:p w:rsidR="00EF58E8" w:rsidRDefault="00134CF1" w:rsidP="00813334">
      <w:pPr>
        <w:spacing w:before="240" w:afterLines="30" w:line="360" w:lineRule="auto"/>
        <w:rPr>
          <w:rFonts w:ascii="方正仿宋简体" w:eastAsia="方正仿宋简体"/>
          <w:sz w:val="24"/>
          <w:szCs w:val="24"/>
        </w:rPr>
      </w:pPr>
      <w:r>
        <w:rPr>
          <w:rFonts w:ascii="方正仿宋简体" w:eastAsia="方正仿宋简体" w:hint="eastAsia"/>
          <w:sz w:val="24"/>
          <w:szCs w:val="24"/>
        </w:rPr>
        <w:t>注：产品净值可能存在未扣除管理人及投资合作机构业绩报酬、赎回费等费用（如有）的情况，实际收益以兑付为准。</w:t>
      </w:r>
    </w:p>
    <w:p w:rsidR="00EF58E8" w:rsidRDefault="00EF58E8" w:rsidP="00813334">
      <w:pPr>
        <w:spacing w:before="240" w:afterLines="30" w:line="360" w:lineRule="auto"/>
        <w:rPr>
          <w:rFonts w:ascii="方正仿宋简体" w:eastAsia="方正仿宋简体" w:hAnsi="宋体" w:cs="宋体"/>
          <w:kern w:val="0"/>
          <w:sz w:val="24"/>
          <w:szCs w:val="24"/>
        </w:rPr>
      </w:pPr>
    </w:p>
    <w:p w:rsidR="00EF58E8" w:rsidRDefault="00134CF1" w:rsidP="00813334">
      <w:pPr>
        <w:spacing w:before="240" w:afterLines="30" w:line="360" w:lineRule="auto"/>
        <w:jc w:val="center"/>
        <w:rPr>
          <w:rFonts w:ascii="方正仿宋简体" w:eastAsia="方正仿宋简体"/>
          <w:b/>
          <w:sz w:val="24"/>
          <w:szCs w:val="24"/>
        </w:rPr>
      </w:pPr>
      <w:r>
        <w:rPr>
          <w:rFonts w:ascii="方正仿宋简体" w:eastAsia="方正仿宋简体" w:hAnsi="Calibri" w:hint="eastAsia"/>
          <w:b/>
          <w:sz w:val="24"/>
          <w:szCs w:val="24"/>
        </w:rPr>
        <w:t>§3  管理人报告</w:t>
      </w:r>
    </w:p>
    <w:p w:rsidR="00EF58E8" w:rsidRDefault="00134CF1" w:rsidP="00813334">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3.1 报告期内产品的投资策略和运作分析</w:t>
      </w:r>
    </w:p>
    <w:p w:rsidR="00EF58E8" w:rsidRDefault="00134CF1" w:rsidP="00813334">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2024年9月中下旬一系列超预期政策陆续出台，风险偏好开始升温，10Y国债收益率开启反弹，信用债回调节奏则略早于利率债，截至9月末，信用利差和期限利差多数走阔，回到了相对合理的位置。国庆假期后,随着权益市场风险偏好继续抬升，利率呈现震荡状态，信用债继续延续调整的态势。进入11月后，市场开始预期降准降息，机构开始抢跑，10年国债利率最低下行至1.7%附近，包含了较为充分的降息预期定价，信用利差和期限利差则被动走阔。</w:t>
      </w:r>
      <w:r>
        <w:rPr>
          <w:rFonts w:ascii="方正仿宋简体" w:eastAsia="方正仿宋简体" w:hint="eastAsia"/>
          <w:sz w:val="24"/>
          <w:szCs w:val="24"/>
        </w:rPr>
        <w:br w:type="textWrapping" w:clear="all"/>
        <w:t>  展望2025年一季度，当前经济基本面偏弱的格局并不支持货币政策出现转向，降准降息值得期待，短端资金利率空间有望进一步打开，优质存单、短期信用债仍将维持机构配置强需求的格局。</w:t>
      </w:r>
      <w:r>
        <w:rPr>
          <w:rFonts w:ascii="方正仿宋简体" w:eastAsia="方正仿宋简体" w:hint="eastAsia"/>
          <w:sz w:val="24"/>
          <w:szCs w:val="24"/>
        </w:rPr>
        <w:br w:type="textWrapping" w:clear="all"/>
        <w:t>  操作方面，产品将继续在保证流动性安全、守住信用风险底线的基础上，灵活运用杠杆增厚收益，强化资产甄选和获取能力，不断优化资产结构，为客户提供稳定的收益</w:t>
      </w:r>
      <w:r>
        <w:rPr>
          <w:rFonts w:ascii="方正仿宋简体" w:eastAsia="方正仿宋简体" w:hint="eastAsia"/>
          <w:sz w:val="24"/>
          <w:szCs w:val="24"/>
        </w:rPr>
        <w:lastRenderedPageBreak/>
        <w:t>回报，持续提升客户体验。</w:t>
      </w:r>
    </w:p>
    <w:p w:rsidR="00EF58E8" w:rsidRDefault="00134CF1" w:rsidP="00813334">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3.2 报告期内产品的流动性风险分析</w:t>
      </w:r>
    </w:p>
    <w:p w:rsidR="00EF58E8" w:rsidRDefault="00134CF1" w:rsidP="00813334">
      <w:pPr>
        <w:spacing w:before="240" w:afterLines="30" w:line="360" w:lineRule="auto"/>
        <w:rPr>
          <w:rFonts w:ascii="方正仿宋简体" w:eastAsia="方正仿宋简体"/>
          <w:sz w:val="24"/>
          <w:szCs w:val="24"/>
        </w:rPr>
      </w:pPr>
      <w:r>
        <w:rPr>
          <w:rFonts w:ascii="方正仿宋简体" w:eastAsia="方正仿宋简体" w:hint="eastAsia"/>
          <w:sz w:val="24"/>
          <w:szCs w:val="24"/>
        </w:rPr>
        <w:t>  下阶段产品将继续保持稳健的投资风格，做好流动性预判和资产到期分布安排，保持较高的流动性资产比例，防范流动性风险。</w:t>
      </w:r>
    </w:p>
    <w:p w:rsidR="00EF58E8" w:rsidRDefault="00134CF1" w:rsidP="00813334">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3.3 报告期内产品的业绩表现</w:t>
      </w:r>
    </w:p>
    <w:p w:rsidR="00EF58E8" w:rsidRDefault="00134CF1" w:rsidP="00813334">
      <w:pPr>
        <w:spacing w:before="240" w:afterLines="30" w:line="360" w:lineRule="auto"/>
        <w:ind w:firstLineChars="200" w:firstLine="480"/>
        <w:rPr>
          <w:rFonts w:ascii="方正仿宋简体" w:eastAsia="方正仿宋简体"/>
          <w:sz w:val="24"/>
          <w:szCs w:val="24"/>
        </w:rPr>
      </w:pPr>
      <w:r>
        <w:rPr>
          <w:rFonts w:ascii="方正仿宋简体" w:eastAsia="方正仿宋简体" w:hint="eastAsia"/>
          <w:sz w:val="24"/>
          <w:szCs w:val="24"/>
        </w:rPr>
        <w:t>截至报告期末，本产品A20003份额净值为1.0000元，A21003份额净值为1.0000元，A21103份额净值为1.0000元，A21203份额净值为1.0000元，A23003份额净值为1.0000元，A24003份额净值为1.0000元，A26003份额净值为1.0000元，A27003份额净值为1.0000元，A28003份额净值为1.0000元。</w:t>
      </w:r>
    </w:p>
    <w:p w:rsidR="00EF58E8" w:rsidRDefault="00EF58E8" w:rsidP="00813334">
      <w:pPr>
        <w:spacing w:before="240" w:afterLines="30" w:line="360" w:lineRule="auto"/>
        <w:rPr>
          <w:rFonts w:ascii="方正仿宋简体" w:eastAsia="方正仿宋简体" w:hAnsi="宋体" w:cs="宋体"/>
          <w:kern w:val="0"/>
          <w:sz w:val="24"/>
          <w:szCs w:val="24"/>
        </w:rPr>
      </w:pPr>
    </w:p>
    <w:p w:rsidR="00EF58E8" w:rsidRDefault="00134CF1" w:rsidP="00813334">
      <w:pPr>
        <w:spacing w:before="240" w:afterLines="30" w:line="360" w:lineRule="auto"/>
        <w:jc w:val="center"/>
        <w:rPr>
          <w:rFonts w:ascii="方正仿宋简体" w:eastAsia="方正仿宋简体" w:hAnsi="Calibri"/>
          <w:b/>
          <w:sz w:val="24"/>
          <w:szCs w:val="24"/>
        </w:rPr>
      </w:pPr>
      <w:r>
        <w:rPr>
          <w:rFonts w:ascii="方正仿宋简体" w:eastAsia="方正仿宋简体" w:hAnsi="Calibri" w:hint="eastAsia"/>
          <w:b/>
          <w:sz w:val="24"/>
          <w:szCs w:val="24"/>
        </w:rPr>
        <w:t>§4  托管人报告</w:t>
      </w:r>
    </w:p>
    <w:p w:rsidR="00EF58E8" w:rsidRDefault="00134CF1" w:rsidP="00813334">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4.1报告期内托管人遵规守信情况声明</w:t>
      </w:r>
    </w:p>
    <w:p w:rsidR="00EF58E8" w:rsidRDefault="00134CF1" w:rsidP="00813334">
      <w:pPr>
        <w:spacing w:before="240" w:afterLines="30" w:line="360" w:lineRule="auto"/>
        <w:rPr>
          <w:rFonts w:ascii="方正仿宋简体" w:eastAsia="方正仿宋简体"/>
          <w:sz w:val="24"/>
          <w:szCs w:val="24"/>
        </w:rPr>
      </w:pPr>
      <w:r>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在报告期内产品的投资运作进行了认真、独立的会计核算和必要的投资监督，认真履行了托管人的义务，没有从事任何损害产品份额持有人利益的行为。</w:t>
      </w:r>
    </w:p>
    <w:p w:rsidR="00EF58E8" w:rsidRDefault="00134CF1" w:rsidP="00813334">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4.2 托管人对报告期内投资运作遵规守信、净值计算、利润分配等情况的说明</w:t>
      </w:r>
    </w:p>
    <w:p w:rsidR="00EF58E8" w:rsidRDefault="00134CF1" w:rsidP="00813334">
      <w:pPr>
        <w:spacing w:before="240" w:afterLines="30" w:line="360" w:lineRule="auto"/>
        <w:rPr>
          <w:rFonts w:ascii="方正仿宋简体" w:eastAsia="方正仿宋简体"/>
          <w:sz w:val="24"/>
          <w:szCs w:val="24"/>
        </w:rPr>
      </w:pPr>
      <w:r>
        <w:rPr>
          <w:rFonts w:ascii="方正仿宋简体" w:eastAsia="方正仿宋简体"/>
          <w:sz w:val="24"/>
          <w:szCs w:val="24"/>
        </w:rPr>
        <w:t>  </w:t>
      </w:r>
      <w:r>
        <w:rPr>
          <w:rFonts w:ascii="方正仿宋简体" w:eastAsia="方正仿宋简体"/>
          <w:sz w:val="24"/>
          <w:szCs w:val="24"/>
        </w:rPr>
        <w:t>本托管人认为,管理人在本产品的投资运作、产品资产净值的计算、产品份额申购赎回价格的计算、产品费用开支及利润分配等问题上不存在损害产品份额持有人利益的行</w:t>
      </w:r>
      <w:r>
        <w:rPr>
          <w:rFonts w:ascii="方正仿宋简体" w:eastAsia="方正仿宋简体"/>
          <w:sz w:val="24"/>
          <w:szCs w:val="24"/>
        </w:rPr>
        <w:lastRenderedPageBreak/>
        <w:t>为；在报告期内，严格遵守了有关法律法规，在各重要方面的运作严格按照托管协议和理财产品说明书的规定进行。</w:t>
      </w:r>
    </w:p>
    <w:p w:rsidR="00EF58E8" w:rsidRDefault="00134CF1" w:rsidP="00813334">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4.3 托管人对本报告期内报告中财务信息等内容的真实、准确和完整发表意见</w:t>
      </w:r>
    </w:p>
    <w:p w:rsidR="00EF58E8" w:rsidRDefault="00134CF1" w:rsidP="00813334">
      <w:pPr>
        <w:spacing w:before="240" w:afterLines="30" w:line="360" w:lineRule="auto"/>
        <w:rPr>
          <w:rFonts w:ascii="方正仿宋简体" w:eastAsia="方正仿宋简体"/>
          <w:sz w:val="24"/>
          <w:szCs w:val="24"/>
        </w:rPr>
      </w:pPr>
      <w:r>
        <w:rPr>
          <w:rFonts w:ascii="方正仿宋简体" w:eastAsia="方正仿宋简体"/>
          <w:sz w:val="24"/>
          <w:szCs w:val="24"/>
        </w:rPr>
        <w:t>  </w:t>
      </w:r>
      <w:r>
        <w:rPr>
          <w:rFonts w:ascii="方正仿宋简体" w:eastAsia="方正仿宋简体"/>
          <w:sz w:val="24"/>
          <w:szCs w:val="24"/>
        </w:rPr>
        <w:t>本托管人认为，管理人的信息披露事务符合《商业银行理财子公司管理办法》及其他相关法律法规的规定，产品管理人所编制和披露的本产品报告中的财务指标、净值表现等信息真实、准确、完整，未发现有损害产品持有人利益的行为。</w:t>
      </w:r>
    </w:p>
    <w:p w:rsidR="00EF58E8" w:rsidRDefault="00EF58E8" w:rsidP="00813334">
      <w:pPr>
        <w:spacing w:before="240" w:afterLines="30" w:line="360" w:lineRule="auto"/>
        <w:rPr>
          <w:rFonts w:ascii="方正仿宋简体" w:eastAsia="方正仿宋简体"/>
          <w:sz w:val="24"/>
          <w:szCs w:val="24"/>
        </w:rPr>
      </w:pPr>
    </w:p>
    <w:p w:rsidR="00EF58E8" w:rsidRDefault="00134CF1" w:rsidP="00813334">
      <w:pPr>
        <w:spacing w:before="240" w:afterLines="30" w:line="360" w:lineRule="auto"/>
        <w:jc w:val="center"/>
        <w:rPr>
          <w:rFonts w:ascii="方正仿宋简体" w:eastAsia="方正仿宋简体"/>
          <w:b/>
          <w:sz w:val="24"/>
          <w:szCs w:val="24"/>
        </w:rPr>
      </w:pPr>
      <w:r>
        <w:rPr>
          <w:rFonts w:ascii="方正仿宋简体" w:eastAsia="方正仿宋简体" w:hAnsi="Calibri" w:hint="eastAsia"/>
          <w:b/>
          <w:sz w:val="24"/>
          <w:szCs w:val="24"/>
        </w:rPr>
        <w:t>§5  投资组合报告</w:t>
      </w:r>
    </w:p>
    <w:p w:rsidR="00EF58E8" w:rsidRDefault="00134CF1" w:rsidP="00813334">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5.1 报告期末产品资产组合情况</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5"/>
        <w:gridCol w:w="1861"/>
        <w:gridCol w:w="3004"/>
        <w:gridCol w:w="3292"/>
      </w:tblGrid>
      <w:tr w:rsidR="00EF58E8">
        <w:trPr>
          <w:jc w:val="center"/>
        </w:trPr>
        <w:tc>
          <w:tcPr>
            <w:tcW w:w="745"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861"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资产类别</w:t>
            </w:r>
          </w:p>
        </w:tc>
        <w:tc>
          <w:tcPr>
            <w:tcW w:w="3004"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穿透前占总资产比例</w:t>
            </w:r>
          </w:p>
        </w:tc>
        <w:tc>
          <w:tcPr>
            <w:tcW w:w="3292"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穿透后占总资产比例</w:t>
            </w:r>
          </w:p>
        </w:tc>
      </w:tr>
      <w:tr w:rsidR="00EF58E8">
        <w:trPr>
          <w:jc w:val="center"/>
        </w:trPr>
        <w:tc>
          <w:tcPr>
            <w:tcW w:w="745"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w:t>
            </w:r>
          </w:p>
        </w:tc>
        <w:tc>
          <w:tcPr>
            <w:tcW w:w="1861"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固定收益类</w:t>
            </w:r>
          </w:p>
        </w:tc>
        <w:tc>
          <w:tcPr>
            <w:tcW w:w="3004"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r>
              <w:rPr>
                <w:rFonts w:ascii="方正仿宋简体" w:eastAsia="方正仿宋简体" w:hAnsiTheme="minorEastAsia"/>
                <w:sz w:val="24"/>
                <w:szCs w:val="24"/>
              </w:rPr>
              <w:t>%</w:t>
            </w:r>
          </w:p>
        </w:tc>
        <w:tc>
          <w:tcPr>
            <w:tcW w:w="3292"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r>
              <w:rPr>
                <w:rFonts w:ascii="方正仿宋简体" w:eastAsia="方正仿宋简体" w:hAnsiTheme="minorEastAsia"/>
                <w:sz w:val="24"/>
                <w:szCs w:val="24"/>
              </w:rPr>
              <w:t>%</w:t>
            </w:r>
          </w:p>
        </w:tc>
      </w:tr>
      <w:tr w:rsidR="00EF58E8">
        <w:trPr>
          <w:jc w:val="center"/>
        </w:trPr>
        <w:tc>
          <w:tcPr>
            <w:tcW w:w="745"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2</w:t>
            </w:r>
          </w:p>
        </w:tc>
        <w:tc>
          <w:tcPr>
            <w:tcW w:w="1861"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权益类</w:t>
            </w:r>
          </w:p>
        </w:tc>
        <w:tc>
          <w:tcPr>
            <w:tcW w:w="3004"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c>
          <w:tcPr>
            <w:tcW w:w="3292"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r>
      <w:tr w:rsidR="00EF58E8">
        <w:trPr>
          <w:jc w:val="center"/>
        </w:trPr>
        <w:tc>
          <w:tcPr>
            <w:tcW w:w="745"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3</w:t>
            </w:r>
          </w:p>
        </w:tc>
        <w:tc>
          <w:tcPr>
            <w:tcW w:w="1861"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商品及金融衍生品类</w:t>
            </w:r>
          </w:p>
        </w:tc>
        <w:tc>
          <w:tcPr>
            <w:tcW w:w="3004"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c>
          <w:tcPr>
            <w:tcW w:w="3292"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r>
      <w:tr w:rsidR="00EF58E8">
        <w:trPr>
          <w:jc w:val="center"/>
        </w:trPr>
        <w:tc>
          <w:tcPr>
            <w:tcW w:w="745"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4</w:t>
            </w:r>
          </w:p>
        </w:tc>
        <w:tc>
          <w:tcPr>
            <w:tcW w:w="1861"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混合类</w:t>
            </w:r>
          </w:p>
        </w:tc>
        <w:tc>
          <w:tcPr>
            <w:tcW w:w="3004"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c>
          <w:tcPr>
            <w:tcW w:w="3292"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r>
      <w:tr w:rsidR="00EF58E8">
        <w:trPr>
          <w:jc w:val="center"/>
        </w:trPr>
        <w:tc>
          <w:tcPr>
            <w:tcW w:w="745" w:type="dxa"/>
            <w:vAlign w:val="bottom"/>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5</w:t>
            </w:r>
          </w:p>
        </w:tc>
        <w:tc>
          <w:tcPr>
            <w:tcW w:w="1861"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合计</w:t>
            </w:r>
          </w:p>
        </w:tc>
        <w:tc>
          <w:tcPr>
            <w:tcW w:w="3004"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p>
        </w:tc>
        <w:tc>
          <w:tcPr>
            <w:tcW w:w="3292"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p>
        </w:tc>
      </w:tr>
    </w:tbl>
    <w:p w:rsidR="00EF58E8" w:rsidRDefault="00EF58E8" w:rsidP="00813334">
      <w:pPr>
        <w:spacing w:before="240" w:afterLines="30" w:line="360" w:lineRule="auto"/>
        <w:rPr>
          <w:rFonts w:ascii="方正仿宋简体" w:eastAsia="方正仿宋简体" w:cs="宋体"/>
          <w:kern w:val="0"/>
          <w:sz w:val="24"/>
          <w:szCs w:val="24"/>
        </w:rPr>
      </w:pPr>
    </w:p>
    <w:p w:rsidR="00EF58E8" w:rsidRDefault="00134CF1" w:rsidP="00813334">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5.2 报告期末按公允价值占产品资产净值比例大小排序的前十名资产投资明细</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9"/>
        <w:gridCol w:w="1748"/>
        <w:gridCol w:w="2721"/>
        <w:gridCol w:w="2059"/>
        <w:gridCol w:w="1785"/>
      </w:tblGrid>
      <w:tr w:rsidR="00EF58E8">
        <w:trPr>
          <w:trHeight w:val="870"/>
          <w:jc w:val="center"/>
        </w:trPr>
        <w:tc>
          <w:tcPr>
            <w:tcW w:w="589"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748"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代码</w:t>
            </w:r>
          </w:p>
        </w:tc>
        <w:tc>
          <w:tcPr>
            <w:tcW w:w="2721"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名称</w:t>
            </w:r>
          </w:p>
        </w:tc>
        <w:tc>
          <w:tcPr>
            <w:tcW w:w="2059"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公允价值(元)</w:t>
            </w:r>
          </w:p>
        </w:tc>
        <w:tc>
          <w:tcPr>
            <w:tcW w:w="1785"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占产品资产净值比例（％）</w:t>
            </w:r>
          </w:p>
        </w:tc>
      </w:tr>
      <w:tr w:rsidR="00EF58E8">
        <w:tblPrEx>
          <w:tblBorders>
            <w:top w:val="single" w:sz="1" w:space="0" w:color="000000"/>
            <w:left w:val="single" w:sz="1" w:space="0" w:color="000000"/>
            <w:bottom w:val="single" w:sz="1" w:space="0" w:color="000000"/>
            <w:right w:val="single" w:sz="1" w:space="0" w:color="000000"/>
          </w:tblBorders>
        </w:tblPrEx>
        <w:trPr>
          <w:trHeight w:val="300"/>
          <w:jc w:val="center"/>
        </w:trPr>
        <w:tc>
          <w:tcPr>
            <w:tcW w:w="589"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w:t>
            </w:r>
          </w:p>
        </w:tc>
        <w:tc>
          <w:tcPr>
            <w:tcW w:w="1748"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ZJQTT202309130003</w:t>
            </w:r>
          </w:p>
        </w:tc>
        <w:tc>
          <w:tcPr>
            <w:tcW w:w="2721"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华润信托鑫瑞日享3号集合资金信托计划</w:t>
            </w:r>
          </w:p>
        </w:tc>
        <w:tc>
          <w:tcPr>
            <w:tcW w:w="2059"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472,958,910.94</w:t>
            </w:r>
          </w:p>
        </w:tc>
        <w:tc>
          <w:tcPr>
            <w:tcW w:w="1785"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14.13</w:t>
            </w:r>
          </w:p>
        </w:tc>
      </w:tr>
      <w:tr w:rsidR="00EF58E8">
        <w:tblPrEx>
          <w:tblBorders>
            <w:top w:val="single" w:sz="1" w:space="0" w:color="000000"/>
            <w:left w:val="single" w:sz="1" w:space="0" w:color="000000"/>
            <w:bottom w:val="single" w:sz="1" w:space="0" w:color="000000"/>
            <w:right w:val="single" w:sz="1" w:space="0" w:color="000000"/>
          </w:tblBorders>
        </w:tblPrEx>
        <w:trPr>
          <w:trHeight w:val="300"/>
          <w:jc w:val="center"/>
        </w:trPr>
        <w:tc>
          <w:tcPr>
            <w:tcW w:w="589"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lastRenderedPageBreak/>
              <w:t>2</w:t>
            </w:r>
          </w:p>
        </w:tc>
        <w:tc>
          <w:tcPr>
            <w:tcW w:w="1748"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ZJQTT202305230001</w:t>
            </w:r>
          </w:p>
        </w:tc>
        <w:tc>
          <w:tcPr>
            <w:tcW w:w="2721"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华润信托鑫瑞日享1号集合资金信托计划</w:t>
            </w:r>
          </w:p>
        </w:tc>
        <w:tc>
          <w:tcPr>
            <w:tcW w:w="2059"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386,117,367.83</w:t>
            </w:r>
          </w:p>
        </w:tc>
        <w:tc>
          <w:tcPr>
            <w:tcW w:w="1785"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11.54</w:t>
            </w:r>
          </w:p>
        </w:tc>
      </w:tr>
      <w:tr w:rsidR="00EF58E8">
        <w:tblPrEx>
          <w:tblBorders>
            <w:top w:val="single" w:sz="1" w:space="0" w:color="000000"/>
            <w:left w:val="single" w:sz="1" w:space="0" w:color="000000"/>
            <w:bottom w:val="single" w:sz="1" w:space="0" w:color="000000"/>
            <w:right w:val="single" w:sz="1" w:space="0" w:color="000000"/>
          </w:tblBorders>
        </w:tblPrEx>
        <w:trPr>
          <w:trHeight w:val="300"/>
          <w:jc w:val="center"/>
        </w:trPr>
        <w:tc>
          <w:tcPr>
            <w:tcW w:w="589"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3</w:t>
            </w:r>
          </w:p>
        </w:tc>
        <w:tc>
          <w:tcPr>
            <w:tcW w:w="1748"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XJCKX202405280001</w:t>
            </w:r>
          </w:p>
        </w:tc>
        <w:tc>
          <w:tcPr>
            <w:tcW w:w="2721"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恒丰银行约期存款20240528</w:t>
            </w:r>
          </w:p>
        </w:tc>
        <w:tc>
          <w:tcPr>
            <w:tcW w:w="2059"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200,000,000.00</w:t>
            </w:r>
          </w:p>
        </w:tc>
        <w:tc>
          <w:tcPr>
            <w:tcW w:w="1785"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5.98</w:t>
            </w:r>
          </w:p>
        </w:tc>
      </w:tr>
      <w:tr w:rsidR="00EF58E8">
        <w:tblPrEx>
          <w:tblBorders>
            <w:top w:val="single" w:sz="1" w:space="0" w:color="000000"/>
            <w:left w:val="single" w:sz="1" w:space="0" w:color="000000"/>
            <w:bottom w:val="single" w:sz="1" w:space="0" w:color="000000"/>
            <w:right w:val="single" w:sz="1" w:space="0" w:color="000000"/>
          </w:tblBorders>
        </w:tblPrEx>
        <w:trPr>
          <w:trHeight w:val="300"/>
          <w:jc w:val="center"/>
        </w:trPr>
        <w:tc>
          <w:tcPr>
            <w:tcW w:w="589"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4</w:t>
            </w:r>
          </w:p>
        </w:tc>
        <w:tc>
          <w:tcPr>
            <w:tcW w:w="1748"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DQCKX202412270022</w:t>
            </w:r>
          </w:p>
        </w:tc>
        <w:tc>
          <w:tcPr>
            <w:tcW w:w="2721"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浙商银行定期存款20241227C</w:t>
            </w:r>
          </w:p>
        </w:tc>
        <w:tc>
          <w:tcPr>
            <w:tcW w:w="2059"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200,000,000.00</w:t>
            </w:r>
          </w:p>
        </w:tc>
        <w:tc>
          <w:tcPr>
            <w:tcW w:w="1785"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5.98</w:t>
            </w:r>
          </w:p>
        </w:tc>
      </w:tr>
      <w:tr w:rsidR="00EF58E8">
        <w:tblPrEx>
          <w:tblBorders>
            <w:top w:val="single" w:sz="1" w:space="0" w:color="000000"/>
            <w:left w:val="single" w:sz="1" w:space="0" w:color="000000"/>
            <w:bottom w:val="single" w:sz="1" w:space="0" w:color="000000"/>
            <w:right w:val="single" w:sz="1" w:space="0" w:color="000000"/>
          </w:tblBorders>
        </w:tblPrEx>
        <w:trPr>
          <w:trHeight w:val="300"/>
          <w:jc w:val="center"/>
        </w:trPr>
        <w:tc>
          <w:tcPr>
            <w:tcW w:w="589"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5</w:t>
            </w:r>
          </w:p>
        </w:tc>
        <w:tc>
          <w:tcPr>
            <w:tcW w:w="1748"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112403080</w:t>
            </w:r>
          </w:p>
        </w:tc>
        <w:tc>
          <w:tcPr>
            <w:tcW w:w="2721"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24农业银行CD080</w:t>
            </w:r>
          </w:p>
        </w:tc>
        <w:tc>
          <w:tcPr>
            <w:tcW w:w="2059"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199,725,203.97</w:t>
            </w:r>
          </w:p>
        </w:tc>
        <w:tc>
          <w:tcPr>
            <w:tcW w:w="1785"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5.97</w:t>
            </w:r>
          </w:p>
        </w:tc>
      </w:tr>
      <w:tr w:rsidR="00EF58E8">
        <w:tblPrEx>
          <w:tblBorders>
            <w:top w:val="single" w:sz="1" w:space="0" w:color="000000"/>
            <w:left w:val="single" w:sz="1" w:space="0" w:color="000000"/>
            <w:bottom w:val="single" w:sz="1" w:space="0" w:color="000000"/>
            <w:right w:val="single" w:sz="1" w:space="0" w:color="000000"/>
          </w:tblBorders>
        </w:tblPrEx>
        <w:trPr>
          <w:trHeight w:val="300"/>
          <w:jc w:val="center"/>
        </w:trPr>
        <w:tc>
          <w:tcPr>
            <w:tcW w:w="589"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6</w:t>
            </w:r>
          </w:p>
        </w:tc>
        <w:tc>
          <w:tcPr>
            <w:tcW w:w="1748"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ZJQTT202406170001</w:t>
            </w:r>
          </w:p>
        </w:tc>
        <w:tc>
          <w:tcPr>
            <w:tcW w:w="2721"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中诚信托-日日升4号集合资金信托计划</w:t>
            </w:r>
          </w:p>
        </w:tc>
        <w:tc>
          <w:tcPr>
            <w:tcW w:w="2059"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148,746,456.78</w:t>
            </w:r>
          </w:p>
        </w:tc>
        <w:tc>
          <w:tcPr>
            <w:tcW w:w="1785"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4.45</w:t>
            </w:r>
          </w:p>
        </w:tc>
      </w:tr>
      <w:tr w:rsidR="00EF58E8">
        <w:tblPrEx>
          <w:tblBorders>
            <w:top w:val="single" w:sz="1" w:space="0" w:color="000000"/>
            <w:left w:val="single" w:sz="1" w:space="0" w:color="000000"/>
            <w:bottom w:val="single" w:sz="1" w:space="0" w:color="000000"/>
            <w:right w:val="single" w:sz="1" w:space="0" w:color="000000"/>
          </w:tblBorders>
        </w:tblPrEx>
        <w:trPr>
          <w:trHeight w:val="300"/>
          <w:jc w:val="center"/>
        </w:trPr>
        <w:tc>
          <w:tcPr>
            <w:tcW w:w="589"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7</w:t>
            </w:r>
          </w:p>
        </w:tc>
        <w:tc>
          <w:tcPr>
            <w:tcW w:w="1748"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XJCKX202405230001</w:t>
            </w:r>
          </w:p>
        </w:tc>
        <w:tc>
          <w:tcPr>
            <w:tcW w:w="2721"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恒丰银行约期存款20240523A</w:t>
            </w:r>
          </w:p>
        </w:tc>
        <w:tc>
          <w:tcPr>
            <w:tcW w:w="2059"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100,000,000.00</w:t>
            </w:r>
          </w:p>
        </w:tc>
        <w:tc>
          <w:tcPr>
            <w:tcW w:w="1785"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2.99</w:t>
            </w:r>
          </w:p>
        </w:tc>
      </w:tr>
      <w:tr w:rsidR="00EF58E8">
        <w:tblPrEx>
          <w:tblBorders>
            <w:top w:val="single" w:sz="1" w:space="0" w:color="000000"/>
            <w:left w:val="single" w:sz="1" w:space="0" w:color="000000"/>
            <w:bottom w:val="single" w:sz="1" w:space="0" w:color="000000"/>
            <w:right w:val="single" w:sz="1" w:space="0" w:color="000000"/>
          </w:tblBorders>
        </w:tblPrEx>
        <w:trPr>
          <w:trHeight w:val="300"/>
          <w:jc w:val="center"/>
        </w:trPr>
        <w:tc>
          <w:tcPr>
            <w:tcW w:w="589"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8</w:t>
            </w:r>
          </w:p>
        </w:tc>
        <w:tc>
          <w:tcPr>
            <w:tcW w:w="1748"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DQCKX202412270023</w:t>
            </w:r>
          </w:p>
        </w:tc>
        <w:tc>
          <w:tcPr>
            <w:tcW w:w="2721"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浙商银行定期存款20241227D</w:t>
            </w:r>
          </w:p>
        </w:tc>
        <w:tc>
          <w:tcPr>
            <w:tcW w:w="2059"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100,000,000.00</w:t>
            </w:r>
          </w:p>
        </w:tc>
        <w:tc>
          <w:tcPr>
            <w:tcW w:w="1785"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2.99</w:t>
            </w:r>
          </w:p>
        </w:tc>
      </w:tr>
      <w:tr w:rsidR="00EF58E8">
        <w:tblPrEx>
          <w:tblBorders>
            <w:top w:val="single" w:sz="1" w:space="0" w:color="000000"/>
            <w:left w:val="single" w:sz="1" w:space="0" w:color="000000"/>
            <w:bottom w:val="single" w:sz="1" w:space="0" w:color="000000"/>
            <w:right w:val="single" w:sz="1" w:space="0" w:color="000000"/>
          </w:tblBorders>
        </w:tblPrEx>
        <w:trPr>
          <w:trHeight w:val="300"/>
          <w:jc w:val="center"/>
        </w:trPr>
        <w:tc>
          <w:tcPr>
            <w:tcW w:w="589"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9</w:t>
            </w:r>
          </w:p>
        </w:tc>
        <w:tc>
          <w:tcPr>
            <w:tcW w:w="1748"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XJCKX202405230021</w:t>
            </w:r>
          </w:p>
        </w:tc>
        <w:tc>
          <w:tcPr>
            <w:tcW w:w="2721"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恒丰银行约期存款20240523B</w:t>
            </w:r>
          </w:p>
        </w:tc>
        <w:tc>
          <w:tcPr>
            <w:tcW w:w="2059"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100,000,000.00</w:t>
            </w:r>
          </w:p>
        </w:tc>
        <w:tc>
          <w:tcPr>
            <w:tcW w:w="1785"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2.99</w:t>
            </w:r>
          </w:p>
        </w:tc>
      </w:tr>
      <w:tr w:rsidR="00EF58E8">
        <w:tblPrEx>
          <w:tblBorders>
            <w:top w:val="single" w:sz="1" w:space="0" w:color="000000"/>
            <w:left w:val="single" w:sz="1" w:space="0" w:color="000000"/>
            <w:bottom w:val="single" w:sz="1" w:space="0" w:color="000000"/>
            <w:right w:val="single" w:sz="1" w:space="0" w:color="000000"/>
          </w:tblBorders>
        </w:tblPrEx>
        <w:trPr>
          <w:trHeight w:val="300"/>
          <w:jc w:val="center"/>
        </w:trPr>
        <w:tc>
          <w:tcPr>
            <w:tcW w:w="589"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10</w:t>
            </w:r>
          </w:p>
        </w:tc>
        <w:tc>
          <w:tcPr>
            <w:tcW w:w="1748" w:type="dxa"/>
            <w:shd w:val="clear" w:color="auto" w:fill="auto"/>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112499706</w:t>
            </w:r>
          </w:p>
        </w:tc>
        <w:tc>
          <w:tcPr>
            <w:tcW w:w="2721"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24广西北部湾银行CD154</w:t>
            </w:r>
          </w:p>
        </w:tc>
        <w:tc>
          <w:tcPr>
            <w:tcW w:w="2059"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99,653,983.59</w:t>
            </w:r>
          </w:p>
        </w:tc>
        <w:tc>
          <w:tcPr>
            <w:tcW w:w="1785" w:type="dxa"/>
            <w:shd w:val="clear" w:color="000000" w:fill="FFFFFF"/>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2.98</w:t>
            </w:r>
          </w:p>
        </w:tc>
      </w:tr>
    </w:tbl>
    <w:p w:rsidR="00EF58E8" w:rsidRDefault="00EF58E8" w:rsidP="00813334">
      <w:pPr>
        <w:spacing w:before="240" w:afterLines="30" w:line="360" w:lineRule="auto"/>
        <w:rPr>
          <w:rFonts w:ascii="方正仿宋简体" w:eastAsia="方正仿宋简体" w:hAnsi="宋体" w:cs="宋体"/>
          <w:sz w:val="24"/>
          <w:szCs w:val="24"/>
          <w:shd w:val="clear" w:color="auto" w:fill="FFFFFF"/>
        </w:rPr>
      </w:pPr>
    </w:p>
    <w:p w:rsidR="00EF58E8" w:rsidRDefault="00134CF1" w:rsidP="00813334">
      <w:pPr>
        <w:spacing w:before="240" w:afterLines="30" w:line="360" w:lineRule="auto"/>
        <w:rPr>
          <w:rFonts w:ascii="方正仿宋简体" w:eastAsia="方正仿宋简体" w:hAnsi="宋体" w:cs="宋体"/>
          <w:b/>
          <w:sz w:val="24"/>
          <w:szCs w:val="24"/>
          <w:shd w:val="clear" w:color="auto" w:fill="FFFFFF"/>
        </w:rPr>
      </w:pPr>
      <w:r>
        <w:rPr>
          <w:rFonts w:ascii="方正仿宋简体" w:eastAsia="方正仿宋简体" w:hAnsi="宋体" w:cs="宋体" w:hint="eastAsia"/>
          <w:b/>
          <w:sz w:val="24"/>
          <w:szCs w:val="24"/>
          <w:shd w:val="clear" w:color="auto" w:fill="FFFFFF"/>
        </w:rPr>
        <w:t>5.3报告期末非标准化债权类资产明细</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7"/>
        <w:gridCol w:w="1272"/>
        <w:gridCol w:w="1695"/>
        <w:gridCol w:w="1412"/>
        <w:gridCol w:w="1695"/>
        <w:gridCol w:w="1272"/>
        <w:gridCol w:w="849"/>
      </w:tblGrid>
      <w:tr w:rsidR="00EF58E8">
        <w:trPr>
          <w:jc w:val="center"/>
        </w:trPr>
        <w:tc>
          <w:tcPr>
            <w:tcW w:w="707"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272"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融资客户</w:t>
            </w:r>
          </w:p>
        </w:tc>
        <w:tc>
          <w:tcPr>
            <w:tcW w:w="1695"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项目名称</w:t>
            </w:r>
          </w:p>
        </w:tc>
        <w:tc>
          <w:tcPr>
            <w:tcW w:w="1412"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剩余融资期限</w:t>
            </w:r>
          </w:p>
        </w:tc>
        <w:tc>
          <w:tcPr>
            <w:tcW w:w="1695"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到期收益分配</w:t>
            </w:r>
          </w:p>
        </w:tc>
        <w:tc>
          <w:tcPr>
            <w:tcW w:w="1272"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交易结构</w:t>
            </w:r>
          </w:p>
        </w:tc>
        <w:tc>
          <w:tcPr>
            <w:tcW w:w="849"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风险状况</w:t>
            </w:r>
          </w:p>
        </w:tc>
      </w:tr>
      <w:tr w:rsidR="00EF58E8">
        <w:tblPrEx>
          <w:tblBorders>
            <w:top w:val="single" w:sz="1" w:space="0" w:color="000000"/>
            <w:left w:val="single" w:sz="1" w:space="0" w:color="000000"/>
            <w:bottom w:val="single" w:sz="1" w:space="0" w:color="000000"/>
            <w:right w:val="single" w:sz="1" w:space="0" w:color="000000"/>
          </w:tblBorders>
        </w:tblPrEx>
        <w:trPr>
          <w:jc w:val="center"/>
        </w:trPr>
        <w:tc>
          <w:tcPr>
            <w:tcW w:w="707"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w:t>
            </w:r>
          </w:p>
        </w:tc>
        <w:tc>
          <w:tcPr>
            <w:tcW w:w="1272"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w:t>
            </w:r>
          </w:p>
        </w:tc>
        <w:tc>
          <w:tcPr>
            <w:tcW w:w="1695"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w:t>
            </w:r>
          </w:p>
        </w:tc>
        <w:tc>
          <w:tcPr>
            <w:tcW w:w="1412"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w:t>
            </w:r>
          </w:p>
        </w:tc>
        <w:tc>
          <w:tcPr>
            <w:tcW w:w="1695"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w:t>
            </w:r>
          </w:p>
        </w:tc>
        <w:tc>
          <w:tcPr>
            <w:tcW w:w="1272"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w:t>
            </w:r>
          </w:p>
        </w:tc>
        <w:tc>
          <w:tcPr>
            <w:tcW w:w="849"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w:t>
            </w:r>
          </w:p>
        </w:tc>
      </w:tr>
    </w:tbl>
    <w:p w:rsidR="00EF58E8" w:rsidRDefault="00EF58E8" w:rsidP="00813334">
      <w:pPr>
        <w:spacing w:before="240" w:afterLines="30" w:line="360" w:lineRule="auto"/>
        <w:rPr>
          <w:rFonts w:ascii="方正仿宋简体" w:eastAsia="方正仿宋简体" w:hAnsi="宋体" w:cs="宋体"/>
          <w:kern w:val="0"/>
          <w:sz w:val="24"/>
          <w:szCs w:val="24"/>
        </w:rPr>
      </w:pPr>
    </w:p>
    <w:p w:rsidR="00EF58E8" w:rsidRDefault="00134CF1" w:rsidP="00813334">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§6投资账户信息</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0"/>
        <w:gridCol w:w="1520"/>
        <w:gridCol w:w="2554"/>
        <w:gridCol w:w="1984"/>
        <w:gridCol w:w="1984"/>
      </w:tblGrid>
      <w:tr w:rsidR="00EF58E8">
        <w:trPr>
          <w:trHeight w:val="705"/>
          <w:jc w:val="center"/>
        </w:trPr>
        <w:tc>
          <w:tcPr>
            <w:tcW w:w="860"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520"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账户类型</w:t>
            </w:r>
          </w:p>
        </w:tc>
        <w:tc>
          <w:tcPr>
            <w:tcW w:w="2554"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账号</w:t>
            </w:r>
          </w:p>
        </w:tc>
        <w:tc>
          <w:tcPr>
            <w:tcW w:w="1984"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账户名称</w:t>
            </w:r>
          </w:p>
        </w:tc>
        <w:tc>
          <w:tcPr>
            <w:tcW w:w="1984" w:type="dxa"/>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开户单位</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860"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lastRenderedPageBreak/>
              <w:t>1</w:t>
            </w:r>
          </w:p>
        </w:tc>
        <w:tc>
          <w:tcPr>
            <w:tcW w:w="1520"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托管账户</w:t>
            </w:r>
          </w:p>
        </w:tc>
        <w:tc>
          <w:tcPr>
            <w:tcW w:w="2554"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0120040000001123</w:t>
            </w:r>
          </w:p>
        </w:tc>
        <w:tc>
          <w:tcPr>
            <w:tcW w:w="1984"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南银理财添瑞日日聚宝2号</w:t>
            </w:r>
          </w:p>
        </w:tc>
        <w:tc>
          <w:tcPr>
            <w:tcW w:w="1984" w:type="dxa"/>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南京银行股份有限公司南京分行营业部</w:t>
            </w:r>
          </w:p>
        </w:tc>
      </w:tr>
    </w:tbl>
    <w:p w:rsidR="00EF58E8" w:rsidRDefault="00EF58E8" w:rsidP="00813334">
      <w:pPr>
        <w:spacing w:before="240" w:afterLines="30" w:line="360" w:lineRule="auto"/>
        <w:rPr>
          <w:rFonts w:ascii="方正仿宋简体" w:eastAsia="方正仿宋简体"/>
          <w:sz w:val="24"/>
          <w:szCs w:val="24"/>
        </w:rPr>
      </w:pPr>
    </w:p>
    <w:p w:rsidR="00EF58E8" w:rsidRDefault="00134CF1" w:rsidP="00813334">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§7 关联交易情况</w:t>
      </w:r>
    </w:p>
    <w:p w:rsidR="00EF58E8" w:rsidRDefault="00134CF1" w:rsidP="00813334">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报告期内，产品投资于关联方发行的证券</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EF58E8" w:rsidRDefault="00134CF1" w:rsidP="00813334">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产品投资于关联方作为融资人的非标准化债权类资产业务交易金额</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EF58E8" w:rsidRDefault="00134CF1" w:rsidP="00813334">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产品投资于关联方承销的证券交易金额</w:t>
      </w:r>
      <w:r>
        <w:rPr>
          <w:rFonts w:ascii="方正仿宋简体" w:eastAsia="方正仿宋简体" w:hAnsi="宋体" w:cs="宋体"/>
          <w:color w:val="000000"/>
          <w:kern w:val="0"/>
          <w:sz w:val="24"/>
          <w:szCs w:val="24"/>
        </w:rPr>
        <w:t>30,001,684.93</w:t>
      </w:r>
      <w:r>
        <w:rPr>
          <w:rFonts w:ascii="方正仿宋简体" w:eastAsia="方正仿宋简体" w:hAnsi="宋体" w:cs="宋体" w:hint="eastAsia"/>
          <w:color w:val="000000"/>
          <w:kern w:val="0"/>
          <w:sz w:val="24"/>
          <w:szCs w:val="24"/>
        </w:rPr>
        <w:t>元。</w:t>
      </w:r>
    </w:p>
    <w:p w:rsidR="00EF58E8" w:rsidRDefault="00134CF1" w:rsidP="00813334">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产品与关联方作为交易对手开展的投融资业务交易金额</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EF58E8" w:rsidRDefault="00134CF1" w:rsidP="00813334">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产品投资关联方作为管理人的资产管理产品交易金额</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EF58E8" w:rsidRDefault="00813334" w:rsidP="00813334">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134CF1">
        <w:rPr>
          <w:rFonts w:ascii="方正仿宋简体" w:eastAsia="方正仿宋简体" w:hAnsi="宋体" w:cs="宋体" w:hint="eastAsia"/>
          <w:color w:val="000000"/>
          <w:kern w:val="0"/>
          <w:sz w:val="24"/>
          <w:szCs w:val="24"/>
        </w:rPr>
        <w:t>支付关联方托管费</w:t>
      </w:r>
      <w:r w:rsidR="00134CF1">
        <w:rPr>
          <w:rFonts w:ascii="方正仿宋简体" w:eastAsia="方正仿宋简体" w:hAnsi="宋体" w:cs="宋体"/>
          <w:color w:val="000000"/>
          <w:kern w:val="0"/>
          <w:sz w:val="24"/>
          <w:szCs w:val="24"/>
        </w:rPr>
        <w:t>676,367.16</w:t>
      </w:r>
      <w:r>
        <w:rPr>
          <w:rFonts w:ascii="方正仿宋简体" w:eastAsia="方正仿宋简体" w:hAnsi="宋体" w:cs="宋体" w:hint="eastAsia"/>
          <w:color w:val="000000"/>
          <w:kern w:val="0"/>
          <w:sz w:val="24"/>
          <w:szCs w:val="24"/>
        </w:rPr>
        <w:t>元，</w:t>
      </w:r>
      <w:r w:rsidR="00134CF1">
        <w:rPr>
          <w:rFonts w:ascii="方正仿宋简体" w:eastAsia="方正仿宋简体" w:hAnsi="宋体" w:cs="宋体" w:hint="eastAsia"/>
          <w:color w:val="000000"/>
          <w:kern w:val="0"/>
          <w:sz w:val="24"/>
          <w:szCs w:val="24"/>
        </w:rPr>
        <w:t>支付关联方代销费</w:t>
      </w:r>
      <w:r w:rsidR="00134CF1">
        <w:rPr>
          <w:rFonts w:ascii="方正仿宋简体" w:eastAsia="方正仿宋简体" w:hAnsi="宋体" w:cs="宋体"/>
          <w:color w:val="000000"/>
          <w:kern w:val="0"/>
          <w:sz w:val="24"/>
          <w:szCs w:val="24"/>
        </w:rPr>
        <w:t>2,918,194.08</w:t>
      </w:r>
      <w:r w:rsidR="00134CF1">
        <w:rPr>
          <w:rFonts w:ascii="方正仿宋简体" w:eastAsia="方正仿宋简体" w:hAnsi="宋体" w:cs="宋体" w:hint="eastAsia"/>
          <w:color w:val="000000"/>
          <w:kern w:val="0"/>
          <w:sz w:val="24"/>
          <w:szCs w:val="24"/>
        </w:rPr>
        <w:t>元。</w:t>
      </w:r>
    </w:p>
    <w:p w:rsidR="00EF58E8" w:rsidRDefault="00134CF1" w:rsidP="00813334">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产品发生其他关联交易金额</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EF58E8" w:rsidRDefault="00134CF1" w:rsidP="00813334">
      <w:pPr>
        <w:spacing w:before="240" w:afterLines="30" w:line="360" w:lineRule="auto"/>
        <w:ind w:firstLineChars="200" w:firstLine="480"/>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报告期内，产品未发生重大关联交易。</w:t>
      </w:r>
    </w:p>
    <w:p w:rsidR="00EF58E8" w:rsidRDefault="00EF58E8" w:rsidP="00813334">
      <w:pPr>
        <w:spacing w:before="240" w:afterLines="30" w:line="360" w:lineRule="auto"/>
        <w:ind w:firstLineChars="200" w:firstLine="480"/>
        <w:rPr>
          <w:rFonts w:ascii="方正仿宋简体" w:eastAsia="方正仿宋简体" w:hAnsi="宋体" w:cs="宋体"/>
          <w:color w:val="000000"/>
          <w:kern w:val="0"/>
          <w:sz w:val="24"/>
          <w:szCs w:val="24"/>
        </w:rPr>
      </w:pPr>
    </w:p>
    <w:p w:rsidR="00EF58E8" w:rsidRDefault="00134CF1" w:rsidP="00813334">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§8前10名投资者情况</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8"/>
        <w:gridCol w:w="1275"/>
        <w:gridCol w:w="3828"/>
        <w:gridCol w:w="2811"/>
      </w:tblGrid>
      <w:tr w:rsidR="00EF58E8">
        <w:trPr>
          <w:trHeight w:val="705"/>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类别</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持有份额（份）</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占总份额比例（%）</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个人</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38,926,928.86</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1.16</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个人</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24,157,095.45</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0.72</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3</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机构</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23,551,668.59</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0.70</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lastRenderedPageBreak/>
              <w:t>4</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个人</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20,333,905.67</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0.61</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个人</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20,295,321.63</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0.61</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6</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个人</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20,270,217.71</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0.61</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7</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个人</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20,079,573.61</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0.60</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8</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机构</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16,569,376.40</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0.50</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9</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个人</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16,231,363.18</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0.49</w:t>
            </w:r>
          </w:p>
        </w:tc>
      </w:tr>
      <w:tr w:rsidR="00EF58E8">
        <w:tblPrEx>
          <w:tblBorders>
            <w:top w:val="single" w:sz="1" w:space="0" w:color="000000"/>
            <w:left w:val="single" w:sz="1" w:space="0" w:color="000000"/>
            <w:bottom w:val="single" w:sz="1" w:space="0" w:color="000000"/>
            <w:right w:val="single" w:sz="1" w:space="0" w:color="000000"/>
          </w:tblBorders>
        </w:tblPrEx>
        <w:trPr>
          <w:trHeight w:val="364"/>
          <w:jc w:val="center"/>
        </w:trPr>
        <w:tc>
          <w:tcPr>
            <w:tcW w:w="98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10</w:t>
            </w:r>
          </w:p>
        </w:tc>
        <w:tc>
          <w:tcPr>
            <w:tcW w:w="1275"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个人</w:t>
            </w:r>
          </w:p>
        </w:tc>
        <w:tc>
          <w:tcPr>
            <w:tcW w:w="3828"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15,165,976.55</w:t>
            </w:r>
          </w:p>
        </w:tc>
        <w:tc>
          <w:tcPr>
            <w:tcW w:w="2811" w:type="dxa"/>
            <w:tcBorders>
              <w:top w:val="single" w:sz="4" w:space="0" w:color="auto"/>
              <w:left w:val="single" w:sz="4" w:space="0" w:color="auto"/>
              <w:bottom w:val="single" w:sz="4" w:space="0" w:color="auto"/>
              <w:right w:val="single" w:sz="4" w:space="0" w:color="auto"/>
            </w:tcBorders>
            <w:vAlign w:val="center"/>
          </w:tcPr>
          <w:p w:rsidR="00EF58E8" w:rsidRDefault="00134CF1" w:rsidP="00813334">
            <w:pPr>
              <w:spacing w:beforeLines="20" w:afterLines="20"/>
              <w:jc w:val="center"/>
              <w:textAlignment w:val="center"/>
              <w:rPr>
                <w:rFonts w:ascii="方正仿宋简体" w:eastAsia="方正仿宋简体" w:hAnsiTheme="minorEastAsia"/>
                <w:sz w:val="24"/>
                <w:szCs w:val="24"/>
              </w:rPr>
            </w:pPr>
            <w:r>
              <w:rPr>
                <w:rFonts w:ascii="方正仿宋简体" w:eastAsia="方正仿宋简体" w:hAnsi="方正仿宋简体" w:cs="方正仿宋简体"/>
                <w:sz w:val="24"/>
              </w:rPr>
              <w:t>0.45</w:t>
            </w:r>
          </w:p>
        </w:tc>
      </w:tr>
    </w:tbl>
    <w:p w:rsidR="00EF58E8" w:rsidRDefault="00EF58E8" w:rsidP="00813334">
      <w:pPr>
        <w:spacing w:before="240" w:afterLines="30" w:line="360" w:lineRule="auto"/>
        <w:rPr>
          <w:rFonts w:ascii="方正仿宋简体" w:eastAsia="方正仿宋简体" w:hAnsi="宋体" w:cs="宋体"/>
          <w:kern w:val="0"/>
          <w:sz w:val="24"/>
          <w:szCs w:val="24"/>
        </w:rPr>
      </w:pPr>
    </w:p>
    <w:p w:rsidR="00EF58E8" w:rsidRDefault="00134CF1">
      <w:pPr>
        <w:spacing w:before="240" w:line="360" w:lineRule="auto"/>
        <w:jc w:val="center"/>
        <w:rPr>
          <w:rFonts w:ascii="方正仿宋简体" w:eastAsia="方正仿宋简体"/>
          <w:b/>
          <w:sz w:val="24"/>
          <w:szCs w:val="24"/>
        </w:rPr>
      </w:pPr>
      <w:r>
        <w:rPr>
          <w:rFonts w:ascii="方正仿宋简体" w:eastAsia="方正仿宋简体" w:hint="eastAsia"/>
          <w:b/>
          <w:sz w:val="24"/>
          <w:szCs w:val="24"/>
        </w:rPr>
        <w:t>§9</w:t>
      </w:r>
      <w:bookmarkStart w:id="0" w:name="_GoBack"/>
      <w:bookmarkEnd w:id="0"/>
      <w:r>
        <w:rPr>
          <w:rFonts w:ascii="方正仿宋简体" w:eastAsia="方正仿宋简体" w:hint="eastAsia"/>
          <w:b/>
          <w:sz w:val="24"/>
          <w:szCs w:val="24"/>
        </w:rPr>
        <w:t xml:space="preserve"> 现金管理类理财产品持有份额不低于20%投资者情况</w:t>
      </w:r>
    </w:p>
    <w:tbl>
      <w:tblPr>
        <w:tblW w:w="11280" w:type="dxa"/>
        <w:jc w:val="center"/>
        <w:tblInd w:w="-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35"/>
        <w:gridCol w:w="1560"/>
        <w:gridCol w:w="1515"/>
        <w:gridCol w:w="1787"/>
        <w:gridCol w:w="1701"/>
        <w:gridCol w:w="1792"/>
        <w:gridCol w:w="1590"/>
      </w:tblGrid>
      <w:tr w:rsidR="00EF58E8">
        <w:trPr>
          <w:jc w:val="center"/>
        </w:trPr>
        <w:tc>
          <w:tcPr>
            <w:tcW w:w="1335"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hAnsi="Calibri" w:hint="eastAsia"/>
                <w:sz w:val="24"/>
                <w:szCs w:val="24"/>
                <w:shd w:val="clear" w:color="auto" w:fill="FFFFFF"/>
              </w:rPr>
              <w:t>序号</w:t>
            </w:r>
          </w:p>
        </w:tc>
        <w:tc>
          <w:tcPr>
            <w:tcW w:w="1560"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日期</w:t>
            </w:r>
          </w:p>
        </w:tc>
        <w:tc>
          <w:tcPr>
            <w:tcW w:w="1515"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投资者类别</w:t>
            </w:r>
          </w:p>
        </w:tc>
        <w:tc>
          <w:tcPr>
            <w:tcW w:w="1787"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持有份额</w:t>
            </w:r>
          </w:p>
        </w:tc>
        <w:tc>
          <w:tcPr>
            <w:tcW w:w="1701"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占总份额比例</w:t>
            </w:r>
          </w:p>
        </w:tc>
        <w:tc>
          <w:tcPr>
            <w:tcW w:w="1792" w:type="dxa"/>
            <w:vAlign w:val="center"/>
          </w:tcPr>
          <w:p w:rsidR="00EF58E8" w:rsidRDefault="00134CF1" w:rsidP="00813334">
            <w:pPr>
              <w:spacing w:beforeLines="20" w:afterLines="20"/>
              <w:jc w:val="center"/>
              <w:rPr>
                <w:rFonts w:ascii="方正仿宋简体" w:eastAsia="方正仿宋简体"/>
                <w:sz w:val="24"/>
                <w:szCs w:val="24"/>
              </w:rPr>
            </w:pPr>
            <w:r>
              <w:rPr>
                <w:rFonts w:ascii="方正仿宋简体" w:eastAsia="方正仿宋简体"/>
                <w:sz w:val="24"/>
                <w:szCs w:val="24"/>
              </w:rPr>
              <w:t>持有份额</w:t>
            </w:r>
          </w:p>
          <w:p w:rsidR="00EF58E8" w:rsidRDefault="00134CF1" w:rsidP="00813334">
            <w:pPr>
              <w:spacing w:beforeLines="20" w:afterLines="20"/>
              <w:jc w:val="center"/>
              <w:rPr>
                <w:rFonts w:ascii="方正仿宋简体" w:eastAsia="方正仿宋简体"/>
                <w:sz w:val="24"/>
                <w:szCs w:val="24"/>
                <w:shd w:val="clear" w:color="auto" w:fill="FFFFFF"/>
              </w:rPr>
            </w:pPr>
            <w:r>
              <w:rPr>
                <w:rFonts w:ascii="方正仿宋简体" w:eastAsia="方正仿宋简体"/>
                <w:sz w:val="24"/>
                <w:szCs w:val="24"/>
              </w:rPr>
              <w:t>变化情况</w:t>
            </w:r>
          </w:p>
        </w:tc>
        <w:tc>
          <w:tcPr>
            <w:tcW w:w="1590"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产品风险</w:t>
            </w:r>
          </w:p>
        </w:tc>
      </w:tr>
      <w:tr w:rsidR="00EF58E8">
        <w:trPr>
          <w:jc w:val="center"/>
        </w:trPr>
        <w:tc>
          <w:tcPr>
            <w:tcW w:w="1335"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560"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515"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787"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701"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792"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590" w:type="dxa"/>
            <w:vAlign w:val="center"/>
          </w:tcPr>
          <w:p w:rsidR="00EF58E8" w:rsidRDefault="00134CF1">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r>
    </w:tbl>
    <w:p w:rsidR="00EF58E8" w:rsidRDefault="00EF58E8" w:rsidP="00813334">
      <w:pPr>
        <w:spacing w:before="240" w:afterLines="30" w:line="360" w:lineRule="auto"/>
        <w:rPr>
          <w:rFonts w:ascii="方正仿宋简体" w:eastAsia="方正仿宋简体" w:hAnsi="宋体" w:cs="宋体"/>
          <w:kern w:val="0"/>
          <w:sz w:val="24"/>
          <w:szCs w:val="24"/>
        </w:rPr>
      </w:pPr>
    </w:p>
    <w:p w:rsidR="00EF58E8" w:rsidRDefault="00134CF1" w:rsidP="00813334">
      <w:pPr>
        <w:spacing w:before="240" w:afterLines="30" w:line="360" w:lineRule="auto"/>
        <w:jc w:val="right"/>
        <w:rPr>
          <w:rFonts w:ascii="方正仿宋简体" w:eastAsia="方正仿宋简体" w:hAnsi="Calibri"/>
          <w:b/>
          <w:sz w:val="24"/>
          <w:szCs w:val="24"/>
        </w:rPr>
      </w:pPr>
      <w:r>
        <w:rPr>
          <w:rFonts w:ascii="方正仿宋简体" w:eastAsia="方正仿宋简体" w:hAnsi="Calibri" w:hint="eastAsia"/>
          <w:b/>
          <w:sz w:val="24"/>
          <w:szCs w:val="24"/>
        </w:rPr>
        <w:t>南银理财有限责任公司</w:t>
      </w:r>
    </w:p>
    <w:p w:rsidR="00EF58E8" w:rsidRDefault="00134CF1" w:rsidP="00C44941">
      <w:pPr>
        <w:spacing w:before="240" w:afterLines="30" w:line="360" w:lineRule="auto"/>
        <w:jc w:val="right"/>
        <w:rPr>
          <w:rFonts w:ascii="方正仿宋简体" w:eastAsia="方正仿宋简体"/>
          <w:b/>
          <w:sz w:val="24"/>
          <w:szCs w:val="24"/>
        </w:rPr>
      </w:pPr>
      <w:r>
        <w:rPr>
          <w:rFonts w:ascii="方正仿宋简体" w:eastAsia="方正仿宋简体" w:hint="eastAsia"/>
          <w:b/>
          <w:sz w:val="24"/>
          <w:szCs w:val="24"/>
        </w:rPr>
        <w:t>2024年12月31日</w:t>
      </w:r>
    </w:p>
    <w:sectPr w:rsidR="00EF58E8" w:rsidSect="00EF58E8">
      <w:headerReference w:type="default" r:id="rId6"/>
      <w:footerReference w:type="even" r:id="rId7"/>
      <w:footerReference w:type="default" r:id="rId8"/>
      <w:headerReference w:type="first" r:id="rId9"/>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3B14" w:rsidRDefault="00EC3B14" w:rsidP="00EF58E8">
      <w:r>
        <w:separator/>
      </w:r>
    </w:p>
  </w:endnote>
  <w:endnote w:type="continuationSeparator" w:id="1">
    <w:p w:rsidR="00EC3B14" w:rsidRDefault="00EC3B14" w:rsidP="00EF58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8E8" w:rsidRDefault="00C44941">
    <w:pPr>
      <w:pStyle w:val="a5"/>
      <w:framePr w:wrap="around" w:vAnchor="text" w:hAnchor="margin" w:xAlign="center" w:y="1"/>
      <w:rPr>
        <w:rStyle w:val="aa"/>
      </w:rPr>
    </w:pPr>
    <w:r>
      <w:fldChar w:fldCharType="begin"/>
    </w:r>
    <w:r w:rsidR="00134CF1">
      <w:rPr>
        <w:rStyle w:val="aa"/>
      </w:rPr>
      <w:instrText xml:space="preserve">PAGE  </w:instrText>
    </w:r>
    <w:r>
      <w:fldChar w:fldCharType="end"/>
    </w:r>
  </w:p>
  <w:p w:rsidR="00EF58E8" w:rsidRDefault="00EF58E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8E8" w:rsidRDefault="00EF58E8">
    <w:pPr>
      <w:pStyle w:val="a5"/>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3B14" w:rsidRDefault="00EC3B14" w:rsidP="00EF58E8">
      <w:r>
        <w:separator/>
      </w:r>
    </w:p>
  </w:footnote>
  <w:footnote w:type="continuationSeparator" w:id="1">
    <w:p w:rsidR="00EC3B14" w:rsidRDefault="00EC3B14" w:rsidP="00EF58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8E8" w:rsidRDefault="00EF58E8">
    <w:pPr>
      <w:pStyle w:val="a6"/>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8E8" w:rsidRDefault="00EF58E8">
    <w:pPr>
      <w:pStyle w:val="a6"/>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noPunctuationKerning/>
  <w:characterSpacingControl w:val="compressPunctuation"/>
  <w:hdrShapeDefaults>
    <o:shapedefaults v:ext="edit" spidmax="7170"/>
  </w:hdrShapeDefaults>
  <w:footnotePr>
    <w:footnote w:id="0"/>
    <w:footnote w:id="1"/>
  </w:footnotePr>
  <w:endnotePr>
    <w:endnote w:id="0"/>
    <w:endnote w:id="1"/>
  </w:endnotePr>
  <w:compat>
    <w:doNotExpandShiftReturn/>
    <w:useFELayout/>
  </w:compat>
  <w:rsids>
    <w:rsidRoot w:val="00172A27"/>
    <w:rsid w:val="000060E5"/>
    <w:rsid w:val="000234FF"/>
    <w:rsid w:val="00026D52"/>
    <w:rsid w:val="000318AA"/>
    <w:rsid w:val="000331A3"/>
    <w:rsid w:val="00034FF6"/>
    <w:rsid w:val="00044BFF"/>
    <w:rsid w:val="000470C2"/>
    <w:rsid w:val="0005474A"/>
    <w:rsid w:val="00061725"/>
    <w:rsid w:val="000857E6"/>
    <w:rsid w:val="00095B95"/>
    <w:rsid w:val="000A3711"/>
    <w:rsid w:val="000B59A3"/>
    <w:rsid w:val="000D5066"/>
    <w:rsid w:val="000E6ACE"/>
    <w:rsid w:val="000F6191"/>
    <w:rsid w:val="000F7EE1"/>
    <w:rsid w:val="00103D08"/>
    <w:rsid w:val="001159BA"/>
    <w:rsid w:val="001279EA"/>
    <w:rsid w:val="00130CE8"/>
    <w:rsid w:val="00134CF1"/>
    <w:rsid w:val="0014449D"/>
    <w:rsid w:val="00152201"/>
    <w:rsid w:val="00167653"/>
    <w:rsid w:val="00172A27"/>
    <w:rsid w:val="001735BA"/>
    <w:rsid w:val="00176636"/>
    <w:rsid w:val="00183C84"/>
    <w:rsid w:val="001B497D"/>
    <w:rsid w:val="001C05F9"/>
    <w:rsid w:val="001C4DF0"/>
    <w:rsid w:val="001C5395"/>
    <w:rsid w:val="001D1FBB"/>
    <w:rsid w:val="001E2EEA"/>
    <w:rsid w:val="001E5905"/>
    <w:rsid w:val="001E7120"/>
    <w:rsid w:val="001F2842"/>
    <w:rsid w:val="00211F26"/>
    <w:rsid w:val="00224D9D"/>
    <w:rsid w:val="002263FC"/>
    <w:rsid w:val="002448E3"/>
    <w:rsid w:val="00247A0A"/>
    <w:rsid w:val="002678D9"/>
    <w:rsid w:val="002765C9"/>
    <w:rsid w:val="00295E85"/>
    <w:rsid w:val="002A3AE9"/>
    <w:rsid w:val="002B100D"/>
    <w:rsid w:val="002C196E"/>
    <w:rsid w:val="002D2787"/>
    <w:rsid w:val="002D2DB0"/>
    <w:rsid w:val="002D75D0"/>
    <w:rsid w:val="002E7131"/>
    <w:rsid w:val="002E795C"/>
    <w:rsid w:val="002F6BC5"/>
    <w:rsid w:val="00305714"/>
    <w:rsid w:val="00313E71"/>
    <w:rsid w:val="00317582"/>
    <w:rsid w:val="00321CB7"/>
    <w:rsid w:val="003379A9"/>
    <w:rsid w:val="00346BE1"/>
    <w:rsid w:val="0035030B"/>
    <w:rsid w:val="00350ADF"/>
    <w:rsid w:val="00353B09"/>
    <w:rsid w:val="00355623"/>
    <w:rsid w:val="003658B9"/>
    <w:rsid w:val="00387F9B"/>
    <w:rsid w:val="003A0419"/>
    <w:rsid w:val="003B7361"/>
    <w:rsid w:val="003C4D3B"/>
    <w:rsid w:val="003D4B6E"/>
    <w:rsid w:val="003E09EA"/>
    <w:rsid w:val="003E412C"/>
    <w:rsid w:val="003F0AC3"/>
    <w:rsid w:val="00406B07"/>
    <w:rsid w:val="00456251"/>
    <w:rsid w:val="004568D2"/>
    <w:rsid w:val="0046794D"/>
    <w:rsid w:val="004A2DC3"/>
    <w:rsid w:val="004B5DED"/>
    <w:rsid w:val="004C1607"/>
    <w:rsid w:val="004C42AC"/>
    <w:rsid w:val="004E621E"/>
    <w:rsid w:val="004F2359"/>
    <w:rsid w:val="004F313C"/>
    <w:rsid w:val="005069D8"/>
    <w:rsid w:val="0051077F"/>
    <w:rsid w:val="00522858"/>
    <w:rsid w:val="0056162E"/>
    <w:rsid w:val="00563B93"/>
    <w:rsid w:val="00567DB3"/>
    <w:rsid w:val="0058745C"/>
    <w:rsid w:val="00587C27"/>
    <w:rsid w:val="00594CF2"/>
    <w:rsid w:val="005B3214"/>
    <w:rsid w:val="005B3434"/>
    <w:rsid w:val="005B3C9E"/>
    <w:rsid w:val="005B7384"/>
    <w:rsid w:val="005D5ED6"/>
    <w:rsid w:val="005E0686"/>
    <w:rsid w:val="005E2884"/>
    <w:rsid w:val="005E40C5"/>
    <w:rsid w:val="005E5050"/>
    <w:rsid w:val="005F2C7B"/>
    <w:rsid w:val="005F4D04"/>
    <w:rsid w:val="005F7DA9"/>
    <w:rsid w:val="006054F8"/>
    <w:rsid w:val="0065419A"/>
    <w:rsid w:val="00654220"/>
    <w:rsid w:val="00663B94"/>
    <w:rsid w:val="00677F66"/>
    <w:rsid w:val="006A77A0"/>
    <w:rsid w:val="006B0D3E"/>
    <w:rsid w:val="006C1014"/>
    <w:rsid w:val="006D1F54"/>
    <w:rsid w:val="006E4E94"/>
    <w:rsid w:val="006F69B2"/>
    <w:rsid w:val="007017D8"/>
    <w:rsid w:val="00704674"/>
    <w:rsid w:val="00730BEE"/>
    <w:rsid w:val="0073101E"/>
    <w:rsid w:val="00735153"/>
    <w:rsid w:val="00745421"/>
    <w:rsid w:val="00745F96"/>
    <w:rsid w:val="007632E2"/>
    <w:rsid w:val="00774E0A"/>
    <w:rsid w:val="00782F29"/>
    <w:rsid w:val="007A4219"/>
    <w:rsid w:val="007B066E"/>
    <w:rsid w:val="007B08DF"/>
    <w:rsid w:val="007C415F"/>
    <w:rsid w:val="007E0B6E"/>
    <w:rsid w:val="007E4637"/>
    <w:rsid w:val="007E68A3"/>
    <w:rsid w:val="007F773A"/>
    <w:rsid w:val="00800690"/>
    <w:rsid w:val="0080200C"/>
    <w:rsid w:val="00813334"/>
    <w:rsid w:val="00814110"/>
    <w:rsid w:val="0082040E"/>
    <w:rsid w:val="0082561A"/>
    <w:rsid w:val="008273FB"/>
    <w:rsid w:val="00843949"/>
    <w:rsid w:val="00846B2E"/>
    <w:rsid w:val="00853412"/>
    <w:rsid w:val="0085663C"/>
    <w:rsid w:val="00870717"/>
    <w:rsid w:val="008768AB"/>
    <w:rsid w:val="008870FD"/>
    <w:rsid w:val="008904CC"/>
    <w:rsid w:val="008926F7"/>
    <w:rsid w:val="008A7510"/>
    <w:rsid w:val="008C78BD"/>
    <w:rsid w:val="008D1B73"/>
    <w:rsid w:val="008F099C"/>
    <w:rsid w:val="008F0FA3"/>
    <w:rsid w:val="008F1AB3"/>
    <w:rsid w:val="00900D90"/>
    <w:rsid w:val="009027E8"/>
    <w:rsid w:val="009354D6"/>
    <w:rsid w:val="00950650"/>
    <w:rsid w:val="009566E6"/>
    <w:rsid w:val="00956754"/>
    <w:rsid w:val="009679B0"/>
    <w:rsid w:val="00970A98"/>
    <w:rsid w:val="00977E89"/>
    <w:rsid w:val="009A4E58"/>
    <w:rsid w:val="009A4E79"/>
    <w:rsid w:val="009B1695"/>
    <w:rsid w:val="009B2EEF"/>
    <w:rsid w:val="009C6A99"/>
    <w:rsid w:val="009C781F"/>
    <w:rsid w:val="009D5296"/>
    <w:rsid w:val="009E6170"/>
    <w:rsid w:val="009F1FD4"/>
    <w:rsid w:val="009F4338"/>
    <w:rsid w:val="00A204A0"/>
    <w:rsid w:val="00A4484F"/>
    <w:rsid w:val="00A66D8E"/>
    <w:rsid w:val="00A748DB"/>
    <w:rsid w:val="00A76D4B"/>
    <w:rsid w:val="00A77C47"/>
    <w:rsid w:val="00A9119C"/>
    <w:rsid w:val="00A93E3C"/>
    <w:rsid w:val="00A94A56"/>
    <w:rsid w:val="00AA4549"/>
    <w:rsid w:val="00AA5B04"/>
    <w:rsid w:val="00AC5144"/>
    <w:rsid w:val="00B01908"/>
    <w:rsid w:val="00B13014"/>
    <w:rsid w:val="00B17559"/>
    <w:rsid w:val="00B23430"/>
    <w:rsid w:val="00B23E1D"/>
    <w:rsid w:val="00B33978"/>
    <w:rsid w:val="00B33B19"/>
    <w:rsid w:val="00B404E6"/>
    <w:rsid w:val="00B4360D"/>
    <w:rsid w:val="00B43E89"/>
    <w:rsid w:val="00B453BE"/>
    <w:rsid w:val="00B570BA"/>
    <w:rsid w:val="00B61EA9"/>
    <w:rsid w:val="00B670D1"/>
    <w:rsid w:val="00B74DCA"/>
    <w:rsid w:val="00BC3903"/>
    <w:rsid w:val="00BD66CD"/>
    <w:rsid w:val="00BE47E0"/>
    <w:rsid w:val="00BF3D9D"/>
    <w:rsid w:val="00BF75C8"/>
    <w:rsid w:val="00C1762E"/>
    <w:rsid w:val="00C20F36"/>
    <w:rsid w:val="00C25123"/>
    <w:rsid w:val="00C2582A"/>
    <w:rsid w:val="00C30A48"/>
    <w:rsid w:val="00C375A7"/>
    <w:rsid w:val="00C44941"/>
    <w:rsid w:val="00C44DFE"/>
    <w:rsid w:val="00C62DF8"/>
    <w:rsid w:val="00C640FB"/>
    <w:rsid w:val="00C86023"/>
    <w:rsid w:val="00C94EBA"/>
    <w:rsid w:val="00CB054E"/>
    <w:rsid w:val="00CC52D7"/>
    <w:rsid w:val="00CD79D3"/>
    <w:rsid w:val="00CE4DED"/>
    <w:rsid w:val="00CF7900"/>
    <w:rsid w:val="00D17916"/>
    <w:rsid w:val="00D23AB6"/>
    <w:rsid w:val="00D50309"/>
    <w:rsid w:val="00D51AA9"/>
    <w:rsid w:val="00D55A00"/>
    <w:rsid w:val="00D7264A"/>
    <w:rsid w:val="00D84E43"/>
    <w:rsid w:val="00D870DF"/>
    <w:rsid w:val="00DA30A0"/>
    <w:rsid w:val="00DB0C2F"/>
    <w:rsid w:val="00DB3BF6"/>
    <w:rsid w:val="00DB56A2"/>
    <w:rsid w:val="00DC31CC"/>
    <w:rsid w:val="00DC728A"/>
    <w:rsid w:val="00DD2F3C"/>
    <w:rsid w:val="00DD65B5"/>
    <w:rsid w:val="00DE2EC8"/>
    <w:rsid w:val="00DF5BDF"/>
    <w:rsid w:val="00DF6907"/>
    <w:rsid w:val="00E1059D"/>
    <w:rsid w:val="00E155DF"/>
    <w:rsid w:val="00E246E1"/>
    <w:rsid w:val="00E314CE"/>
    <w:rsid w:val="00E514EB"/>
    <w:rsid w:val="00E52823"/>
    <w:rsid w:val="00E52B10"/>
    <w:rsid w:val="00E600D0"/>
    <w:rsid w:val="00E7192D"/>
    <w:rsid w:val="00E87F16"/>
    <w:rsid w:val="00E944FA"/>
    <w:rsid w:val="00E9797A"/>
    <w:rsid w:val="00EB0DB4"/>
    <w:rsid w:val="00EC3B14"/>
    <w:rsid w:val="00EE0436"/>
    <w:rsid w:val="00EE5457"/>
    <w:rsid w:val="00EF58E8"/>
    <w:rsid w:val="00EF6CF0"/>
    <w:rsid w:val="00F4042F"/>
    <w:rsid w:val="00F41324"/>
    <w:rsid w:val="00F57C12"/>
    <w:rsid w:val="00F609FD"/>
    <w:rsid w:val="00F64BD9"/>
    <w:rsid w:val="00F7052D"/>
    <w:rsid w:val="00F70FB4"/>
    <w:rsid w:val="00F771E3"/>
    <w:rsid w:val="00F8162C"/>
    <w:rsid w:val="00F859AB"/>
    <w:rsid w:val="00F950D0"/>
    <w:rsid w:val="00FA0110"/>
    <w:rsid w:val="00FA2C26"/>
    <w:rsid w:val="00FC3509"/>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5A1578"/>
    <w:rsid w:val="1E911FB2"/>
    <w:rsid w:val="20F325AF"/>
    <w:rsid w:val="216F6F5C"/>
    <w:rsid w:val="22D04645"/>
    <w:rsid w:val="22E23E75"/>
    <w:rsid w:val="2555668E"/>
    <w:rsid w:val="25AF3A81"/>
    <w:rsid w:val="26FD4196"/>
    <w:rsid w:val="28CD1EA7"/>
    <w:rsid w:val="29F7636C"/>
    <w:rsid w:val="2A2232BA"/>
    <w:rsid w:val="32955A2A"/>
    <w:rsid w:val="32AE1BB2"/>
    <w:rsid w:val="33D3788C"/>
    <w:rsid w:val="3423471F"/>
    <w:rsid w:val="36341C31"/>
    <w:rsid w:val="368076E6"/>
    <w:rsid w:val="378F5AE0"/>
    <w:rsid w:val="37F709A6"/>
    <w:rsid w:val="39E872E9"/>
    <w:rsid w:val="3ABE1FB8"/>
    <w:rsid w:val="3C753CC7"/>
    <w:rsid w:val="3F2C3B54"/>
    <w:rsid w:val="40990310"/>
    <w:rsid w:val="42665587"/>
    <w:rsid w:val="459870AF"/>
    <w:rsid w:val="45ED49CE"/>
    <w:rsid w:val="46F0109E"/>
    <w:rsid w:val="47475A63"/>
    <w:rsid w:val="4E276A76"/>
    <w:rsid w:val="509017BA"/>
    <w:rsid w:val="51482FC3"/>
    <w:rsid w:val="52830253"/>
    <w:rsid w:val="541C469D"/>
    <w:rsid w:val="5BE61B5E"/>
    <w:rsid w:val="602D020F"/>
    <w:rsid w:val="642B0783"/>
    <w:rsid w:val="64C67B5C"/>
    <w:rsid w:val="66F47EBC"/>
    <w:rsid w:val="681903E9"/>
    <w:rsid w:val="68823415"/>
    <w:rsid w:val="6898111C"/>
    <w:rsid w:val="6A485270"/>
    <w:rsid w:val="6D05415D"/>
    <w:rsid w:val="6F66394D"/>
    <w:rsid w:val="6FA37B33"/>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58E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EF58E8"/>
    <w:pPr>
      <w:jc w:val="left"/>
    </w:pPr>
  </w:style>
  <w:style w:type="paragraph" w:styleId="a4">
    <w:name w:val="Balloon Text"/>
    <w:basedOn w:val="a"/>
    <w:link w:val="Char0"/>
    <w:uiPriority w:val="99"/>
    <w:unhideWhenUsed/>
    <w:qFormat/>
    <w:rsid w:val="00EF58E8"/>
    <w:rPr>
      <w:sz w:val="18"/>
      <w:szCs w:val="18"/>
    </w:rPr>
  </w:style>
  <w:style w:type="paragraph" w:styleId="a5">
    <w:name w:val="footer"/>
    <w:basedOn w:val="a"/>
    <w:link w:val="Char1"/>
    <w:uiPriority w:val="99"/>
    <w:unhideWhenUsed/>
    <w:qFormat/>
    <w:rsid w:val="00EF58E8"/>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EF58E8"/>
    <w:pPr>
      <w:pBdr>
        <w:bottom w:val="single" w:sz="6" w:space="1" w:color="auto"/>
      </w:pBdr>
      <w:tabs>
        <w:tab w:val="center" w:pos="4153"/>
        <w:tab w:val="right" w:pos="8306"/>
      </w:tabs>
      <w:snapToGrid w:val="0"/>
      <w:jc w:val="center"/>
    </w:pPr>
    <w:rPr>
      <w:sz w:val="18"/>
      <w:szCs w:val="18"/>
    </w:rPr>
  </w:style>
  <w:style w:type="paragraph" w:styleId="a7">
    <w:name w:val="footnote text"/>
    <w:basedOn w:val="a"/>
    <w:uiPriority w:val="99"/>
    <w:unhideWhenUsed/>
    <w:qFormat/>
    <w:rsid w:val="00EF58E8"/>
    <w:pPr>
      <w:snapToGrid w:val="0"/>
      <w:jc w:val="left"/>
    </w:pPr>
    <w:rPr>
      <w:sz w:val="18"/>
    </w:rPr>
  </w:style>
  <w:style w:type="paragraph" w:styleId="a8">
    <w:name w:val="Normal (Web)"/>
    <w:basedOn w:val="a"/>
    <w:qFormat/>
    <w:rsid w:val="00EF58E8"/>
    <w:pPr>
      <w:widowControl/>
      <w:spacing w:before="100" w:beforeAutospacing="1" w:after="100" w:afterAutospacing="1"/>
      <w:jc w:val="left"/>
    </w:pPr>
    <w:rPr>
      <w:rFonts w:ascii="宋体" w:hAnsi="宋体"/>
      <w:kern w:val="0"/>
      <w:sz w:val="24"/>
      <w:szCs w:val="24"/>
    </w:rPr>
  </w:style>
  <w:style w:type="paragraph" w:styleId="a9">
    <w:name w:val="annotation subject"/>
    <w:basedOn w:val="a3"/>
    <w:next w:val="a3"/>
    <w:link w:val="Char3"/>
    <w:uiPriority w:val="99"/>
    <w:unhideWhenUsed/>
    <w:qFormat/>
    <w:rsid w:val="00EF58E8"/>
    <w:rPr>
      <w:b/>
      <w:bCs/>
    </w:rPr>
  </w:style>
  <w:style w:type="character" w:styleId="aa">
    <w:name w:val="page number"/>
    <w:basedOn w:val="a0"/>
    <w:uiPriority w:val="99"/>
    <w:unhideWhenUsed/>
    <w:qFormat/>
    <w:rsid w:val="00EF58E8"/>
  </w:style>
  <w:style w:type="character" w:styleId="ab">
    <w:name w:val="annotation reference"/>
    <w:uiPriority w:val="99"/>
    <w:unhideWhenUsed/>
    <w:qFormat/>
    <w:rsid w:val="00EF58E8"/>
    <w:rPr>
      <w:sz w:val="21"/>
      <w:szCs w:val="21"/>
    </w:rPr>
  </w:style>
  <w:style w:type="character" w:styleId="ac">
    <w:name w:val="footnote reference"/>
    <w:uiPriority w:val="99"/>
    <w:unhideWhenUsed/>
    <w:qFormat/>
    <w:rsid w:val="00EF58E8"/>
    <w:rPr>
      <w:vertAlign w:val="superscript"/>
    </w:rPr>
  </w:style>
  <w:style w:type="character" w:customStyle="1" w:styleId="Char0">
    <w:name w:val="批注框文本 Char"/>
    <w:link w:val="a4"/>
    <w:uiPriority w:val="99"/>
    <w:semiHidden/>
    <w:qFormat/>
    <w:rsid w:val="00EF58E8"/>
    <w:rPr>
      <w:kern w:val="2"/>
      <w:sz w:val="18"/>
      <w:szCs w:val="18"/>
    </w:rPr>
  </w:style>
  <w:style w:type="character" w:customStyle="1" w:styleId="Char2">
    <w:name w:val="页眉 Char"/>
    <w:link w:val="a6"/>
    <w:uiPriority w:val="99"/>
    <w:semiHidden/>
    <w:qFormat/>
    <w:locked/>
    <w:rsid w:val="00EF58E8"/>
    <w:rPr>
      <w:rFonts w:ascii="Times New Roman" w:hAnsi="Times New Roman" w:cs="Times New Roman" w:hint="default"/>
      <w:sz w:val="18"/>
      <w:szCs w:val="18"/>
    </w:rPr>
  </w:style>
  <w:style w:type="character" w:customStyle="1" w:styleId="Char3">
    <w:name w:val="批注主题 Char"/>
    <w:link w:val="a9"/>
    <w:uiPriority w:val="99"/>
    <w:semiHidden/>
    <w:qFormat/>
    <w:rsid w:val="00EF58E8"/>
    <w:rPr>
      <w:b/>
      <w:bCs/>
      <w:kern w:val="2"/>
      <w:sz w:val="21"/>
      <w:szCs w:val="22"/>
    </w:rPr>
  </w:style>
  <w:style w:type="character" w:customStyle="1" w:styleId="Char1">
    <w:name w:val="页脚 Char"/>
    <w:link w:val="a5"/>
    <w:uiPriority w:val="99"/>
    <w:semiHidden/>
    <w:qFormat/>
    <w:locked/>
    <w:rsid w:val="00EF58E8"/>
    <w:rPr>
      <w:rFonts w:ascii="Times New Roman" w:hAnsi="Times New Roman" w:cs="Times New Roman" w:hint="default"/>
      <w:sz w:val="18"/>
      <w:szCs w:val="18"/>
    </w:rPr>
  </w:style>
  <w:style w:type="character" w:customStyle="1" w:styleId="Char">
    <w:name w:val="批注文字 Char"/>
    <w:link w:val="a3"/>
    <w:uiPriority w:val="99"/>
    <w:qFormat/>
    <w:rsid w:val="00EF58E8"/>
    <w:rPr>
      <w:kern w:val="2"/>
      <w:sz w:val="21"/>
      <w:szCs w:val="22"/>
    </w:rPr>
  </w:style>
  <w:style w:type="paragraph" w:customStyle="1" w:styleId="zhongyaotishi">
    <w:name w:val="zhongyaotishi"/>
    <w:basedOn w:val="a"/>
    <w:qFormat/>
    <w:rsid w:val="00EF58E8"/>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EF58E8"/>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EF58E8"/>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EF58E8"/>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EF58E8"/>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EF58E8"/>
    <w:pPr>
      <w:widowControl w:val="0"/>
      <w:jc w:val="center"/>
    </w:pPr>
    <w:rPr>
      <w:kern w:val="2"/>
      <w:sz w:val="33"/>
      <w:szCs w:val="22"/>
    </w:rPr>
  </w:style>
  <w:style w:type="paragraph" w:customStyle="1" w:styleId="biaogeleft">
    <w:name w:val="biaoge_left"/>
    <w:basedOn w:val="a"/>
    <w:qFormat/>
    <w:rsid w:val="00EF58E8"/>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EF58E8"/>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EF58E8"/>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EF58E8"/>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EF58E8"/>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EF58E8"/>
    <w:pPr>
      <w:widowControl w:val="0"/>
    </w:pPr>
    <w:rPr>
      <w:kern w:val="2"/>
      <w:sz w:val="21"/>
      <w:szCs w:val="22"/>
    </w:rPr>
  </w:style>
  <w:style w:type="paragraph" w:customStyle="1" w:styleId="neirong">
    <w:name w:val="neirong"/>
    <w:basedOn w:val="a"/>
    <w:qFormat/>
    <w:rsid w:val="00EF58E8"/>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EF58E8"/>
    <w:pPr>
      <w:jc w:val="both"/>
    </w:pPr>
    <w:rPr>
      <w:kern w:val="2"/>
      <w:sz w:val="21"/>
      <w:szCs w:val="21"/>
    </w:rPr>
  </w:style>
  <w:style w:type="paragraph" w:customStyle="1" w:styleId="Default">
    <w:name w:val="Default"/>
    <w:qFormat/>
    <w:rsid w:val="00EF58E8"/>
    <w:pPr>
      <w:widowControl w:val="0"/>
      <w:autoSpaceDE w:val="0"/>
      <w:autoSpaceDN w:val="0"/>
      <w:adjustRightInd w:val="0"/>
    </w:pPr>
    <w:rPr>
      <w:rFonts w:ascii="宋体" w:cs="宋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552</Words>
  <Characters>3147</Characters>
  <Application>Microsoft Office Word</Application>
  <DocSecurity>0</DocSecurity>
  <Lines>26</Lines>
  <Paragraphs>7</Paragraphs>
  <ScaleCrop>false</ScaleCrop>
  <Company>微软中国</Company>
  <LinksUpToDate>false</LinksUpToDate>
  <CharactersWithSpaces>3692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总行金融市场部本币投资交易部梅浩超</dc:creator>
  <cp:lastModifiedBy>糜格宇</cp:lastModifiedBy>
  <cp:revision>33</cp:revision>
  <cp:lastPrinted>2019-09-11T00:56:00Z</cp:lastPrinted>
  <dcterms:created xsi:type="dcterms:W3CDTF">2022-08-03T07:54:00Z</dcterms:created>
  <dcterms:modified xsi:type="dcterms:W3CDTF">2025-05-07T12:08:00Z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6DC089A6314B4D5F940A54E63C5FE8E7</vt:lpwstr>
  </property>
</Properties>
</file>