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jc w:val="center"/>
        <w:rPr>
          <w:rFonts w:asciiTheme="minorEastAsia" w:hAnsiTheme="minorEastAsia" w:eastAsiaTheme="minorEastAsia"/>
        </w:rPr>
      </w:pPr>
    </w:p>
    <w:p>
      <w:pPr>
        <w:spacing w:before="240" w:after="72" w:line="360" w:lineRule="auto"/>
        <w:jc w:val="center"/>
        <w:rPr>
          <w:rFonts w:asciiTheme="minorEastAsia" w:hAnsiTheme="minorEastAsia" w:eastAsiaTheme="minorEastAsia"/>
        </w:rPr>
      </w:pPr>
    </w:p>
    <w:p>
      <w:pPr>
        <w:spacing w:before="240" w:after="72" w:line="360" w:lineRule="auto"/>
        <w:jc w:val="center"/>
        <w:rPr>
          <w:rFonts w:asciiTheme="minorEastAsia" w:hAnsiTheme="minorEastAsia" w:eastAsiaTheme="minorEastAsia"/>
        </w:rPr>
      </w:pPr>
    </w:p>
    <w:p>
      <w:pPr>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南银理财珠联璧合悦稳（最低持有280天）公募人民币理财产品</w:t>
      </w:r>
    </w:p>
    <w:p>
      <w:pPr>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2024年第3季度报告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r>
        <w:rPr>
          <w:rFonts w:ascii="方正黑体简体" w:eastAsia="方正黑体简体"/>
          <w:sz w:val="36"/>
          <w:szCs w:val="36"/>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7"/>
        <w:tblW w:w="8959"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894"/>
        <w:gridCol w:w="6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产品全称</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南银理财珠联璧合悦稳（最低持有280天）公募人民币理财产品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7"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产品登记编码</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Z7003222000028（投资者可依据该编码在中国理财网www.chinawealth.com.cn查询理财产品相关信息）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产品运作方式</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产品成立日</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2022年04月27日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报告期末产品份额总额</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5,549,331,398.54份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合作机构</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中粮信托有限责任公司,太平资产管理有限公司,广发基金管理有限公司,鑫元基金管理有限公司,鹏华基金管理有限公司,陆家嘴国际信托有限公司,江苏省国际信托有限责任公司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产品管理人</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产品托管人</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主要财务指标和产品业绩比较基准</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7"/>
        <w:tblpPr w:leftFromText="180" w:rightFromText="180" w:vertAnchor="text" w:tblpXSpec="center" w:tblpY="1"/>
        <w:tblOverlap w:val="never"/>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296"/>
        <w:gridCol w:w="2705"/>
        <w:gridCol w:w="2030"/>
        <w:gridCol w:w="2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2296" w:type="dxa"/>
            <w:vMerge w:val="restart"/>
            <w:vAlign w:val="center"/>
          </w:tcPr>
          <w:p>
            <w:pPr>
              <w:spacing w:before="48" w:beforeLines="20" w:after="48" w:afterLines="20" w:line="360" w:lineRule="auto"/>
              <w:jc w:val="center"/>
              <w:rPr>
                <w:rFonts w:ascii="方正仿宋简体" w:eastAsia="方正仿宋简体"/>
                <w:sz w:val="24"/>
                <w:szCs w:val="24"/>
              </w:rPr>
            </w:pPr>
            <w:r>
              <w:rPr>
                <w:rFonts w:hint="eastAsia" w:ascii="方正仿宋简体" w:eastAsia="方正仿宋简体"/>
                <w:sz w:val="24"/>
                <w:szCs w:val="24"/>
              </w:rPr>
              <w:t>内部销售代码</w:t>
            </w:r>
          </w:p>
        </w:tc>
        <w:tc>
          <w:tcPr>
            <w:tcW w:w="6771" w:type="dxa"/>
            <w:gridSpan w:val="3"/>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报告期（2024年07月01日 - 2024年09月30日）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4" w:hRule="atLeast"/>
          <w:jc w:val="center"/>
        </w:trPr>
        <w:tc>
          <w:tcPr>
            <w:tcW w:w="2296" w:type="dxa"/>
            <w:vMerge w:val="continue"/>
            <w:vAlign w:val="center"/>
          </w:tcPr>
          <w:p>
            <w:pPr>
              <w:spacing w:before="48" w:beforeLines="20" w:after="48" w:afterLines="20" w:line="360" w:lineRule="auto"/>
              <w:jc w:val="center"/>
              <w:rPr>
                <w:rFonts w:ascii="方正仿宋简体" w:eastAsia="方正仿宋简体"/>
                <w:sz w:val="24"/>
                <w:szCs w:val="24"/>
              </w:rPr>
            </w:pPr>
          </w:p>
        </w:tc>
        <w:tc>
          <w:tcPr>
            <w:tcW w:w="270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030"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036"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57" w:hRule="atLeast"/>
          <w:jc w:val="center"/>
        </w:trPr>
        <w:tc>
          <w:tcPr>
            <w:tcW w:w="229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A32005</w:t>
            </w:r>
          </w:p>
        </w:tc>
        <w:tc>
          <w:tcPr>
            <w:tcW w:w="2705"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4,793,620,934.70</w:t>
            </w:r>
          </w:p>
        </w:tc>
        <w:tc>
          <w:tcPr>
            <w:tcW w:w="2030"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1.0795</w:t>
            </w:r>
          </w:p>
        </w:tc>
        <w:tc>
          <w:tcPr>
            <w:tcW w:w="203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1.0795</w:t>
            </w:r>
          </w:p>
        </w:tc>
      </w:tr>
      <w:tr>
        <w:trPr>
          <w:trHeight w:val="557" w:hRule="atLeast"/>
          <w:jc w:val="center"/>
        </w:trPr>
        <w:tc>
          <w:tcPr>
            <w:tcW w:w="229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A32006</w:t>
            </w:r>
          </w:p>
        </w:tc>
        <w:tc>
          <w:tcPr>
            <w:tcW w:w="2705"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1,199,993,516.90</w:t>
            </w:r>
          </w:p>
        </w:tc>
        <w:tc>
          <w:tcPr>
            <w:tcW w:w="2030"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1.0821</w:t>
            </w:r>
          </w:p>
        </w:tc>
        <w:tc>
          <w:tcPr>
            <w:tcW w:w="203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1.0821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2.2 产品业绩比较基准</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2.2.1本报告期产品业绩比较基准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4485"/>
        <w:gridCol w:w="2095"/>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8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阶段</w:t>
            </w:r>
          </w:p>
        </w:tc>
        <w:tc>
          <w:tcPr>
            <w:tcW w:w="209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2322"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业绩比较基准</w:t>
            </w:r>
          </w:p>
        </w:tc>
      </w:tr>
      <w:tr>
        <w:trPr>
          <w:jc w:val="center"/>
        </w:trPr>
        <w:tc>
          <w:tcPr>
            <w:tcW w:w="448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2024年07月01日 - 2024年09月30日</w:t>
            </w:r>
          </w:p>
        </w:tc>
        <w:tc>
          <w:tcPr>
            <w:tcW w:w="209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A32005</w:t>
            </w:r>
          </w:p>
        </w:tc>
        <w:tc>
          <w:tcPr>
            <w:tcW w:w="2322"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w:t>
            </w:r>
          </w:p>
        </w:tc>
      </w:tr>
      <w:tr>
        <w:trPr>
          <w:jc w:val="center"/>
        </w:trPr>
        <w:tc>
          <w:tcPr>
            <w:tcW w:w="448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2024年07月01日 - 2024年09月30日</w:t>
            </w:r>
          </w:p>
        </w:tc>
        <w:tc>
          <w:tcPr>
            <w:tcW w:w="209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A32006</w:t>
            </w:r>
          </w:p>
        </w:tc>
        <w:tc>
          <w:tcPr>
            <w:tcW w:w="2322"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w:t>
            </w:r>
          </w:p>
        </w:tc>
      </w:tr>
    </w:tbl>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r>
        <w:rPr>
          <w:rFonts w:hint="eastAsia" w:ascii="方正仿宋简体" w:eastAsia="方正仿宋简体"/>
          <w:b/>
          <w:sz w:val="24"/>
          <w:szCs w:val="24"/>
        </w:rPr>
        <w:tab/>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2024年3季度，债券市场整体呈现先扬后抑的走势，7月和8月利率整体震荡下行，9月中下旬随着对央行和财政政策的预期逐步升温，10Y国债收益率在迫近2%后开启反弹，反弹幅度达到20BP以上，三季度信用债相比利率债而言，走势相对较弱，主要是由于在上半年利率下行的过程中，等级利差和信用利差均压至历史极低位置，因此在8月开始信用债便开始与利率走势有所分化，截至9月末，信用利差和期限利差多数走阔20bp以上，回到相对合理的位置。</w:t>
        <w:br w:type="textWrapping" w:clear="all"/>
      </w:r>
      <w:r>
        <w:rPr>
          <w:rFonts w:hint="eastAsia" w:ascii="方正仿宋简体" w:eastAsia="方正仿宋简体"/>
          <w:sz w:val="24"/>
          <w:szCs w:val="24"/>
        </w:rPr>
        <w:t>  展望四季度，对债券市场并不悲观，从货币的角度来看，当前的经济基本面偏弱的格局并不支持货币政策出现转向，进一步降准降息值得期待，在品种上，可以关注一些存单和短期信用债调整后的机会，同时在阶段性也可以关注长端利率债的交易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截至报告期末，本产品A32005份额净值为1.0795元，A32006份额净值为1.0821元。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7"/>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ZJQTT202203100001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鑫元基金-鑫安利得62号集合资产管理计划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2,329,252,395.24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38.86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ZJQTT202207200001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1,871,238,957.55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31.22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772,967,826.83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12.90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XJCKX202312190022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浦发银行南京分行活期存款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347,494,004.10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5.80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DQCKX202405100003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中国银行定期存款20240510C</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ZJQTT202403110021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太平资产稳赢59号资管产品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76,036,395.49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DQCKX202405100002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中国银行定期存款20240510B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0.83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DQCKX202405170003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中国银行定期存款20240517</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0.83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009532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广发景明中短债E</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49,995,169.55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0.83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015530</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鹏华稳福中短债债券A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49,957,353.45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0.83</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63"/>
        <w:gridCol w:w="1671"/>
        <w:gridCol w:w="1252"/>
        <w:gridCol w:w="1511"/>
        <w:gridCol w:w="1357"/>
        <w:gridCol w:w="1248"/>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6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6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1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5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4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100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6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6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52"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1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5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4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00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696"/>
        <w:gridCol w:w="156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69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6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69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6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0120050000000806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南银理财悦稳最低持有280天</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napToGrid/>
        <w:spacing w:before="240" w:after="72" w:line="360" w:lineRule="auto"/>
        <w:ind w:firstLine="480" w:firstLineChars="200"/>
        <w:jc w:val="both"/>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napToGrid/>
        <w:spacing w:before="240" w:after="72" w:line="360" w:lineRule="auto"/>
        <w:ind w:firstLine="480" w:firstLineChars="200"/>
        <w:jc w:val="both"/>
        <w:rPr>
          <w:rFonts w:hint="eastAsia" w:ascii="方正仿宋简体" w:eastAsia="方正仿宋简体"/>
          <w:sz w:val="24"/>
          <w:szCs w:val="24"/>
        </w:rPr>
      </w:pPr>
      <w:r>
        <w:rPr>
          <w:rFonts w:hint="eastAsia" w:ascii="方正仿宋简体" w:eastAsia="方正仿宋简体"/>
          <w:sz w:val="24"/>
          <w:szCs w:val="24"/>
        </w:rPr>
        <w:t>产品投资于</w:t>
      </w:r>
      <w:bookmarkStart w:id="0" w:name="_GoBack"/>
      <w:bookmarkEnd w:id="0"/>
      <w:r>
        <w:rPr>
          <w:rFonts w:hint="eastAsia" w:ascii="方正仿宋简体" w:eastAsia="方正仿宋简体"/>
          <w:sz w:val="24"/>
          <w:szCs w:val="24"/>
        </w:rPr>
        <w:t>关联方作为融资人的非标准化债权类资产业务交易金额0.00元。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产品投资关联方作为管理人的资产管理产品交易金额690,000,000.00元。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产品支付关联方托管费288,907.94元，支付关联方代销费1,145,271.82元。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产品发生其他关联交易金额0.00元。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eastAsia="方正仿宋_GBK"/>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2024年09月30日</w:t>
      </w:r>
    </w:p>
    <w:sectPr>
      <w:headerReference r:id="rId5" w:type="first"/>
      <w:footerReference r:id="rId8" w:type="first"/>
      <w:headerReference r:id="rId3" w:type="default"/>
      <w:footerReference r:id="rId6" w:type="default"/>
      <w:headerReference r:id="rId4" w:type="even"/>
      <w:footerReference r:id="rId7"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0000000000000000000"/>
    <w:charset w:val="86"/>
    <w:family w:val="script"/>
    <w:pitch w:val="default"/>
    <w:sig w:usb0="00000000" w:usb1="00000000" w:usb2="00000010" w:usb3="00000000" w:csb0="00040000" w:csb1="00000000"/>
  </w:font>
  <w:font w:name="方正仿宋简体">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6"/>
      </w:rPr>
    </w:pPr>
    <w:r>
      <w:fldChar w:fldCharType="begin"/>
    </w:r>
    <w:r>
      <w:rPr>
        <w:rStyle w:val="6"/>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YyNWQ5MDZiYWM3OWVhN2E1ZmU3ZDVmOTg3Nzk4MzgifQ=="/>
  </w:docVars>
  <w:rsids>
    <w:rsidRoot w:val="005A7904"/>
    <w:rsid w:val="000044BE"/>
    <w:rsid w:val="000121D1"/>
    <w:rsid w:val="00012B94"/>
    <w:rsid w:val="00012CAC"/>
    <w:rsid w:val="000203D8"/>
    <w:rsid w:val="000215AD"/>
    <w:rsid w:val="00063EA9"/>
    <w:rsid w:val="00072345"/>
    <w:rsid w:val="00097C35"/>
    <w:rsid w:val="000B288D"/>
    <w:rsid w:val="000B2B7B"/>
    <w:rsid w:val="000B4524"/>
    <w:rsid w:val="000C61EE"/>
    <w:rsid w:val="00106906"/>
    <w:rsid w:val="0012494A"/>
    <w:rsid w:val="0013793E"/>
    <w:rsid w:val="00137D06"/>
    <w:rsid w:val="001421A0"/>
    <w:rsid w:val="0015692D"/>
    <w:rsid w:val="001765C7"/>
    <w:rsid w:val="0018311F"/>
    <w:rsid w:val="00210CF6"/>
    <w:rsid w:val="0021176D"/>
    <w:rsid w:val="00245BA0"/>
    <w:rsid w:val="00247E87"/>
    <w:rsid w:val="00262B4B"/>
    <w:rsid w:val="002C44B3"/>
    <w:rsid w:val="002E0397"/>
    <w:rsid w:val="00303D68"/>
    <w:rsid w:val="0030434F"/>
    <w:rsid w:val="00320EE0"/>
    <w:rsid w:val="0032401B"/>
    <w:rsid w:val="0034796F"/>
    <w:rsid w:val="00352282"/>
    <w:rsid w:val="00355FD9"/>
    <w:rsid w:val="00375A11"/>
    <w:rsid w:val="0039556B"/>
    <w:rsid w:val="00395C1C"/>
    <w:rsid w:val="003C00A0"/>
    <w:rsid w:val="003D3C54"/>
    <w:rsid w:val="0040415E"/>
    <w:rsid w:val="00414B37"/>
    <w:rsid w:val="0041563E"/>
    <w:rsid w:val="00463146"/>
    <w:rsid w:val="004822D3"/>
    <w:rsid w:val="00486D6C"/>
    <w:rsid w:val="0049452A"/>
    <w:rsid w:val="004A024D"/>
    <w:rsid w:val="004C1007"/>
    <w:rsid w:val="004D7F94"/>
    <w:rsid w:val="004E5012"/>
    <w:rsid w:val="004F1BE6"/>
    <w:rsid w:val="004F595C"/>
    <w:rsid w:val="00505062"/>
    <w:rsid w:val="0055573F"/>
    <w:rsid w:val="00573EE2"/>
    <w:rsid w:val="005A7904"/>
    <w:rsid w:val="005B2789"/>
    <w:rsid w:val="005B5E17"/>
    <w:rsid w:val="005D04CF"/>
    <w:rsid w:val="005F031B"/>
    <w:rsid w:val="005F7956"/>
    <w:rsid w:val="006053C4"/>
    <w:rsid w:val="00631F68"/>
    <w:rsid w:val="0063323A"/>
    <w:rsid w:val="00650C13"/>
    <w:rsid w:val="006754C1"/>
    <w:rsid w:val="0067684D"/>
    <w:rsid w:val="00676A68"/>
    <w:rsid w:val="0068398A"/>
    <w:rsid w:val="00693399"/>
    <w:rsid w:val="00695491"/>
    <w:rsid w:val="006C7930"/>
    <w:rsid w:val="007120E8"/>
    <w:rsid w:val="00714095"/>
    <w:rsid w:val="00717310"/>
    <w:rsid w:val="007347EF"/>
    <w:rsid w:val="007363F8"/>
    <w:rsid w:val="00751294"/>
    <w:rsid w:val="007620E9"/>
    <w:rsid w:val="00766941"/>
    <w:rsid w:val="007672C3"/>
    <w:rsid w:val="00794F8E"/>
    <w:rsid w:val="007C0575"/>
    <w:rsid w:val="007C36B2"/>
    <w:rsid w:val="007C3F1F"/>
    <w:rsid w:val="007C7DC4"/>
    <w:rsid w:val="007D7CB7"/>
    <w:rsid w:val="007E0C90"/>
    <w:rsid w:val="007E34F4"/>
    <w:rsid w:val="007F2C0A"/>
    <w:rsid w:val="007F53C8"/>
    <w:rsid w:val="008030B3"/>
    <w:rsid w:val="00810A55"/>
    <w:rsid w:val="00820973"/>
    <w:rsid w:val="0084718A"/>
    <w:rsid w:val="00850FCA"/>
    <w:rsid w:val="00870344"/>
    <w:rsid w:val="008833A7"/>
    <w:rsid w:val="00894D12"/>
    <w:rsid w:val="008C7314"/>
    <w:rsid w:val="008F5BE6"/>
    <w:rsid w:val="009150F2"/>
    <w:rsid w:val="0093559E"/>
    <w:rsid w:val="00944F3B"/>
    <w:rsid w:val="009515A9"/>
    <w:rsid w:val="009663C6"/>
    <w:rsid w:val="009800BA"/>
    <w:rsid w:val="009904D8"/>
    <w:rsid w:val="009D0C1A"/>
    <w:rsid w:val="009D656A"/>
    <w:rsid w:val="009D6737"/>
    <w:rsid w:val="009D6D5E"/>
    <w:rsid w:val="009E2AE4"/>
    <w:rsid w:val="009E6E45"/>
    <w:rsid w:val="009F0D8D"/>
    <w:rsid w:val="009F7125"/>
    <w:rsid w:val="00A112F8"/>
    <w:rsid w:val="00A12D79"/>
    <w:rsid w:val="00A274D5"/>
    <w:rsid w:val="00A55DE1"/>
    <w:rsid w:val="00A60FAC"/>
    <w:rsid w:val="00A61A2A"/>
    <w:rsid w:val="00A72E96"/>
    <w:rsid w:val="00A81610"/>
    <w:rsid w:val="00AB2343"/>
    <w:rsid w:val="00AB6CFB"/>
    <w:rsid w:val="00AE2FD4"/>
    <w:rsid w:val="00B1693A"/>
    <w:rsid w:val="00B30356"/>
    <w:rsid w:val="00B31E80"/>
    <w:rsid w:val="00B54020"/>
    <w:rsid w:val="00B6100D"/>
    <w:rsid w:val="00B612B8"/>
    <w:rsid w:val="00B751B8"/>
    <w:rsid w:val="00B86655"/>
    <w:rsid w:val="00B91322"/>
    <w:rsid w:val="00B92DFA"/>
    <w:rsid w:val="00BA2C30"/>
    <w:rsid w:val="00BD00A8"/>
    <w:rsid w:val="00C17A02"/>
    <w:rsid w:val="00C62A28"/>
    <w:rsid w:val="00C872EF"/>
    <w:rsid w:val="00C945B6"/>
    <w:rsid w:val="00CA4B23"/>
    <w:rsid w:val="00CA4CDA"/>
    <w:rsid w:val="00D038A1"/>
    <w:rsid w:val="00D21AF8"/>
    <w:rsid w:val="00D35825"/>
    <w:rsid w:val="00D36374"/>
    <w:rsid w:val="00D45351"/>
    <w:rsid w:val="00D83890"/>
    <w:rsid w:val="00D95925"/>
    <w:rsid w:val="00DB25C1"/>
    <w:rsid w:val="00DB5077"/>
    <w:rsid w:val="00DD60D3"/>
    <w:rsid w:val="00DE5E66"/>
    <w:rsid w:val="00DE6F49"/>
    <w:rsid w:val="00E022D1"/>
    <w:rsid w:val="00E06F91"/>
    <w:rsid w:val="00E13E4F"/>
    <w:rsid w:val="00E22F50"/>
    <w:rsid w:val="00E355D3"/>
    <w:rsid w:val="00E467AB"/>
    <w:rsid w:val="00E5116E"/>
    <w:rsid w:val="00E728E0"/>
    <w:rsid w:val="00EB38B7"/>
    <w:rsid w:val="00EB5E48"/>
    <w:rsid w:val="00EB6923"/>
    <w:rsid w:val="00EC5DC8"/>
    <w:rsid w:val="00EF1F1C"/>
    <w:rsid w:val="00F01D00"/>
    <w:rsid w:val="00F02F01"/>
    <w:rsid w:val="00F035EE"/>
    <w:rsid w:val="00F167FC"/>
    <w:rsid w:val="00F2084D"/>
    <w:rsid w:val="00F359BD"/>
    <w:rsid w:val="00F4518F"/>
    <w:rsid w:val="00F50865"/>
    <w:rsid w:val="00F62D3E"/>
    <w:rsid w:val="00F65097"/>
    <w:rsid w:val="00F81499"/>
    <w:rsid w:val="00F81FB3"/>
    <w:rsid w:val="00F90D3B"/>
    <w:rsid w:val="00F91E69"/>
    <w:rsid w:val="00F95842"/>
    <w:rsid w:val="00FB320C"/>
    <w:rsid w:val="00FB40D3"/>
    <w:rsid w:val="00FB54AE"/>
    <w:rsid w:val="00FE41E6"/>
    <w:rsid w:val="0A32571F"/>
    <w:rsid w:val="0CC420DD"/>
    <w:rsid w:val="1FC4188E"/>
    <w:rsid w:val="35136ADD"/>
    <w:rsid w:val="4D550AEB"/>
    <w:rsid w:val="509470EC"/>
    <w:rsid w:val="59E74023"/>
    <w:rsid w:val="5EBA334B"/>
    <w:rsid w:val="654F116F"/>
    <w:rsid w:val="67344534"/>
    <w:rsid w:val="6B00012E"/>
    <w:rsid w:val="702871A7"/>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afterLines="30"/>
    </w:pPr>
    <w:rPr>
      <w:rFonts w:ascii="Times New Roman" w:hAnsi="Times New Roman"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100" w:beforeAutospacing="1" w:after="100" w:afterAutospacing="1"/>
    </w:pPr>
    <w:rPr>
      <w:rFonts w:ascii="宋体" w:hAnsi="宋体"/>
      <w:kern w:val="0"/>
      <w:sz w:val="24"/>
      <w:szCs w:val="24"/>
    </w:rPr>
  </w:style>
  <w:style w:type="character" w:styleId="6">
    <w:name w:val="page number"/>
    <w:basedOn w:val="5"/>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5"/>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autoSpaceDE w:val="0"/>
      <w:autoSpaceDN w:val="0"/>
      <w:adjustRightInd w:val="0"/>
      <w:spacing w:before="29" w:line="288" w:lineRule="auto"/>
      <w:ind w:left="15"/>
    </w:pPr>
    <w:rPr>
      <w:rFonts w:ascii="宋体" w:hAnsi="宋体" w:cs="宋体"/>
      <w:kern w:val="0"/>
      <w:sz w:val="24"/>
      <w:szCs w:val="24"/>
    </w:rPr>
  </w:style>
  <w:style w:type="paragraph" w:customStyle="1" w:styleId="11">
    <w:name w:val="zhangjie_p2"/>
    <w:basedOn w:val="1"/>
    <w:qFormat/>
    <w:uiPriority w:val="0"/>
    <w:pPr>
      <w:autoSpaceDE w:val="0"/>
      <w:autoSpaceDN w:val="0"/>
      <w:adjustRightInd w:val="0"/>
      <w:spacing w:before="24" w:line="288" w:lineRule="auto"/>
      <w:ind w:left="15"/>
    </w:pPr>
    <w:rPr>
      <w:rFonts w:ascii="宋体" w:hAnsi="宋体" w:cs="宋体"/>
      <w:kern w:val="0"/>
      <w:sz w:val="24"/>
      <w:szCs w:val="24"/>
    </w:rPr>
  </w:style>
  <w:style w:type="paragraph" w:customStyle="1" w:styleId="12">
    <w:name w:val="biaoge_center"/>
    <w:basedOn w:val="1"/>
    <w:qFormat/>
    <w:uiPriority w:val="0"/>
    <w:pPr>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autoSpaceDE w:val="0"/>
      <w:autoSpaceDN w:val="0"/>
      <w:adjustRightInd w:val="0"/>
      <w:spacing w:before="29" w:line="288" w:lineRule="auto"/>
      <w:ind w:left="15"/>
    </w:pPr>
    <w:rPr>
      <w:rFonts w:ascii="宋体" w:hAnsi="宋体" w:cs="宋体"/>
      <w:kern w:val="0"/>
      <w:sz w:val="24"/>
      <w:szCs w:val="24"/>
    </w:rPr>
  </w:style>
  <w:style w:type="paragraph" w:customStyle="1" w:styleId="17">
    <w:name w:val="zhangjie_p"/>
    <w:basedOn w:val="1"/>
    <w:qFormat/>
    <w:uiPriority w:val="0"/>
    <w:pPr>
      <w:autoSpaceDE w:val="0"/>
      <w:autoSpaceDN w:val="0"/>
      <w:adjustRightInd w:val="0"/>
      <w:spacing w:before="24" w:line="288" w:lineRule="auto"/>
      <w:ind w:left="15"/>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5"/>
    <w:link w:val="3"/>
    <w:qFormat/>
    <w:uiPriority w:val="99"/>
    <w:rPr>
      <w:rFonts w:ascii="Times New Roman" w:hAnsi="Times New Roman" w:eastAsia="宋体" w:cs="Times New Roman"/>
      <w:sz w:val="18"/>
      <w:szCs w:val="18"/>
    </w:rPr>
  </w:style>
  <w:style w:type="paragraph" w:customStyle="1" w:styleId="20">
    <w:name w:val="列出段落1"/>
    <w:basedOn w:val="1"/>
    <w:qFormat/>
    <w:uiPriority w:val="99"/>
    <w:pPr>
      <w:ind w:firstLine="420" w:firstLineChars="200"/>
    </w:p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customXml/item1.xml" Type="http://schemas.openxmlformats.org/officeDocument/2006/relationships/customXml"/><Relationship Id="rId11" Target="fontTable.xml" Type="http://schemas.openxmlformats.org/officeDocument/2006/relationships/fontTable"/><Relationship Id="rId2" Target="settings.xml" Type="http://schemas.openxmlformats.org/officeDocument/2006/relationships/settings"/><Relationship Id="rId3" Target="header1.xml" Type="http://schemas.openxmlformats.org/officeDocument/2006/relationships/header"/><Relationship Id="rId4" Target="header2.xml" Type="http://schemas.openxmlformats.org/officeDocument/2006/relationships/header"/><Relationship Id="rId5" Target="header3.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Company>
  <Pages>6</Pages>
  <Words>346</Words>
  <Characters>1974</Characters>
  <Lines>16</Lines>
  <Paragraphs>4</Paragraphs>
  <ScaleCrop>false</ScaleCrop>
  <LinksUpToDate>false</LinksUpToDate>
  <CharactersWithSpaces>2316</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2022-07-23T09:20:00Z</dcterms:created>
  <dc:creator>演示人</dc:creator>
  <cp:lastModifiedBy>兆尹科技</cp:lastModifiedBy>
  <dcterms:modified xsi:type="dcterms:W3CDTF">2024-02-05T03:10:37Z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DA7D07A671F94F61B430BF557E8AE20F</vt:lpwstr>
  </property>
</Properties>
</file>