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南银理财添瑞日日聚宝2号现金管理类公募人民币理财产品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2025年第1季度报告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6"/>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南银理财添瑞日日聚宝2号现金管理类公募人民币理财产品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Z7003223000067（投资者可依据该编码在中国理财网www.chinawealth.com.cn查询理财产品相关信息）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开放式非净值型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2023年04月04日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3,639,440,227.60份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中诚信托有限责任公司,华润深国投信托有限公司,光大永明资产管理股份有限公司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6"/>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报告期（2025年01月01日 - 2025年03月31日）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A20003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409,308,458.65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A21003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287,887,343.89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A21103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1,170,156,599.11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A21203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347,907,145.37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A23003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241,522,473.21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A24003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453,985,605.82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A26003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6,083,557.72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A27003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722,587,780.13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A28003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1,263.70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bl>
    <w:p>
      <w:pPr>
        <w:pStyle w:val="11"/>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一季度，从经济基本面看，经济数据好于预期，呈现政策拉动内需回升的状态，但内生增长动能仍偏弱，经济复苏的可持续性和强度尚待观察；货币政策方面，央行暂停买券操作，重提资金空转，公开市场操作保持克制，资金面偏紧。在资金利率高位影响下，一季度债券市场整体上行，短端债券收益率率先上行，后带动长端收益率逐步上行，目前影响债市的主要矛盾是经济基本面分歧和央行流动性调控态度两大方面。当前利率已经基本调整至2024年12月初“适度宽松”前的位置，宽松预期透支逐步修复。10年国债较年初上行14bp，一季度最大波动幅度达到30bp，信用债收益率较年初上行15-30bp不等，短端上行幅度大于长端，中高等级大于低等级，信用利差被动收窄。</w:t>
        <w:br w:type="textWrapping" w:clear="all"/>
      </w:r>
      <w:r>
        <w:rPr>
          <w:rFonts w:hint="eastAsia" w:ascii="方正仿宋简体" w:eastAsia="方正仿宋简体"/>
          <w:sz w:val="24"/>
          <w:szCs w:val="24"/>
        </w:rPr>
        <w:t>  展望二季度，对债券市场并不悲观，从货币政策方面看，当前经济基本面偏弱的格局并不支持货币政策出现转向，降准降息值得期待，信用债方面，短端品种确定性较高，2-3年期优选流动性较好的中高等级品种，兼顾票息收益及流动性管理。</w:t>
        <w:br w:type="textWrapping" w:clear="all"/>
      </w:r>
      <w:r>
        <w:rPr>
          <w:rFonts w:hint="eastAsia" w:ascii="方正仿宋简体" w:eastAsia="方正仿宋简体"/>
          <w:sz w:val="24"/>
          <w:szCs w:val="24"/>
        </w:rPr>
        <w:t>  操作方面，产品将继续在保证流动性安全、守住信用风险底线的基础上，灵活运用杠杆增厚收益，强化资产甄选和获取能力，为客户提供稳定的收益回报，持续提升客户体验。</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  下阶段产品将继续保持稳健的投资风格，做好流动性预判和资产到期分布安排，保持较高的流动性资产比例，防范流动性风险。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20003份额净值为1.0000元，A21003份额净值为1.0000元，A21103份额净值为1.0000元，A21203份额净值为1.0000元，A23003份额净值为1.0000元，A24003份额净值为1.0000元，A26003份额净值为1.0000元，A27003份额净值为1.0000元，A28003份额净值为1.0000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6"/>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6"/>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ZJQTT202309130003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华润信托鑫瑞日享3号集合资金信托计划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724,781,409.68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19.91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ZJQTT202305230001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华润信托鑫瑞日享1号集合资金信托计划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325,970,837.68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8.96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DQCKX202412270022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浙商银行定期存款20241227C</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ZJQTT202406170001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中诚信托-日日升4号集合资金信托计划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149,538,529.45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DQCKX202503040003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吉林银行定期存款20250304</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DQCKX202503030021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恒丰银行定期存款20250303</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DQCKX202502250001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恒丰银行定期存款20250225A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DQCKX202412270023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浙商银行定期存款20241227D</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DQCKX202503030004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杭州银行定期存款20250303B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DQCKX202502120002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徽商银行定期存款20250212B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2.75</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6"/>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6"/>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0120040000001123</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南银理财添瑞日日聚宝2号</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产品投资于关联方承销的证券交易金额20,003,106.85元。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产品支付关联方托管费165,801.04元，支付关联方代销费892,048.25元。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line="360" w:lineRule="auto"/>
        <w:jc w:val="center"/>
        <w:rPr>
          <w:rFonts w:hint="eastAsia" w:ascii="方正仿宋简体" w:eastAsia="方正仿宋简体"/>
          <w:b/>
          <w:sz w:val="24"/>
          <w:szCs w:val="24"/>
        </w:rPr>
      </w:pPr>
      <w:r>
        <w:rPr>
          <w:rFonts w:hint="eastAsia" w:ascii="方正仿宋简体" w:eastAsia="方正仿宋简体"/>
          <w:b/>
          <w:sz w:val="24"/>
          <w:szCs w:val="24"/>
        </w:rPr>
        <w:t>§7 现金管理类理财产品持有份额不低于20%投资者情况</w:t>
      </w:r>
    </w:p>
    <w:tbl>
      <w:tblPr>
        <w:tblStyle w:val="6"/>
        <w:tblW w:w="11280" w:type="dxa"/>
        <w:jc w:val="center"/>
        <w:tblInd w:w="-9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335"/>
        <w:gridCol w:w="1560"/>
        <w:gridCol w:w="1515"/>
        <w:gridCol w:w="1787"/>
        <w:gridCol w:w="1701"/>
        <w:gridCol w:w="1792"/>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hAnsi="Calibri" w:eastAsia="方正仿宋简体"/>
                <w:sz w:val="24"/>
                <w:szCs w:val="24"/>
                <w:shd w:val="clear" w:color="auto" w:fill="FFFFFF"/>
              </w:rPr>
              <w:t>序号</w:t>
            </w:r>
          </w:p>
        </w:tc>
        <w:tc>
          <w:tcPr>
            <w:tcW w:w="1560"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日期</w:t>
            </w:r>
          </w:p>
        </w:tc>
        <w:tc>
          <w:tcPr>
            <w:tcW w:w="1515" w:type="dxa"/>
            <w:vAlign w:val="center"/>
          </w:tcPr>
          <w:p>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投资者类别</w:t>
            </w:r>
          </w:p>
        </w:tc>
        <w:tc>
          <w:tcPr>
            <w:tcW w:w="1787" w:type="dxa"/>
            <w:vAlign w:val="center"/>
          </w:tcPr>
          <w:p>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持有份额</w:t>
            </w:r>
          </w:p>
        </w:tc>
        <w:tc>
          <w:tcPr>
            <w:tcW w:w="1701" w:type="dxa"/>
            <w:vAlign w:val="center"/>
          </w:tcPr>
          <w:p>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占总份额比例</w:t>
            </w:r>
          </w:p>
        </w:tc>
        <w:tc>
          <w:tcPr>
            <w:tcW w:w="1792" w:type="dxa"/>
            <w:vAlign w:val="center"/>
          </w:tcPr>
          <w:p>
            <w:pPr>
              <w:spacing w:beforeLines="20" w:afterLines="20"/>
              <w:jc w:val="center"/>
              <w:rPr>
                <w:rFonts w:ascii="方正仿宋简体" w:eastAsia="方正仿宋简体"/>
                <w:sz w:val="24"/>
                <w:szCs w:val="24"/>
              </w:rPr>
            </w:pPr>
            <w:r>
              <w:rPr>
                <w:rFonts w:ascii="方正仿宋简体" w:eastAsia="方正仿宋简体"/>
                <w:sz w:val="24"/>
                <w:szCs w:val="24"/>
              </w:rPr>
              <w:t>持有份额</w:t>
            </w:r>
          </w:p>
          <w:p>
            <w:pPr>
              <w:spacing w:beforeLines="20" w:afterLines="20"/>
              <w:jc w:val="center"/>
              <w:rPr>
                <w:rFonts w:ascii="方正仿宋简体" w:eastAsia="方正仿宋简体"/>
                <w:sz w:val="24"/>
                <w:szCs w:val="24"/>
                <w:shd w:val="clear" w:color="auto" w:fill="FFFFFF"/>
              </w:rPr>
            </w:pPr>
            <w:r>
              <w:rPr>
                <w:rFonts w:ascii="方正仿宋简体" w:eastAsia="方正仿宋简体"/>
                <w:sz w:val="24"/>
                <w:szCs w:val="24"/>
              </w:rPr>
              <w:t>变化情况</w:t>
            </w:r>
          </w:p>
        </w:tc>
        <w:tc>
          <w:tcPr>
            <w:tcW w:w="1590"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产品风险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560"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515"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787"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701"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792"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590"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r>
    </w:tbl>
    <w:p>
      <w:pPr>
        <w:spacing w:before="240" w:after="72" w:line="360" w:lineRule="auto"/>
        <w:jc w:val="both"/>
        <w:rPr>
          <w:rFonts w:ascii="方正仿宋_GBK" w:eastAsia="方正仿宋_GBK"/>
          <w:b/>
          <w:sz w:val="24"/>
          <w:szCs w:val="24"/>
        </w:rPr>
      </w:pPr>
      <w:bookmarkStart w:id="0" w:name="_GoBack"/>
      <w:bookmarkEnd w:id="0"/>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2025年03月31日</w:t>
      </w:r>
    </w:p>
    <w:p>
      <w:pPr>
        <w:spacing w:before="240" w:after="72" w:line="360" w:lineRule="auto"/>
        <w:rPr>
          <w:rFonts w:ascii="方正仿宋_GBK" w:eastAsia="方正仿宋_GBK"/>
          <w:sz w:val="24"/>
          <w:szCs w:val="24"/>
        </w:rPr>
      </w:pPr>
    </w:p>
    <w:p>
      <w:pPr>
        <w:spacing w:before="240" w:after="72" w:line="360" w:lineRule="auto"/>
        <w:rPr>
          <w:rFonts w:ascii="方正仿宋_GBK" w:eastAsia="方正仿宋_GBK"/>
          <w:sz w:val="24"/>
          <w:szCs w:val="24"/>
        </w:rPr>
      </w:pPr>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简体">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spacing w:after="72"/>
      <w:rPr>
        <w:rStyle w:val="8"/>
      </w:rPr>
    </w:pPr>
    <w:r>
      <w:fldChar w:fldCharType="begin"/>
    </w:r>
    <w:r>
      <w:rPr>
        <w:rStyle w:val="8"/>
      </w:rPr>
      <w:instrText xml:space="preserve">PAGE  </w:instrText>
    </w:r>
    <w:r>
      <w:fldChar w:fldCharType="end"/>
    </w:r>
  </w:p>
  <w:p>
    <w:pPr>
      <w:pStyle w:val="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0362867"/>
    <w:rsid w:val="2651710C"/>
    <w:rsid w:val="2C5F4270"/>
    <w:rsid w:val="341F714B"/>
    <w:rsid w:val="4B0132D2"/>
    <w:rsid w:val="57DD4EC8"/>
    <w:rsid w:val="611546EB"/>
    <w:rsid w:val="6C686480"/>
    <w:rsid w:val="6DBF574D"/>
    <w:rsid w:val="7A6723D9"/>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1"/>
    <w:pPr>
      <w:autoSpaceDE w:val="0"/>
      <w:autoSpaceDN w:val="0"/>
      <w:spacing w:afterLines="0"/>
      <w:jc w:val="left"/>
    </w:pPr>
    <w:rPr>
      <w:rFonts w:ascii="宋体" w:hAnsi="宋体" w:cs="宋体"/>
      <w:kern w:val="0"/>
      <w:szCs w:val="21"/>
      <w:lang w:val="zh-CN" w:bidi="zh-CN"/>
    </w:rPr>
  </w:style>
  <w:style w:type="paragraph" w:styleId="3">
    <w:name w:val="footer"/>
    <w:basedOn w:val="1"/>
    <w:link w:val="9"/>
    <w:unhideWhenUsed/>
    <w:qFormat/>
    <w:uiPriority w:val="99"/>
    <w:pPr>
      <w:tabs>
        <w:tab w:val="center" w:pos="4153"/>
        <w:tab w:val="right" w:pos="8306"/>
      </w:tabs>
      <w:snapToGrid w:val="0"/>
      <w:jc w:val="left"/>
    </w:pPr>
    <w:rPr>
      <w:rFonts w:eastAsiaTheme="minorEastAsia"/>
      <w:sz w:val="18"/>
      <w:szCs w:val="18"/>
    </w:rPr>
  </w:style>
  <w:style w:type="paragraph" w:styleId="4">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8">
    <w:name w:val="page number"/>
    <w:basedOn w:val="7"/>
    <w:unhideWhenUsed/>
    <w:qFormat/>
    <w:uiPriority w:val="99"/>
  </w:style>
  <w:style w:type="character" w:customStyle="1" w:styleId="9">
    <w:name w:val="页脚 Char"/>
    <w:link w:val="3"/>
    <w:qFormat/>
    <w:locked/>
    <w:uiPriority w:val="99"/>
    <w:rPr>
      <w:rFonts w:ascii="Times New Roman" w:hAnsi="Times New Roman" w:cs="Times New Roman"/>
      <w:sz w:val="18"/>
      <w:szCs w:val="18"/>
    </w:rPr>
  </w:style>
  <w:style w:type="character" w:customStyle="1" w:styleId="10">
    <w:name w:val="页脚 Char1"/>
    <w:basedOn w:val="7"/>
    <w:semiHidden/>
    <w:qFormat/>
    <w:uiPriority w:val="99"/>
    <w:rPr>
      <w:rFonts w:ascii="Times New Roman" w:hAnsi="Times New Roman" w:eastAsia="宋体" w:cs="Times New Roman"/>
      <w:sz w:val="18"/>
      <w:szCs w:val="18"/>
    </w:rPr>
  </w:style>
  <w:style w:type="paragraph" w:customStyle="1" w:styleId="11">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2">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3">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4">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5">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6">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7">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8">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页眉 Char"/>
    <w:basedOn w:val="7"/>
    <w:link w:val="4"/>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2025-02-08T08:47:59Z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