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829" w:rsidRPr="004E6F1F" w:rsidRDefault="004E6F1F" w:rsidP="007D5829">
      <w:pPr>
        <w:widowControl/>
        <w:jc w:val="center"/>
        <w:outlineLvl w:val="1"/>
        <w:rPr>
          <w:rFonts w:ascii="黑体" w:eastAsia="黑体" w:hAnsi="微软雅黑" w:cs="宋体"/>
          <w:bCs/>
          <w:color w:val="000000" w:themeColor="text1"/>
          <w:kern w:val="0"/>
          <w:sz w:val="44"/>
          <w:szCs w:val="42"/>
        </w:rPr>
      </w:pPr>
      <w:r w:rsidRPr="004E6F1F">
        <w:rPr>
          <w:rFonts w:ascii="黑体" w:eastAsia="黑体" w:hAnsi="微软雅黑" w:cs="宋体" w:hint="eastAsia"/>
          <w:bCs/>
          <w:color w:val="000000" w:themeColor="text1"/>
          <w:kern w:val="0"/>
          <w:sz w:val="44"/>
          <w:szCs w:val="42"/>
        </w:rPr>
        <w:t>如东</w:t>
      </w:r>
      <w:r w:rsidR="007D5829" w:rsidRPr="004E6F1F">
        <w:rPr>
          <w:rFonts w:ascii="黑体" w:eastAsia="黑体" w:hAnsi="微软雅黑" w:cs="宋体" w:hint="eastAsia"/>
          <w:bCs/>
          <w:color w:val="000000" w:themeColor="text1"/>
          <w:kern w:val="0"/>
          <w:sz w:val="44"/>
          <w:szCs w:val="42"/>
        </w:rPr>
        <w:t>农商银行</w:t>
      </w:r>
      <w:r w:rsidR="0039230A">
        <w:rPr>
          <w:rFonts w:ascii="黑体" w:eastAsia="黑体" w:hAnsi="微软雅黑" w:cs="宋体" w:hint="eastAsia"/>
          <w:bCs/>
          <w:color w:val="000000" w:themeColor="text1"/>
          <w:kern w:val="0"/>
          <w:sz w:val="44"/>
          <w:szCs w:val="42"/>
        </w:rPr>
        <w:t>2025</w:t>
      </w:r>
      <w:r w:rsidR="007D5829" w:rsidRPr="004E6F1F">
        <w:rPr>
          <w:rFonts w:ascii="黑体" w:eastAsia="黑体" w:hAnsi="微软雅黑" w:cs="宋体" w:hint="eastAsia"/>
          <w:bCs/>
          <w:color w:val="000000" w:themeColor="text1"/>
          <w:kern w:val="0"/>
          <w:sz w:val="44"/>
          <w:szCs w:val="42"/>
        </w:rPr>
        <w:t>年</w:t>
      </w:r>
      <w:r w:rsidR="006D319F">
        <w:rPr>
          <w:rFonts w:ascii="黑体" w:eastAsia="黑体" w:hAnsi="微软雅黑" w:cs="宋体" w:hint="eastAsia"/>
          <w:bCs/>
          <w:color w:val="000000" w:themeColor="text1"/>
          <w:kern w:val="0"/>
          <w:sz w:val="44"/>
          <w:szCs w:val="42"/>
        </w:rPr>
        <w:t>三</w:t>
      </w:r>
      <w:r w:rsidR="0036574D">
        <w:rPr>
          <w:rFonts w:ascii="黑体" w:eastAsia="黑体" w:hAnsi="微软雅黑" w:cs="宋体" w:hint="eastAsia"/>
          <w:bCs/>
          <w:color w:val="000000" w:themeColor="text1"/>
          <w:kern w:val="0"/>
          <w:sz w:val="44"/>
          <w:szCs w:val="42"/>
        </w:rPr>
        <w:t>季度</w:t>
      </w:r>
      <w:r w:rsidR="007D5829" w:rsidRPr="004E6F1F">
        <w:rPr>
          <w:rFonts w:ascii="黑体" w:eastAsia="黑体" w:hAnsi="微软雅黑" w:cs="宋体" w:hint="eastAsia"/>
          <w:bCs/>
          <w:color w:val="000000" w:themeColor="text1"/>
          <w:kern w:val="0"/>
          <w:sz w:val="44"/>
          <w:szCs w:val="42"/>
        </w:rPr>
        <w:t>第三支柱信息披露报告</w:t>
      </w:r>
    </w:p>
    <w:p w:rsidR="007D5829" w:rsidRPr="004E6F1F" w:rsidRDefault="004E6F1F" w:rsidP="00BA50DB">
      <w:pPr>
        <w:widowControl/>
        <w:ind w:firstLineChars="200" w:firstLine="640"/>
        <w:jc w:val="left"/>
        <w:rPr>
          <w:rFonts w:ascii="仿宋_GB2312" w:eastAsia="仿宋_GB2312" w:hAnsi="微软雅黑" w:cs="宋体"/>
          <w:color w:val="000000" w:themeColor="text1"/>
          <w:kern w:val="0"/>
          <w:sz w:val="32"/>
          <w:szCs w:val="32"/>
        </w:rPr>
      </w:pPr>
      <w:r w:rsidRPr="004E6F1F">
        <w:rPr>
          <w:rFonts w:ascii="仿宋_GB2312" w:eastAsia="仿宋_GB2312" w:hAnsi="微软雅黑" w:cs="宋体" w:hint="eastAsia"/>
          <w:color w:val="000000" w:themeColor="text1"/>
          <w:kern w:val="0"/>
          <w:sz w:val="32"/>
          <w:szCs w:val="32"/>
        </w:rPr>
        <w:t>如东</w:t>
      </w:r>
      <w:r w:rsidR="007D5829" w:rsidRPr="004E6F1F">
        <w:rPr>
          <w:rFonts w:ascii="仿宋_GB2312" w:eastAsia="仿宋_GB2312" w:hAnsi="微软雅黑" w:cs="宋体" w:hint="eastAsia"/>
          <w:color w:val="000000" w:themeColor="text1"/>
          <w:kern w:val="0"/>
          <w:sz w:val="32"/>
          <w:szCs w:val="32"/>
        </w:rPr>
        <w:t>农商银行（以下简称“本行”）为非国内系统重要性银行，根据《商业银行资本管理办法》（以下简称“办法”）附件22《商业银行信息披露内容和要求》的规定，按照办法第二章的并表范围披露相关信息，本报告经本行高级管理层确认。</w:t>
      </w:r>
      <w:r w:rsidR="0039230A">
        <w:rPr>
          <w:rFonts w:ascii="仿宋_GB2312" w:eastAsia="仿宋_GB2312" w:hAnsi="微软雅黑" w:cs="宋体" w:hint="eastAsia"/>
          <w:color w:val="000000" w:themeColor="text1"/>
          <w:kern w:val="0"/>
          <w:sz w:val="32"/>
          <w:szCs w:val="32"/>
        </w:rPr>
        <w:t>2025</w:t>
      </w:r>
      <w:r w:rsidRPr="004E6F1F">
        <w:rPr>
          <w:rFonts w:ascii="仿宋_GB2312" w:eastAsia="仿宋_GB2312" w:hAnsi="微软雅黑" w:cs="宋体" w:hint="eastAsia"/>
          <w:color w:val="000000" w:themeColor="text1"/>
          <w:kern w:val="0"/>
          <w:sz w:val="32"/>
          <w:szCs w:val="32"/>
        </w:rPr>
        <w:t>年</w:t>
      </w:r>
      <w:r w:rsidR="00244DFB">
        <w:rPr>
          <w:rFonts w:ascii="仿宋_GB2312" w:eastAsia="仿宋_GB2312" w:hAnsi="微软雅黑" w:cs="宋体" w:hint="eastAsia"/>
          <w:color w:val="000000" w:themeColor="text1"/>
          <w:kern w:val="0"/>
          <w:sz w:val="32"/>
          <w:szCs w:val="32"/>
        </w:rPr>
        <w:t>三</w:t>
      </w:r>
      <w:r w:rsidR="0036574D">
        <w:rPr>
          <w:rFonts w:ascii="仿宋_GB2312" w:eastAsia="仿宋_GB2312" w:hAnsi="微软雅黑" w:cs="宋体" w:hint="eastAsia"/>
          <w:color w:val="000000" w:themeColor="text1"/>
          <w:kern w:val="0"/>
          <w:sz w:val="32"/>
          <w:szCs w:val="32"/>
        </w:rPr>
        <w:t>季度</w:t>
      </w:r>
      <w:r w:rsidR="007D5829" w:rsidRPr="004E6F1F">
        <w:rPr>
          <w:rFonts w:ascii="仿宋_GB2312" w:eastAsia="仿宋_GB2312" w:hAnsi="微软雅黑" w:cs="宋体" w:hint="eastAsia"/>
          <w:color w:val="000000" w:themeColor="text1"/>
          <w:kern w:val="0"/>
          <w:sz w:val="32"/>
          <w:szCs w:val="32"/>
        </w:rPr>
        <w:t>需披露的报表如下：</w:t>
      </w:r>
    </w:p>
    <w:p w:rsidR="007D5829" w:rsidRPr="00D574BA" w:rsidRDefault="007E13FA" w:rsidP="007D5829">
      <w:pPr>
        <w:widowControl/>
        <w:jc w:val="center"/>
        <w:rPr>
          <w:rFonts w:ascii="仿宋_GB2312" w:eastAsia="仿宋_GB2312" w:hAnsi="宋体" w:cs="宋体"/>
          <w:b/>
          <w:color w:val="000000" w:themeColor="text1"/>
          <w:kern w:val="0"/>
          <w:sz w:val="32"/>
          <w:szCs w:val="32"/>
        </w:rPr>
      </w:pPr>
      <w:r>
        <w:rPr>
          <w:rFonts w:ascii="仿宋_GB2312" w:eastAsia="仿宋_GB2312" w:hAnsi="宋体" w:cs="宋体" w:hint="eastAsia"/>
          <w:b/>
          <w:color w:val="000000" w:themeColor="text1"/>
          <w:kern w:val="0"/>
          <w:sz w:val="32"/>
          <w:szCs w:val="32"/>
        </w:rPr>
        <w:t>（一）</w:t>
      </w:r>
      <w:r w:rsidR="007D5829" w:rsidRPr="00D574BA">
        <w:rPr>
          <w:rFonts w:ascii="仿宋_GB2312" w:eastAsia="仿宋_GB2312" w:hAnsi="宋体" w:cs="宋体" w:hint="eastAsia"/>
          <w:b/>
          <w:color w:val="000000" w:themeColor="text1"/>
          <w:kern w:val="0"/>
          <w:sz w:val="32"/>
          <w:szCs w:val="32"/>
        </w:rPr>
        <w:t>KMI监管并表关键审慎监管指标</w:t>
      </w:r>
    </w:p>
    <w:p w:rsidR="004E6F1F" w:rsidRPr="00D574BA" w:rsidRDefault="004E6F1F" w:rsidP="007D5829">
      <w:pPr>
        <w:widowControl/>
        <w:jc w:val="center"/>
        <w:rPr>
          <w:rFonts w:ascii="仿宋_GB2312" w:eastAsia="仿宋_GB2312" w:hAnsi="微软雅黑" w:cs="宋体"/>
          <w:b/>
          <w:color w:val="000000" w:themeColor="text1"/>
          <w:kern w:val="0"/>
          <w:sz w:val="32"/>
          <w:szCs w:val="32"/>
        </w:rPr>
      </w:pPr>
      <w:r w:rsidRPr="00D574BA">
        <w:rPr>
          <w:rFonts w:ascii="仿宋_GB2312" w:eastAsia="仿宋_GB2312" w:hAnsi="宋体" w:cs="宋体" w:hint="eastAsia"/>
          <w:b/>
          <w:color w:val="000000" w:themeColor="text1"/>
          <w:kern w:val="0"/>
          <w:sz w:val="32"/>
          <w:szCs w:val="32"/>
        </w:rPr>
        <w:t xml:space="preserve">                                        </w:t>
      </w:r>
      <w:r w:rsidR="008A4B76">
        <w:rPr>
          <w:rFonts w:ascii="仿宋_GB2312" w:eastAsia="仿宋_GB2312" w:hAnsi="宋体" w:cs="宋体" w:hint="eastAsia"/>
          <w:b/>
          <w:color w:val="000000" w:themeColor="text1"/>
          <w:kern w:val="0"/>
          <w:sz w:val="32"/>
          <w:szCs w:val="32"/>
        </w:rPr>
        <w:t>单位：万元，</w:t>
      </w:r>
      <w:r w:rsidRPr="00D574BA">
        <w:rPr>
          <w:rFonts w:ascii="仿宋_GB2312" w:eastAsia="仿宋_GB2312" w:hAnsi="宋体" w:cs="宋体" w:hint="eastAsia"/>
          <w:b/>
          <w:color w:val="000000" w:themeColor="text1"/>
          <w:kern w:val="0"/>
          <w:sz w:val="32"/>
          <w:szCs w:val="32"/>
        </w:rPr>
        <w:t>%</w:t>
      </w:r>
    </w:p>
    <w:tbl>
      <w:tblPr>
        <w:tblW w:w="8440" w:type="dxa"/>
        <w:tblInd w:w="95" w:type="dxa"/>
        <w:tblLook w:val="04A0"/>
      </w:tblPr>
      <w:tblGrid>
        <w:gridCol w:w="1080"/>
        <w:gridCol w:w="3680"/>
        <w:gridCol w:w="3680"/>
      </w:tblGrid>
      <w:tr w:rsidR="00244DFB" w:rsidRPr="00244DFB" w:rsidTr="00244DFB">
        <w:trPr>
          <w:trHeight w:val="285"/>
        </w:trPr>
        <w:tc>
          <w:tcPr>
            <w:tcW w:w="4760" w:type="dxa"/>
            <w:gridSpan w:val="2"/>
            <w:tcBorders>
              <w:top w:val="single" w:sz="4" w:space="0" w:color="auto"/>
              <w:left w:val="single" w:sz="4" w:space="0" w:color="auto"/>
              <w:bottom w:val="single" w:sz="4" w:space="0" w:color="auto"/>
              <w:right w:val="single" w:sz="4" w:space="0" w:color="auto"/>
            </w:tcBorders>
            <w:shd w:val="clear" w:color="auto" w:fill="auto"/>
            <w:hideMark/>
          </w:tcPr>
          <w:p w:rsidR="00244DFB" w:rsidRPr="00244DFB" w:rsidRDefault="00244DFB" w:rsidP="00244DFB">
            <w:pPr>
              <w:widowControl/>
              <w:jc w:val="center"/>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项目</w:t>
            </w:r>
          </w:p>
        </w:tc>
        <w:tc>
          <w:tcPr>
            <w:tcW w:w="3680" w:type="dxa"/>
            <w:tcBorders>
              <w:top w:val="single" w:sz="4" w:space="0" w:color="auto"/>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2025年9月</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D9D9D9"/>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 xml:space="preserve">　</w:t>
            </w:r>
          </w:p>
        </w:tc>
        <w:tc>
          <w:tcPr>
            <w:tcW w:w="7360" w:type="dxa"/>
            <w:gridSpan w:val="2"/>
            <w:tcBorders>
              <w:top w:val="single" w:sz="4" w:space="0" w:color="auto"/>
              <w:left w:val="nil"/>
              <w:bottom w:val="single" w:sz="4" w:space="0" w:color="auto"/>
              <w:right w:val="single" w:sz="4" w:space="0" w:color="auto"/>
            </w:tcBorders>
            <w:shd w:val="clear" w:color="000000" w:fill="D9D9D9"/>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可用资本（数额）</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核心一级资本净额</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493,454.00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2</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一级资本净额</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493,454.00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3</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资本净额</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534,032.50 </w:t>
            </w:r>
          </w:p>
        </w:tc>
      </w:tr>
      <w:tr w:rsidR="00244DFB" w:rsidRPr="00244DFB" w:rsidTr="00244DFB">
        <w:trPr>
          <w:trHeight w:val="540"/>
        </w:trPr>
        <w:tc>
          <w:tcPr>
            <w:tcW w:w="1080" w:type="dxa"/>
            <w:tcBorders>
              <w:top w:val="nil"/>
              <w:left w:val="single" w:sz="4" w:space="0" w:color="auto"/>
              <w:bottom w:val="single" w:sz="4" w:space="0" w:color="auto"/>
              <w:right w:val="single" w:sz="4" w:space="0" w:color="auto"/>
            </w:tcBorders>
            <w:shd w:val="clear" w:color="000000" w:fill="D9D9D9"/>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 xml:space="preserve">　</w:t>
            </w:r>
          </w:p>
        </w:tc>
        <w:tc>
          <w:tcPr>
            <w:tcW w:w="7360" w:type="dxa"/>
            <w:gridSpan w:val="2"/>
            <w:tcBorders>
              <w:top w:val="single" w:sz="4" w:space="0" w:color="auto"/>
              <w:left w:val="nil"/>
              <w:bottom w:val="single" w:sz="4" w:space="0" w:color="auto"/>
              <w:right w:val="single" w:sz="4" w:space="0" w:color="auto"/>
            </w:tcBorders>
            <w:shd w:val="clear" w:color="000000" w:fill="D9D9D9"/>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风险加权资产（数额）</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4</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风险加权资产</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3,467,892.01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D9D9D9"/>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 xml:space="preserve">　</w:t>
            </w:r>
          </w:p>
        </w:tc>
        <w:tc>
          <w:tcPr>
            <w:tcW w:w="7360" w:type="dxa"/>
            <w:gridSpan w:val="2"/>
            <w:tcBorders>
              <w:top w:val="single" w:sz="4" w:space="0" w:color="auto"/>
              <w:left w:val="nil"/>
              <w:bottom w:val="single" w:sz="4" w:space="0" w:color="auto"/>
              <w:right w:val="single" w:sz="4" w:space="0" w:color="auto"/>
            </w:tcBorders>
            <w:shd w:val="clear" w:color="000000" w:fill="D9D9D9"/>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资本充足率</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5</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核心一级资本充足率（%）</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14.23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6</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一级资本充足率（%）</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14.23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7</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资本充足率（%）</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15.40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D9D9D9"/>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 xml:space="preserve">　</w:t>
            </w:r>
          </w:p>
        </w:tc>
        <w:tc>
          <w:tcPr>
            <w:tcW w:w="7360" w:type="dxa"/>
            <w:gridSpan w:val="2"/>
            <w:tcBorders>
              <w:top w:val="single" w:sz="4" w:space="0" w:color="auto"/>
              <w:left w:val="nil"/>
              <w:bottom w:val="single" w:sz="4" w:space="0" w:color="auto"/>
              <w:right w:val="single" w:sz="4" w:space="0" w:color="auto"/>
            </w:tcBorders>
            <w:shd w:val="clear" w:color="000000" w:fill="D9D9D9"/>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其他各级资本要求</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8</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储备资本要求（%）</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2.50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9</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逆周期资本要求（%）</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0.00 </w:t>
            </w:r>
          </w:p>
        </w:tc>
      </w:tr>
      <w:tr w:rsidR="00244DFB" w:rsidRPr="00244DFB" w:rsidTr="00244DFB">
        <w:trPr>
          <w:trHeight w:val="54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10</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全球系统重要性银行或国内系统重要性银行附加资本要求（%）</w:t>
            </w:r>
          </w:p>
        </w:tc>
        <w:tc>
          <w:tcPr>
            <w:tcW w:w="3680" w:type="dxa"/>
            <w:tcBorders>
              <w:top w:val="nil"/>
              <w:left w:val="nil"/>
              <w:bottom w:val="single" w:sz="4" w:space="0" w:color="auto"/>
              <w:right w:val="single" w:sz="4" w:space="0" w:color="auto"/>
            </w:tcBorders>
            <w:shd w:val="clear" w:color="000000" w:fill="BEBEBE"/>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　</w:t>
            </w:r>
          </w:p>
        </w:tc>
      </w:tr>
      <w:tr w:rsidR="00244DFB" w:rsidRPr="00244DFB" w:rsidTr="00244DFB">
        <w:trPr>
          <w:trHeight w:val="54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11</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其他各级资本要求（%）（8+9+10）</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0"/>
                <w:szCs w:val="20"/>
              </w:rPr>
            </w:pPr>
            <w:r w:rsidRPr="00244DFB">
              <w:rPr>
                <w:rFonts w:ascii="仿宋_GB2312" w:eastAsia="仿宋_GB2312" w:hAnsi="等线" w:cs="宋体" w:hint="eastAsia"/>
                <w:color w:val="000000"/>
                <w:kern w:val="0"/>
                <w:sz w:val="20"/>
                <w:szCs w:val="20"/>
              </w:rPr>
              <w:t>2.5</w:t>
            </w:r>
          </w:p>
        </w:tc>
      </w:tr>
      <w:tr w:rsidR="00244DFB" w:rsidRPr="00244DFB" w:rsidTr="00244DFB">
        <w:trPr>
          <w:trHeight w:val="81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12</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满足最低资本要求后的可用核心一级资本净额占风险加权资产的比例（%）</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0"/>
                <w:szCs w:val="20"/>
              </w:rPr>
            </w:pPr>
            <w:r w:rsidRPr="00244DFB">
              <w:rPr>
                <w:rFonts w:ascii="仿宋_GB2312" w:eastAsia="仿宋_GB2312" w:hAnsi="等线" w:cs="宋体" w:hint="eastAsia"/>
                <w:color w:val="000000"/>
                <w:kern w:val="0"/>
                <w:sz w:val="20"/>
                <w:szCs w:val="20"/>
              </w:rPr>
              <w:t>7.40%</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D9D9D9"/>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 xml:space="preserve">　</w:t>
            </w:r>
          </w:p>
        </w:tc>
        <w:tc>
          <w:tcPr>
            <w:tcW w:w="7360" w:type="dxa"/>
            <w:gridSpan w:val="2"/>
            <w:tcBorders>
              <w:top w:val="single" w:sz="4" w:space="0" w:color="auto"/>
              <w:left w:val="nil"/>
              <w:bottom w:val="single" w:sz="4" w:space="0" w:color="auto"/>
              <w:right w:val="single" w:sz="4" w:space="0" w:color="auto"/>
            </w:tcBorders>
            <w:shd w:val="clear" w:color="000000" w:fill="D9D9D9"/>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杠杆率</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13</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调整后表内外资产余额</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6,910,542.23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14</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杠杆率（%）</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7.14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14a</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杠杆率a（%）</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 xml:space="preserve">7.14 </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D9D9D9"/>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lastRenderedPageBreak/>
              <w:t xml:space="preserve">　</w:t>
            </w:r>
          </w:p>
        </w:tc>
        <w:tc>
          <w:tcPr>
            <w:tcW w:w="7360" w:type="dxa"/>
            <w:gridSpan w:val="2"/>
            <w:tcBorders>
              <w:top w:val="single" w:sz="4" w:space="0" w:color="auto"/>
              <w:left w:val="nil"/>
              <w:bottom w:val="single" w:sz="4" w:space="0" w:color="auto"/>
              <w:right w:val="single" w:sz="4" w:space="0" w:color="auto"/>
            </w:tcBorders>
            <w:shd w:val="clear" w:color="000000" w:fill="D9D9D9"/>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流动性覆盖率</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15</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合格优质流动性资产</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不适用</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16</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现金净流出量</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不适用</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17</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流动性覆盖率（%）</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不适用</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D9D9D9"/>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 xml:space="preserve">　</w:t>
            </w:r>
          </w:p>
        </w:tc>
        <w:tc>
          <w:tcPr>
            <w:tcW w:w="7360" w:type="dxa"/>
            <w:gridSpan w:val="2"/>
            <w:tcBorders>
              <w:top w:val="single" w:sz="4" w:space="0" w:color="auto"/>
              <w:left w:val="nil"/>
              <w:bottom w:val="single" w:sz="4" w:space="0" w:color="auto"/>
              <w:right w:val="single" w:sz="4" w:space="0" w:color="auto"/>
            </w:tcBorders>
            <w:shd w:val="clear" w:color="000000" w:fill="D9D9D9"/>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净稳定资金比例</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18</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可用稳定资金合计</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不适用</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19</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所需稳定资金合计</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不适用</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20</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净稳定资金比例（%）</w:t>
            </w:r>
          </w:p>
        </w:tc>
        <w:tc>
          <w:tcPr>
            <w:tcW w:w="3680" w:type="dxa"/>
            <w:tcBorders>
              <w:top w:val="nil"/>
              <w:left w:val="nil"/>
              <w:bottom w:val="single" w:sz="4" w:space="0" w:color="auto"/>
              <w:right w:val="single" w:sz="4" w:space="0" w:color="auto"/>
            </w:tcBorders>
            <w:shd w:val="clear" w:color="auto" w:fill="auto"/>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不适用</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D8D8D8"/>
            <w:vAlign w:val="center"/>
            <w:hideMark/>
          </w:tcPr>
          <w:p w:rsidR="00244DFB" w:rsidRPr="00244DFB" w:rsidRDefault="00244DFB" w:rsidP="00244DFB">
            <w:pPr>
              <w:widowControl/>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 xml:space="preserve">　</w:t>
            </w:r>
          </w:p>
        </w:tc>
        <w:tc>
          <w:tcPr>
            <w:tcW w:w="7360" w:type="dxa"/>
            <w:gridSpan w:val="2"/>
            <w:tcBorders>
              <w:top w:val="single" w:sz="4" w:space="0" w:color="auto"/>
              <w:left w:val="nil"/>
              <w:bottom w:val="single" w:sz="4" w:space="0" w:color="auto"/>
              <w:right w:val="single" w:sz="4" w:space="0" w:color="auto"/>
            </w:tcBorders>
            <w:shd w:val="clear" w:color="000000" w:fill="D8D8D8"/>
            <w:hideMark/>
          </w:tcPr>
          <w:p w:rsidR="00244DFB" w:rsidRPr="00244DFB" w:rsidRDefault="00244DFB" w:rsidP="00244DFB">
            <w:pPr>
              <w:widowControl/>
              <w:jc w:val="left"/>
              <w:rPr>
                <w:rFonts w:ascii="仿宋_GB2312" w:eastAsia="仿宋_GB2312" w:hAnsi="等线" w:cs="宋体"/>
                <w:b/>
                <w:bCs/>
                <w:color w:val="000000"/>
                <w:kern w:val="0"/>
                <w:sz w:val="22"/>
              </w:rPr>
            </w:pPr>
            <w:r w:rsidRPr="00244DFB">
              <w:rPr>
                <w:rFonts w:ascii="仿宋_GB2312" w:eastAsia="仿宋_GB2312" w:hAnsi="等线" w:cs="宋体" w:hint="eastAsia"/>
                <w:b/>
                <w:bCs/>
                <w:color w:val="000000"/>
                <w:kern w:val="0"/>
                <w:sz w:val="22"/>
              </w:rPr>
              <w:t>流动性比例</w:t>
            </w:r>
          </w:p>
        </w:tc>
      </w:tr>
      <w:tr w:rsidR="00244DFB" w:rsidRPr="00244DFB" w:rsidTr="00244DFB">
        <w:trPr>
          <w:trHeight w:val="285"/>
        </w:trPr>
        <w:tc>
          <w:tcPr>
            <w:tcW w:w="1080" w:type="dxa"/>
            <w:tcBorders>
              <w:top w:val="nil"/>
              <w:left w:val="single" w:sz="4" w:space="0" w:color="auto"/>
              <w:bottom w:val="single" w:sz="4" w:space="0" w:color="auto"/>
              <w:right w:val="single" w:sz="4" w:space="0" w:color="auto"/>
            </w:tcBorders>
            <w:shd w:val="clear" w:color="000000" w:fill="FFFFFF"/>
            <w:vAlign w:val="center"/>
            <w:hideMark/>
          </w:tcPr>
          <w:p w:rsidR="00244DFB" w:rsidRPr="00244DFB" w:rsidRDefault="00244DFB" w:rsidP="00244DFB">
            <w:pPr>
              <w:widowControl/>
              <w:jc w:val="center"/>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21</w:t>
            </w:r>
          </w:p>
        </w:tc>
        <w:tc>
          <w:tcPr>
            <w:tcW w:w="3680" w:type="dxa"/>
            <w:tcBorders>
              <w:top w:val="nil"/>
              <w:left w:val="nil"/>
              <w:bottom w:val="single" w:sz="4" w:space="0" w:color="auto"/>
              <w:right w:val="single" w:sz="4" w:space="0" w:color="auto"/>
            </w:tcBorders>
            <w:shd w:val="clear" w:color="000000" w:fill="FFFFFF"/>
            <w:vAlign w:val="center"/>
            <w:hideMark/>
          </w:tcPr>
          <w:p w:rsidR="00244DFB" w:rsidRPr="00244DFB" w:rsidRDefault="00244DFB" w:rsidP="00244DFB">
            <w:pPr>
              <w:widowControl/>
              <w:jc w:val="left"/>
              <w:rPr>
                <w:rFonts w:ascii="仿宋_GB2312" w:eastAsia="仿宋_GB2312" w:hAnsi="等线" w:cs="宋体"/>
                <w:color w:val="000000"/>
                <w:kern w:val="0"/>
                <w:sz w:val="22"/>
              </w:rPr>
            </w:pPr>
            <w:r w:rsidRPr="00244DFB">
              <w:rPr>
                <w:rFonts w:ascii="仿宋_GB2312" w:eastAsia="仿宋_GB2312" w:hAnsi="等线" w:cs="宋体" w:hint="eastAsia"/>
                <w:color w:val="000000"/>
                <w:kern w:val="0"/>
                <w:sz w:val="22"/>
              </w:rPr>
              <w:t>流动性比例（%）</w:t>
            </w:r>
          </w:p>
        </w:tc>
        <w:tc>
          <w:tcPr>
            <w:tcW w:w="3680" w:type="dxa"/>
            <w:tcBorders>
              <w:top w:val="nil"/>
              <w:left w:val="nil"/>
              <w:bottom w:val="single" w:sz="4" w:space="0" w:color="auto"/>
              <w:right w:val="single" w:sz="4" w:space="0" w:color="auto"/>
            </w:tcBorders>
            <w:shd w:val="clear" w:color="000000" w:fill="FFFFFF"/>
            <w:vAlign w:val="center"/>
            <w:hideMark/>
          </w:tcPr>
          <w:p w:rsidR="00244DFB" w:rsidRPr="00244DFB" w:rsidRDefault="00244DFB" w:rsidP="00244DFB">
            <w:pPr>
              <w:widowControl/>
              <w:jc w:val="center"/>
              <w:rPr>
                <w:rFonts w:ascii="仿宋_GB2312" w:eastAsia="仿宋_GB2312" w:hAnsi="等线" w:cs="宋体"/>
                <w:color w:val="000000"/>
                <w:kern w:val="0"/>
                <w:sz w:val="20"/>
                <w:szCs w:val="20"/>
              </w:rPr>
            </w:pPr>
            <w:r w:rsidRPr="00244DFB">
              <w:rPr>
                <w:rFonts w:ascii="仿宋_GB2312" w:eastAsia="仿宋_GB2312" w:hAnsi="等线" w:cs="宋体" w:hint="eastAsia"/>
                <w:color w:val="000000"/>
                <w:kern w:val="0"/>
                <w:sz w:val="20"/>
                <w:szCs w:val="20"/>
              </w:rPr>
              <w:t>208.8</w:t>
            </w:r>
          </w:p>
        </w:tc>
      </w:tr>
    </w:tbl>
    <w:p w:rsidR="004E6F1F" w:rsidRDefault="004E6F1F"/>
    <w:p w:rsidR="00455CE0" w:rsidRDefault="00455CE0"/>
    <w:sectPr w:rsidR="00455CE0" w:rsidSect="00FF633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4F90" w:rsidRDefault="000E4F90" w:rsidP="004E6F1F">
      <w:r>
        <w:separator/>
      </w:r>
    </w:p>
  </w:endnote>
  <w:endnote w:type="continuationSeparator" w:id="1">
    <w:p w:rsidR="000E4F90" w:rsidRDefault="000E4F90" w:rsidP="004E6F1F">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2337516"/>
      <w:docPartObj>
        <w:docPartGallery w:val="Page Numbers (Bottom of Page)"/>
        <w:docPartUnique/>
      </w:docPartObj>
    </w:sdtPr>
    <w:sdtContent>
      <w:p w:rsidR="006F08C4" w:rsidRDefault="000917A5">
        <w:pPr>
          <w:pStyle w:val="a4"/>
          <w:jc w:val="center"/>
        </w:pPr>
        <w:fldSimple w:instr=" PAGE   \* MERGEFORMAT ">
          <w:r w:rsidR="00244DFB" w:rsidRPr="00244DFB">
            <w:rPr>
              <w:noProof/>
              <w:lang w:val="zh-CN"/>
            </w:rPr>
            <w:t>2</w:t>
          </w:r>
        </w:fldSimple>
      </w:p>
    </w:sdtContent>
  </w:sdt>
  <w:p w:rsidR="006F08C4" w:rsidRDefault="006F08C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4F90" w:rsidRDefault="000E4F90" w:rsidP="004E6F1F">
      <w:r>
        <w:separator/>
      </w:r>
    </w:p>
  </w:footnote>
  <w:footnote w:type="continuationSeparator" w:id="1">
    <w:p w:rsidR="000E4F90" w:rsidRDefault="000E4F90" w:rsidP="004E6F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4E11"/>
    <w:rsid w:val="000002BB"/>
    <w:rsid w:val="000917A5"/>
    <w:rsid w:val="000E4F90"/>
    <w:rsid w:val="001D1510"/>
    <w:rsid w:val="00244DFB"/>
    <w:rsid w:val="00250D84"/>
    <w:rsid w:val="00262774"/>
    <w:rsid w:val="0036574D"/>
    <w:rsid w:val="0039230A"/>
    <w:rsid w:val="003D4A64"/>
    <w:rsid w:val="00455CE0"/>
    <w:rsid w:val="00463064"/>
    <w:rsid w:val="004B67A4"/>
    <w:rsid w:val="004E6F1F"/>
    <w:rsid w:val="005E47AF"/>
    <w:rsid w:val="0069081C"/>
    <w:rsid w:val="006A5102"/>
    <w:rsid w:val="006D319F"/>
    <w:rsid w:val="006F08C4"/>
    <w:rsid w:val="00786068"/>
    <w:rsid w:val="00787129"/>
    <w:rsid w:val="00791487"/>
    <w:rsid w:val="007D5829"/>
    <w:rsid w:val="007E13FA"/>
    <w:rsid w:val="008450C4"/>
    <w:rsid w:val="00865833"/>
    <w:rsid w:val="008A4B76"/>
    <w:rsid w:val="009936F0"/>
    <w:rsid w:val="00AA1AAC"/>
    <w:rsid w:val="00AB2FF6"/>
    <w:rsid w:val="00B326C7"/>
    <w:rsid w:val="00B37385"/>
    <w:rsid w:val="00BA50DB"/>
    <w:rsid w:val="00BB4E11"/>
    <w:rsid w:val="00C61A21"/>
    <w:rsid w:val="00D574BA"/>
    <w:rsid w:val="00D872EA"/>
    <w:rsid w:val="00DE1326"/>
    <w:rsid w:val="00E31357"/>
    <w:rsid w:val="00EC42D0"/>
    <w:rsid w:val="00F00169"/>
    <w:rsid w:val="00F67B86"/>
    <w:rsid w:val="00F9648C"/>
    <w:rsid w:val="00FD313B"/>
    <w:rsid w:val="00FE3620"/>
    <w:rsid w:val="00FF63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3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6F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6F1F"/>
    <w:rPr>
      <w:sz w:val="18"/>
      <w:szCs w:val="18"/>
    </w:rPr>
  </w:style>
  <w:style w:type="paragraph" w:styleId="a4">
    <w:name w:val="footer"/>
    <w:basedOn w:val="a"/>
    <w:link w:val="Char0"/>
    <w:uiPriority w:val="99"/>
    <w:unhideWhenUsed/>
    <w:rsid w:val="004E6F1F"/>
    <w:pPr>
      <w:tabs>
        <w:tab w:val="center" w:pos="4153"/>
        <w:tab w:val="right" w:pos="8306"/>
      </w:tabs>
      <w:snapToGrid w:val="0"/>
      <w:jc w:val="left"/>
    </w:pPr>
    <w:rPr>
      <w:sz w:val="18"/>
      <w:szCs w:val="18"/>
    </w:rPr>
  </w:style>
  <w:style w:type="character" w:customStyle="1" w:styleId="Char0">
    <w:name w:val="页脚 Char"/>
    <w:basedOn w:val="a0"/>
    <w:link w:val="a4"/>
    <w:uiPriority w:val="99"/>
    <w:rsid w:val="004E6F1F"/>
    <w:rPr>
      <w:sz w:val="18"/>
      <w:szCs w:val="18"/>
    </w:rPr>
  </w:style>
</w:styles>
</file>

<file path=word/webSettings.xml><?xml version="1.0" encoding="utf-8"?>
<w:webSettings xmlns:r="http://schemas.openxmlformats.org/officeDocument/2006/relationships" xmlns:w="http://schemas.openxmlformats.org/wordprocessingml/2006/main">
  <w:divs>
    <w:div w:id="2243533">
      <w:bodyDiv w:val="1"/>
      <w:marLeft w:val="0"/>
      <w:marRight w:val="0"/>
      <w:marTop w:val="0"/>
      <w:marBottom w:val="0"/>
      <w:divBdr>
        <w:top w:val="none" w:sz="0" w:space="0" w:color="auto"/>
        <w:left w:val="none" w:sz="0" w:space="0" w:color="auto"/>
        <w:bottom w:val="none" w:sz="0" w:space="0" w:color="auto"/>
        <w:right w:val="none" w:sz="0" w:space="0" w:color="auto"/>
      </w:divBdr>
    </w:div>
    <w:div w:id="45379750">
      <w:bodyDiv w:val="1"/>
      <w:marLeft w:val="0"/>
      <w:marRight w:val="0"/>
      <w:marTop w:val="0"/>
      <w:marBottom w:val="0"/>
      <w:divBdr>
        <w:top w:val="none" w:sz="0" w:space="0" w:color="auto"/>
        <w:left w:val="none" w:sz="0" w:space="0" w:color="auto"/>
        <w:bottom w:val="none" w:sz="0" w:space="0" w:color="auto"/>
        <w:right w:val="none" w:sz="0" w:space="0" w:color="auto"/>
      </w:divBdr>
    </w:div>
    <w:div w:id="493110581">
      <w:bodyDiv w:val="1"/>
      <w:marLeft w:val="0"/>
      <w:marRight w:val="0"/>
      <w:marTop w:val="0"/>
      <w:marBottom w:val="0"/>
      <w:divBdr>
        <w:top w:val="none" w:sz="0" w:space="0" w:color="auto"/>
        <w:left w:val="none" w:sz="0" w:space="0" w:color="auto"/>
        <w:bottom w:val="none" w:sz="0" w:space="0" w:color="auto"/>
        <w:right w:val="none" w:sz="0" w:space="0" w:color="auto"/>
      </w:divBdr>
    </w:div>
    <w:div w:id="1267620650">
      <w:bodyDiv w:val="1"/>
      <w:marLeft w:val="0"/>
      <w:marRight w:val="0"/>
      <w:marTop w:val="0"/>
      <w:marBottom w:val="0"/>
      <w:divBdr>
        <w:top w:val="none" w:sz="0" w:space="0" w:color="auto"/>
        <w:left w:val="none" w:sz="0" w:space="0" w:color="auto"/>
        <w:bottom w:val="none" w:sz="0" w:space="0" w:color="auto"/>
        <w:right w:val="none" w:sz="0" w:space="0" w:color="auto"/>
      </w:divBdr>
    </w:div>
    <w:div w:id="1336688987">
      <w:bodyDiv w:val="1"/>
      <w:marLeft w:val="0"/>
      <w:marRight w:val="0"/>
      <w:marTop w:val="0"/>
      <w:marBottom w:val="0"/>
      <w:divBdr>
        <w:top w:val="none" w:sz="0" w:space="0" w:color="auto"/>
        <w:left w:val="none" w:sz="0" w:space="0" w:color="auto"/>
        <w:bottom w:val="none" w:sz="0" w:space="0" w:color="auto"/>
        <w:right w:val="none" w:sz="0" w:space="0" w:color="auto"/>
      </w:divBdr>
    </w:div>
    <w:div w:id="1374504261">
      <w:bodyDiv w:val="1"/>
      <w:marLeft w:val="0"/>
      <w:marRight w:val="0"/>
      <w:marTop w:val="0"/>
      <w:marBottom w:val="0"/>
      <w:divBdr>
        <w:top w:val="none" w:sz="0" w:space="0" w:color="auto"/>
        <w:left w:val="none" w:sz="0" w:space="0" w:color="auto"/>
        <w:bottom w:val="none" w:sz="0" w:space="0" w:color="auto"/>
        <w:right w:val="none" w:sz="0" w:space="0" w:color="auto"/>
      </w:divBdr>
    </w:div>
    <w:div w:id="1829974261">
      <w:bodyDiv w:val="1"/>
      <w:marLeft w:val="0"/>
      <w:marRight w:val="0"/>
      <w:marTop w:val="0"/>
      <w:marBottom w:val="0"/>
      <w:divBdr>
        <w:top w:val="none" w:sz="0" w:space="0" w:color="auto"/>
        <w:left w:val="none" w:sz="0" w:space="0" w:color="auto"/>
        <w:bottom w:val="none" w:sz="0" w:space="0" w:color="auto"/>
        <w:right w:val="none" w:sz="0" w:space="0" w:color="auto"/>
      </w:divBdr>
    </w:div>
    <w:div w:id="1931694163">
      <w:bodyDiv w:val="1"/>
      <w:marLeft w:val="0"/>
      <w:marRight w:val="0"/>
      <w:marTop w:val="0"/>
      <w:marBottom w:val="0"/>
      <w:divBdr>
        <w:top w:val="none" w:sz="0" w:space="0" w:color="auto"/>
        <w:left w:val="none" w:sz="0" w:space="0" w:color="auto"/>
        <w:bottom w:val="none" w:sz="0" w:space="0" w:color="auto"/>
        <w:right w:val="none" w:sz="0" w:space="0" w:color="auto"/>
      </w:divBdr>
      <w:divsChild>
        <w:div w:id="1008554666">
          <w:marLeft w:val="0"/>
          <w:marRight w:val="0"/>
          <w:marTop w:val="0"/>
          <w:marBottom w:val="0"/>
          <w:divBdr>
            <w:top w:val="none" w:sz="0" w:space="0" w:color="auto"/>
            <w:left w:val="none" w:sz="0" w:space="0" w:color="auto"/>
            <w:bottom w:val="single" w:sz="12" w:space="0" w:color="DCDCDC"/>
            <w:right w:val="none" w:sz="0" w:space="0" w:color="auto"/>
          </w:divBdr>
        </w:div>
        <w:div w:id="1587302549">
          <w:marLeft w:val="0"/>
          <w:marRight w:val="0"/>
          <w:marTop w:val="0"/>
          <w:marBottom w:val="0"/>
          <w:divBdr>
            <w:top w:val="none" w:sz="0" w:space="0" w:color="auto"/>
            <w:left w:val="none" w:sz="0" w:space="0" w:color="auto"/>
            <w:bottom w:val="none" w:sz="0" w:space="0" w:color="auto"/>
            <w:right w:val="none" w:sz="0" w:space="0" w:color="auto"/>
          </w:divBdr>
          <w:divsChild>
            <w:div w:id="182257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84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C764D6-E4F3-4CB0-BD62-25A23209A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2</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435115706@qq.com</dc:creator>
  <cp:keywords/>
  <dc:description/>
  <cp:lastModifiedBy>祝晶晶</cp:lastModifiedBy>
  <cp:revision>25</cp:revision>
  <cp:lastPrinted>2025-05-30T02:19:00Z</cp:lastPrinted>
  <dcterms:created xsi:type="dcterms:W3CDTF">2024-08-30T02:18:00Z</dcterms:created>
  <dcterms:modified xsi:type="dcterms:W3CDTF">2025-10-29T06:14:00Z</dcterms:modified>
</cp:coreProperties>
</file>