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苏银理财恒源1年定开25期</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A份额：苏银理财恒源1年定开25期A/J01044</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B份额：苏银理财</w:t>
            </w:r>
            <w:bookmarkStart w:id="0" w:name="_GoBack"/>
            <w:bookmarkEnd w:id="0"/>
            <w:r>
              <w:rPr>
                <w:rFonts w:hint="eastAsia" w:ascii="楷体" w:hAnsi="楷体" w:eastAsia="楷体" w:cs="宋体"/>
                <w:spacing w:val="-2"/>
                <w:sz w:val="20"/>
                <w:szCs w:val="20"/>
                <w:lang w:val="en-US" w:eastAsia="zh-CN"/>
              </w:rPr>
              <w:t>恒源1年定开25期B/J01045</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C份额：苏银理财恒源1年定开25期C/J14023</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D份额：苏银理财恒源1年定开25期D/J03063</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F份额：苏银理财恒源1年定开25期F/J03064</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J份额：苏银理财恒源1年定开25期J/J03065</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ZA鑫福款（自动赎回）份额：苏银理财恒源1年定开25期ZA鑫福款（自动赎回）/J03066</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ZC鑫福优享（自动赎回）份额：苏银理财恒源1年定开25期ZC鑫福优享（自动赎回）/J14029</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ZF份额：苏银理财恒源1年定开25期ZF/J03067</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ZK鑫福尊享（自动赎回）份额：苏银理财恒源1年定开25期ZK鑫福尊享（自动赎回）/J14030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Z7003121000147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2026年2月28日至2026年3月9日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2026年3月10日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2032年1月29日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hint="default" w:ascii="仿宋_GB2312" w:hAnsi="仿宋" w:eastAsia="仿宋_GB2312" w:cs="Times New Roman"/>
                <w:kern w:val="0"/>
                <w:sz w:val="20"/>
                <w:szCs w:val="21"/>
                <w:lang w:val="en-US" w:eastAsia="zh-CN" w:bidi="ar-SA"/>
              </w:rPr>
            </w:pPr>
            <w:r>
              <w:rPr>
                <w:rFonts w:hint="eastAsia" w:ascii="楷体" w:hAnsi="楷体" w:eastAsia="楷体" w:cs="宋体"/>
                <w:spacing w:val="-2"/>
                <w:sz w:val="20"/>
                <w:szCs w:val="20"/>
                <w:lang w:val="en-US" w:eastAsia="zh-CN"/>
              </w:rPr>
              <w:t>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kern w:val="2"/>
                <w:sz w:val="20"/>
                <w:szCs w:val="20"/>
                <w:lang w:val="en-US" w:eastAsia="zh-CN" w:bidi="ar-SA"/>
              </w:rPr>
            </w:pPr>
            <w:r>
              <w:rPr>
                <w:rFonts w:hint="eastAsia" w:ascii="仿宋_GB2312" w:hAnsi="仿宋" w:eastAsia="仿宋_GB2312"/>
                <w:b/>
                <w:kern w:val="0"/>
                <w:sz w:val="20"/>
                <w:szCs w:val="21"/>
                <w:lang w:val="en-US" w:eastAsia="zh-CN"/>
              </w:rPr>
              <w:t>投资起点</w:t>
            </w:r>
          </w:p>
        </w:tc>
        <w:tc>
          <w:tcPr>
            <w:tcW w:w="6095" w:type="dxa"/>
            <w:vAlign w:val="center"/>
          </w:tcPr>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A/F/ZA/ZF份额认购起点100元，追加金额为100元的整数倍。</w:t>
            </w:r>
          </w:p>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B份额认购起点200000元，追加金额为10000元的整数倍。</w:t>
            </w:r>
          </w:p>
          <w:p>
            <w:pPr>
              <w:keepNext w:val="0"/>
              <w:keepLines w:val="0"/>
              <w:pageBreakBefore w:val="0"/>
              <w:widowControl/>
              <w:kinsoku/>
              <w:wordWrap/>
              <w:overflowPunct/>
              <w:topLinePunct w:val="0"/>
              <w:bidi w:val="0"/>
              <w:snapToGrid/>
              <w:spacing w:line="320" w:lineRule="exact"/>
              <w:jc w:val="both"/>
              <w:textAlignment w:val="auto"/>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C/ZC份额认购起点10000元，追加金额为1元的整数倍。(C份额面向新客户新资金客户销售，ZC份额面向江苏农商特定客群销售。）</w:t>
            </w:r>
          </w:p>
          <w:p>
            <w:pPr>
              <w:keepNext w:val="0"/>
              <w:keepLines w:val="0"/>
              <w:pageBreakBefore w:val="0"/>
              <w:widowControl/>
              <w:kinsoku/>
              <w:wordWrap/>
              <w:overflowPunct/>
              <w:topLinePunct w:val="0"/>
              <w:bidi w:val="0"/>
              <w:snapToGrid/>
              <w:spacing w:line="320" w:lineRule="exact"/>
              <w:jc w:val="both"/>
              <w:textAlignment w:val="auto"/>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D/J/ZK份额认购起点500000元，追加金额为10000元的整数倍。其中D份额面向高净值客户和白名单客户销售。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本理财产品直接或间接投资于固定收益类资产，包括货币市场工具类资产、标准化债权类资产、非标准化债权类资产和监管机构允许投资的其他资产。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eastAsia"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cs="Times New Roman"/>
                <w:b/>
                <w:kern w:val="0"/>
                <w:sz w:val="20"/>
                <w:szCs w:val="21"/>
                <w:lang w:val="en-US" w:eastAsia="zh-CN" w:bidi="ar-SA"/>
              </w:rPr>
            </w:pPr>
            <w:r>
              <w:rPr>
                <w:rFonts w:hint="eastAsia" w:ascii="仿宋_GB2312" w:hAnsi="仿宋" w:eastAsia="仿宋_GB2312"/>
                <w:b/>
                <w:kern w:val="0"/>
                <w:sz w:val="20"/>
                <w:szCs w:val="21"/>
                <w:highlight w:val="none"/>
              </w:rPr>
              <w:t>代销服务费率</w:t>
            </w:r>
          </w:p>
        </w:tc>
        <w:tc>
          <w:tcPr>
            <w:tcW w:w="6095" w:type="dxa"/>
            <w:vAlign w:val="center"/>
          </w:tcPr>
          <w:p>
            <w:pPr>
              <w:spacing w:line="320" w:lineRule="exact"/>
              <w:jc w:val="both"/>
              <w:rPr>
                <w:rFonts w:hint="default"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A/F/ZA/ZF份额：0.30%/年；B/ZC份额：0.25%/年；D/J份额：0.20%/年；C/ZK：0.15%/年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【销售服务费和投资管理费分成（差额补足）】</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楷体" w:hAnsi="楷体" w:eastAsia="楷体" w:cs="宋体"/>
                <w:spacing w:val="-2"/>
                <w:kern w:val="2"/>
                <w:sz w:val="20"/>
                <w:szCs w:val="20"/>
                <w:lang w:val="en-US" w:eastAsia="zh-CN" w:bidi="ar-SA"/>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A份额：2.45%-3.05%，2026年3月10日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B份额：2.48%-3.08%，2026年3月10日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C份额：2.50%-3.10%，2026年3月10日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D份额：2.60%-3.20%，2026年3月10日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F份额：2.45%-3.05%，2026年3月10日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J份额：2.55%-3.15%，2026年3月10日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ZA鑫福款（自动赎回）份额：2.45%-3.05%，2026年3月10日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ZC鑫福优享（自动赎回）份额：2.50%-3.10%，2026年3月10日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ZF份额：2.45%-3.05%，2026年3月10日</w:t>
            </w:r>
            <w:r>
              <w:rPr>
                <w:rFonts w:hint="eastAsia" w:ascii="楷体" w:hAnsi="楷体" w:eastAsia="楷体" w:cs="宋体"/>
                <w:spacing w:val="-2"/>
                <w:sz w:val="20"/>
                <w:szCs w:val="20"/>
                <w:lang w:val="en-US" w:eastAsia="zh-CN"/>
              </w:rPr>
              <w:br w:type="textWrapping"/>
            </w:r>
            <w:r>
              <w:rPr>
                <w:rFonts w:hint="eastAsia" w:ascii="楷体" w:hAnsi="楷体" w:eastAsia="楷体" w:cs="宋体"/>
                <w:spacing w:val="-2"/>
                <w:sz w:val="20"/>
                <w:szCs w:val="20"/>
                <w:lang w:val="en-US" w:eastAsia="zh-CN"/>
              </w:rPr>
              <w:t>ZK鑫福尊享（自动赎回）份额：2.60%-3.20%，2026年3月10日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开户行：江苏银行南京河西支行</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账号：31120188000183568</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大额支付系统行号：313301098112</w:t>
            </w:r>
            <w:r>
              <w:rPr>
                <w:rFonts w:hint="eastAsia" w:ascii="楷体" w:hAnsi="楷体" w:eastAsia="楷体"/>
                <w:sz w:val="20"/>
                <w:szCs w:val="20"/>
                <w:lang w:val="en-US" w:eastAsia="zh-CN"/>
              </w:rPr>
              <w:br w:type="textWrapping"/>
            </w:r>
            <w:r>
              <w:rPr>
                <w:rFonts w:hint="eastAsia" w:ascii="楷体" w:hAnsi="楷体" w:eastAsia="楷体"/>
                <w:sz w:val="20"/>
                <w:szCs w:val="20"/>
                <w:lang w:val="en-US" w:eastAsia="zh-CN"/>
              </w:rPr>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5053613"/>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0</TotalTime>
  <ScaleCrop>false</ScaleCrop>
  <LinksUpToDate>false</LinksUpToDate>
  <CharactersWithSpaces>838</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2022-05-25T01:21:00Z</dcterms:created>
  <dc:creator>cyx</dc:creator>
  <cp:lastModifiedBy>jsyh</cp:lastModifiedBy>
  <cp:lastPrinted>2022-11-07T01:50:00Z</cp:lastPrinted>
  <dcterms:modified xsi:type="dcterms:W3CDTF">2026-02-13T07:08:13Z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2052-11.8.2.11734</vt:lpwstr>
  </property>
  <property fmtid="{D5CDD505-2E9C-101B-9397-08002B2CF9AE}" pid="4" name="ICV">
    <vt:lpwstr>D1FABE1D99244126A82E4C98837F3785</vt:lpwstr>
  </property>
</Properties>
</file>