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ackground w:color="FFFFFF"/>
  <w:body>
    <w:p w14:paraId="68A94D86">
      <w:pPr>
        <w:shd w:color="auto" w:fill="FFFFFF" w:val="clear"/>
        <w:spacing w:line="300" w:lineRule="exact"/>
        <w:jc w:val="center"/>
        <w:outlineLvl w:val="1"/>
        <w:rPr>
          <w:rFonts w:ascii="Times New Roman" w:cs="Times New Roman" w:eastAsia="黑体" w:hAnsi="Times New Roman"/>
          <w:sz w:val="22"/>
        </w:rPr>
      </w:pPr>
      <w:r>
        <w:rPr>
          <w:rFonts w:ascii="Times New Roman" w:cs="Times New Roman" w:eastAsia="黑体" w:hAnsi="Times New Roman" w:hint="eastAsia"/>
          <w:sz w:val="22"/>
        </w:rPr>
        <w:t>信银理财理财产品投资协议书</w:t>
      </w:r>
    </w:p>
    <w:p w14:paraId="52DE90FC">
      <w:pPr>
        <w:spacing w:line="300" w:lineRule="exact"/>
        <w:ind w:firstLine="480"/>
        <w:rPr>
          <w:rFonts w:ascii="Times New Roman" w:cs="Times New Roman" w:eastAsia="楷体_GB2312" w:hAnsi="Times New Roman"/>
          <w:sz w:val="20"/>
          <w:szCs w:val="20"/>
        </w:rPr>
      </w:pPr>
    </w:p>
    <w:p w14:paraId="79341D91">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甲方：投资者（投资者信息详见签署页）</w:t>
      </w:r>
    </w:p>
    <w:p w14:paraId="6A0D581D">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乙方：信银理财有限责任公司</w:t>
      </w:r>
    </w:p>
    <w:p w14:paraId="123DE341">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sz w:val="20"/>
          <w:szCs w:val="20"/>
        </w:rPr>
        <w:t xml:space="preserve">   </w:t>
      </w:r>
    </w:p>
    <w:p w14:paraId="06049925">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经甲方和乙方平等协商，就甲方认购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申购乙方发行的理财产品（以下简称</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理财产品</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），达成本协议如下：</w:t>
      </w:r>
    </w:p>
    <w:p w14:paraId="48B11971">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一、适用范围</w:t>
      </w:r>
    </w:p>
    <w:p w14:paraId="3083C71D">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甲方在认购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申购乙方发行的理财产品之前应签署本协议。本协议生效后，甲方认购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申购乙方发行的理财产品的，均适用本协议。</w:t>
      </w:r>
    </w:p>
    <w:p w14:paraId="4EDAF4D1">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本协议为规范甲乙双方在理财业务中权利与义务的法律文件，与甲方认购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申购理财产品对应的《信银理财理财产品产品说明书》《信银理财理财产品风险揭示书》等相关文件与本协议共同构成理财产品合同的有效组成部分，与本协</w:t>
      </w:r>
      <w:bookmarkStart w:id="0" w:name="_GoBack"/>
      <w:bookmarkEnd w:id="0"/>
      <w:r>
        <w:rPr>
          <w:rFonts w:ascii="Times New Roman" w:cs="Times New Roman" w:eastAsia="楷体_GB2312" w:hAnsi="Times New Roman" w:hint="eastAsia"/>
          <w:sz w:val="20"/>
          <w:szCs w:val="20"/>
        </w:rPr>
        <w:t>议具有同等法律效力。甲方认购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申购乙方多支理财产品时，不同理财产品对应的《信银理财理财产品产品说明书》《信银理财理财产品风险揭示书》组成的理财产品合同互相独立。</w:t>
      </w:r>
    </w:p>
    <w:p w14:paraId="0D5BB817">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本协议不作为甲方认购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申购或持有理财产品的凭证。</w:t>
      </w:r>
    </w:p>
    <w:p w14:paraId="00AD07E1">
      <w:pPr>
        <w:spacing w:line="300" w:lineRule="exact"/>
        <w:rPr>
          <w:rFonts w:ascii="Times New Roman" w:cs="Times New Roman" w:eastAsia="楷体_GB2312" w:hAnsi="Times New Roman"/>
          <w:sz w:val="20"/>
          <w:szCs w:val="20"/>
        </w:rPr>
      </w:pPr>
    </w:p>
    <w:p w14:paraId="34433425">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二、风险提示</w:t>
      </w:r>
    </w:p>
    <w:p w14:paraId="3786D10E">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本产品为</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固定收益类</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产品</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具体投资对象</w:t>
      </w:r>
      <w:r>
        <w:rPr>
          <w:rFonts w:ascii="Times New Roman" w:cs="Times New Roman" w:eastAsia="楷体_GB2312" w:hAnsi="Times New Roman"/>
          <w:b/>
          <w:bCs/>
          <w:sz w:val="20"/>
          <w:szCs w:val="20"/>
        </w:rPr>
        <w:t>投资比例如下：</w:t>
      </w:r>
    </w:p>
    <w:tbl>
      <w:tblPr>
        <w:tblStyle w:val="8"/>
        <w:tblW w:type="pct" w:w="3503"/>
        <w:tblInd w:type="dxa" w:w="1271"/>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CellMar>
          <w:top w:type="dxa" w:w="0"/>
          <w:left w:type="dxa" w:w="108"/>
          <w:bottom w:type="dxa" w:w="0"/>
          <w:right w:type="dxa" w:w="108"/>
        </w:tblCellMar>
      </w:tblPr>
      <w:tblGrid>
        <w:gridCol w:w="4226"/>
        <w:gridCol w:w="1749"/>
      </w:tblGrid>
      <w:tr w14:paraId="27F6A797">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1FBCB2A0">
            <w:pPr>
              <w:ind w:right="29" w:rightChars="12"/>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type="pct" w:w="1463"/>
            <w:vAlign w:val="center"/>
          </w:tcPr>
          <w:p w14:paraId="6AB5185B">
            <w:pPr>
              <w:ind w:right="29" w:rightChars="12"/>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14:paraId="554C5718">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262E33C8">
            <w:pPr>
              <w:ind w:right="29" w:rightChars="12"/>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type="pct" w:w="1463"/>
            <w:vAlign w:val="center"/>
          </w:tcPr>
          <w:p w14:paraId="78317B48">
            <w:pPr>
              <w:ind w:right="29" w:rightChars="12"/>
              <w:jc w:val="center"/>
              <w:rPr>
                <w:rFonts w:ascii="楷体" w:eastAsia="楷体" w:hAnsi="楷体"/>
                <w:color w:val="000000"/>
                <w:sz w:val="20"/>
                <w:szCs w:val="20"/>
              </w:rPr>
            </w:pPr>
            <w:r>
              <w:rPr>
                <w:rFonts w:ascii="楷体" w:eastAsia="楷体" w:hAnsi="楷体" w:hint="eastAsia"/>
                <w:sz w:val="20"/>
                <w:szCs w:val="20"/>
              </w:rPr>
              <w:t>【80%-100%</w:t>
            </w:r>
            <w:r>
              <w:rPr>
                <w:rFonts w:ascii="楷体" w:eastAsia="楷体" w:hAnsi="楷体"/>
                <w:sz w:val="20"/>
                <w:szCs w:val="20"/>
              </w:rPr>
              <w:t/>
            </w:r>
            <w:r>
              <w:rPr>
                <w:rFonts w:ascii="楷体" w:eastAsia="楷体" w:hAnsi="楷体" w:hint="eastAsia"/>
                <w:sz w:val="20"/>
                <w:szCs w:val="20"/>
              </w:rPr>
              <w:t>】</w:t>
            </w:r>
          </w:p>
        </w:tc>
      </w:tr>
      <w:tr w14:paraId="247B28D3">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2F42DB17">
            <w:pPr>
              <w:ind w:right="29" w:rightChars="12"/>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type="pct" w:w="1463"/>
            <w:vAlign w:val="center"/>
          </w:tcPr>
          <w:p w14:paraId="6AD097A7">
            <w:pPr>
              <w:ind w:right="29" w:rightChars="12"/>
              <w:jc w:val="center"/>
              <w:rPr>
                <w:rFonts w:ascii="楷体" w:eastAsia="楷体" w:hAnsi="楷体"/>
                <w:color w:val="000000"/>
                <w:sz w:val="20"/>
                <w:szCs w:val="20"/>
              </w:rPr>
            </w:pPr>
            <w:r>
              <w:rPr>
                <w:rFonts w:ascii="楷体" w:eastAsia="楷体" w:hAnsi="楷体" w:hint="eastAsia"/>
                <w:sz w:val="20"/>
                <w:szCs w:val="20"/>
              </w:rPr>
              <w:t>【0%-49%</w:t>
            </w:r>
            <w:r>
              <w:rPr>
                <w:rFonts w:ascii="楷体" w:eastAsia="楷体" w:hAnsi="楷体"/>
                <w:sz w:val="20"/>
                <w:szCs w:val="20"/>
              </w:rPr>
              <w:t>】</w:t>
            </w:r>
          </w:p>
        </w:tc>
      </w:tr>
      <w:tr w14:paraId="2EBA9D57">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5F654DE4">
            <w:pPr>
              <w:ind w:right="29" w:rightChars="12"/>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type="pct" w:w="1463"/>
            <w:vAlign w:val="center"/>
          </w:tcPr>
          <w:p w14:paraId="586ECE09">
            <w:pPr>
              <w:ind w:right="29" w:rightChars="12"/>
              <w:jc w:val="center"/>
              <w:rPr>
                <w:rFonts w:ascii="楷体" w:eastAsia="楷体" w:hAnsi="楷体"/>
                <w:color w:val="000000"/>
                <w:sz w:val="20"/>
                <w:szCs w:val="20"/>
              </w:rPr>
            </w:pPr>
            <w:r>
              <w:rPr>
                <w:rFonts w:ascii="楷体" w:eastAsia="楷体" w:hAnsi="楷体" w:hint="eastAsia"/>
                <w:sz w:val="20"/>
                <w:szCs w:val="20"/>
              </w:rPr>
              <w:t>【0%</w:t>
            </w:r>
            <w:r>
              <w:rPr>
                <w:rFonts w:ascii="楷体" w:eastAsia="楷体" w:hAnsi="楷体"/>
                <w:sz w:val="20"/>
                <w:szCs w:val="20"/>
              </w:rPr>
              <w:t/>
            </w:r>
            <w:r>
              <w:rPr>
                <w:rFonts w:ascii="楷体" w:eastAsia="楷体" w:hAnsi="楷体" w:hint="eastAsia"/>
                <w:sz w:val="20"/>
                <w:szCs w:val="20"/>
              </w:rPr>
              <w:t>】</w:t>
            </w:r>
          </w:p>
        </w:tc>
      </w:tr>
      <w:tr w14:paraId="703672B4">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3C2B6D1B">
            <w:pPr>
              <w:ind w:right="29" w:rightChars="12"/>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type="pct" w:w="1463"/>
            <w:vAlign w:val="center"/>
          </w:tcPr>
          <w:p w14:paraId="6180547C">
            <w:pPr>
              <w:ind w:right="29" w:rightChars="12"/>
              <w:jc w:val="center"/>
              <w:rPr>
                <w:rFonts w:ascii="楷体" w:eastAsia="楷体" w:hAnsi="楷体"/>
                <w:color w:val="000000"/>
                <w:sz w:val="20"/>
                <w:szCs w:val="20"/>
              </w:rPr>
            </w:pPr>
            <w:r>
              <w:rPr>
                <w:rFonts w:ascii="楷体" w:eastAsia="楷体" w:hAnsi="楷体" w:hint="eastAsia"/>
                <w:sz w:val="20"/>
                <w:szCs w:val="20"/>
              </w:rPr>
              <w:t>【0%-20%</w:t>
            </w:r>
            <w:r>
              <w:rPr>
                <w:rFonts w:ascii="楷体" w:eastAsia="楷体" w:hAnsi="楷体"/>
                <w:sz w:val="20"/>
                <w:szCs w:val="20"/>
              </w:rPr>
              <w:t/>
            </w:r>
            <w:r>
              <w:rPr>
                <w:rFonts w:ascii="楷体" w:eastAsia="楷体" w:hAnsi="楷体" w:hint="eastAsia"/>
                <w:sz w:val="20"/>
                <w:szCs w:val="20"/>
              </w:rPr>
              <w:t>】</w:t>
            </w:r>
          </w:p>
        </w:tc>
      </w:tr>
      <w:tr w14:paraId="06005549">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rPr>
          <w:trHeight w:hRule="atLeast" w:val="56"/>
        </w:trPr>
        <w:tc>
          <w:tcPr>
            <w:tcW w:type="pct" w:w="3537"/>
            <w:vAlign w:val="center"/>
          </w:tcPr>
          <w:p w14:paraId="173B0FB7">
            <w:pPr>
              <w:ind w:right="29" w:rightChars="12"/>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type="pct" w:w="1463"/>
            <w:vAlign w:val="center"/>
          </w:tcPr>
          <w:p w14:paraId="6802913A">
            <w:pPr>
              <w:ind w:right="29" w:rightChars="12"/>
              <w:jc w:val="center"/>
              <w:rPr>
                <w:rFonts w:ascii="楷体" w:eastAsia="楷体" w:hAnsi="楷体"/>
                <w:color w:val="000000"/>
                <w:sz w:val="20"/>
                <w:szCs w:val="20"/>
              </w:rPr>
            </w:pPr>
            <w:r>
              <w:rPr>
                <w:rFonts w:ascii="楷体" w:eastAsia="楷体" w:hAnsi="楷体" w:hint="eastAsia"/>
                <w:sz w:val="20"/>
                <w:szCs w:val="20"/>
              </w:rPr>
              <w:t>【0%-20%</w:t>
            </w:r>
            <w:r>
              <w:rPr>
                <w:rFonts w:ascii="楷体" w:eastAsia="楷体" w:hAnsi="楷体"/>
                <w:sz w:val="20"/>
                <w:szCs w:val="20"/>
              </w:rPr>
              <w:t/>
            </w:r>
            <w:r>
              <w:rPr>
                <w:rFonts w:ascii="楷体" w:eastAsia="楷体" w:hAnsi="楷体" w:hint="eastAsia"/>
                <w:sz w:val="20"/>
                <w:szCs w:val="20"/>
              </w:rPr>
              <w:t>】</w:t>
            </w:r>
          </w:p>
        </w:tc>
      </w:tr>
    </w:tbl>
    <w:p w14:paraId="12BA1F36">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投资者投资本产品可能面临的特定风险主要包括（但不限于）</w:t>
      </w:r>
    </w:p>
    <w:p w14:paraId="5C815FBB">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（1）投资债权类资产的风险</w:t>
      </w:r>
    </w:p>
    <w:p w14:paraId="4F1920C9">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1）投资标准化债权类资产的风险</w:t>
      </w:r>
    </w:p>
    <w:p w14:paraId="0907430D">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F376657">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b/>
          <w:bCs/>
          <w:sz w:val="20"/>
          <w:szCs w:val="20"/>
        </w:rPr>
        <w:t>2</w:t>
      </w:r>
      <w:r>
        <w:rPr>
          <w:rFonts w:ascii="Times New Roman" w:cs="Times New Roman" w:eastAsia="楷体_GB2312" w:hAnsi="Times New Roman" w:hint="eastAsia"/>
          <w:b/>
          <w:bCs/>
          <w:sz w:val="20"/>
          <w:szCs w:val="20"/>
        </w:rPr>
        <w:t>）投资非标准化债权类资产的风险</w:t>
      </w:r>
    </w:p>
    <w:p w14:paraId="407FB6C8">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C5D2FFC">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w:t>
      </w:r>
      <w:r>
        <w:rPr>
          <w:rFonts w:ascii="Times New Roman" w:cs="Times New Roman" w:eastAsia="楷体_GB2312" w:hAnsi="Times New Roman"/>
          <w:b/>
          <w:bCs/>
          <w:sz w:val="20"/>
          <w:szCs w:val="20"/>
        </w:rPr>
        <w:t>2</w:t>
      </w:r>
      <w:r>
        <w:rPr>
          <w:rFonts w:ascii="Times New Roman" w:cs="Times New Roman" w:eastAsia="楷体_GB2312" w:hAnsi="Times New Roman" w:hint="eastAsia"/>
          <w:b/>
          <w:bCs/>
          <w:sz w:val="20"/>
          <w:szCs w:val="20"/>
        </w:rPr>
        <w:t>）投资权益类资产的风险</w:t>
      </w:r>
    </w:p>
    <w:p w14:paraId="7DED56E1">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1）投资普通股票可能面临的风险</w:t>
      </w:r>
    </w:p>
    <w:p w14:paraId="080C1D6F">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42FEA17C">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2）投资优先股可能面临的风险</w:t>
      </w:r>
    </w:p>
    <w:p w14:paraId="08F8364A">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13D7466">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w:t>
      </w:r>
      <w:r>
        <w:rPr>
          <w:rFonts w:ascii="Times New Roman" w:cs="Times New Roman" w:eastAsia="楷体_GB2312" w:hAnsi="Times New Roman"/>
          <w:b/>
          <w:bCs/>
          <w:sz w:val="20"/>
          <w:szCs w:val="20"/>
        </w:rPr>
        <w:t>3</w:t>
      </w:r>
      <w:r>
        <w:rPr>
          <w:rFonts w:ascii="Times New Roman" w:cs="Times New Roman" w:eastAsia="楷体_GB2312" w:hAnsi="Times New Roman" w:hint="eastAsia"/>
          <w:b/>
          <w:bCs/>
          <w:sz w:val="20"/>
          <w:szCs w:val="20"/>
        </w:rPr>
        <w:t>）投资商品及金融衍生品类资产的风险</w:t>
      </w:r>
    </w:p>
    <w:p w14:paraId="71AD6517">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4AEAD8EA">
      <w:pPr>
        <w:spacing w:line="300" w:lineRule="exact"/>
        <w:ind w:firstLine="480"/>
        <w:rPr>
          <w:rFonts w:ascii="Times New Roman" w:cs="Times New Roman" w:eastAsia="楷体_GB2312" w:hAnsi="Times New Roman"/>
          <w:b/>
          <w:bCs/>
          <w:sz w:val="20"/>
          <w:szCs w:val="20"/>
        </w:rPr>
      </w:pPr>
    </w:p>
    <w:p w14:paraId="0C298D9E">
      <w:pPr>
        <w:spacing w:line="300" w:lineRule="exact"/>
        <w:ind w:firstLine="480"/>
        <w:rPr>
          <w:rFonts w:ascii="Times New Roman" w:cs="Times New Roman" w:eastAsia="楷体_GB2312" w:hAnsi="Times New Roman"/>
          <w:b/>
          <w:bCs/>
          <w:i/>
          <w:szCs w:val="20"/>
          <w:u w:val="single"/>
        </w:rPr>
      </w:pPr>
      <w:r>
        <w:rPr>
          <w:rFonts w:ascii="Times New Roman" w:cs="Times New Roman" w:eastAsia="楷体_GB2312" w:hAnsi="Times New Roman" w:hint="eastAsia"/>
          <w:b/>
          <w:bCs/>
          <w:i/>
          <w:szCs w:val="20"/>
          <w:u w:val="single"/>
        </w:rPr>
        <w:t>注：以上特定风险仅为列举性质，未能详尽列明投资本产品可能面临的全部风险和可能导致投资者投资本金及收益损失的所有因素。</w:t>
      </w:r>
    </w:p>
    <w:p w14:paraId="5693168F">
      <w:pPr>
        <w:spacing w:line="300" w:lineRule="exact"/>
        <w:ind w:firstLine="480"/>
        <w:rPr>
          <w:rFonts w:ascii="Times New Roman" w:cs="Times New Roman" w:eastAsia="楷体_GB2312" w:hAnsi="Times New Roman"/>
          <w:b/>
          <w:bCs/>
          <w:sz w:val="20"/>
          <w:szCs w:val="20"/>
        </w:rPr>
      </w:pPr>
    </w:p>
    <w:p w14:paraId="3B31B268">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cs="Times New Roman" w:eastAsia="楷体_GB2312" w:hAnsi="Times New Roman"/>
          <w:b/>
          <w:bCs/>
          <w:sz w:val="20"/>
          <w:szCs w:val="20"/>
        </w:rPr>
        <w:t>投资对象</w:t>
      </w:r>
      <w:r>
        <w:rPr>
          <w:rFonts w:ascii="Times New Roman" w:cs="Times New Roman" w:eastAsia="楷体_GB2312" w:hAnsi="Times New Roman" w:hint="eastAsia"/>
          <w:b/>
          <w:bCs/>
          <w:sz w:val="20"/>
          <w:szCs w:val="20"/>
        </w:rPr>
        <w:t>的</w:t>
      </w:r>
      <w:r>
        <w:rPr>
          <w:rFonts w:ascii="Times New Roman" w:cs="Times New Roman" w:eastAsia="楷体_GB2312" w:hAnsi="Times New Roman"/>
          <w:b/>
          <w:bCs/>
          <w:sz w:val="20"/>
          <w:szCs w:val="20"/>
        </w:rPr>
        <w:t>投资比例及相应</w:t>
      </w:r>
      <w:r>
        <w:rPr>
          <w:rFonts w:ascii="Times New Roman" w:cs="Times New Roman" w:eastAsia="楷体_GB2312" w:hAnsi="Times New Roman" w:hint="eastAsia"/>
          <w:b/>
          <w:bCs/>
          <w:sz w:val="20"/>
          <w:szCs w:val="20"/>
        </w:rPr>
        <w:t>投资</w:t>
      </w:r>
      <w:r>
        <w:rPr>
          <w:rFonts w:ascii="Times New Roman" w:cs="Times New Roman" w:eastAsia="楷体_GB2312" w:hAnsi="Times New Roman"/>
          <w:b/>
          <w:bCs/>
          <w:sz w:val="20"/>
          <w:szCs w:val="20"/>
        </w:rPr>
        <w:t>风险</w:t>
      </w:r>
      <w:r>
        <w:rPr>
          <w:rFonts w:ascii="Times New Roman" w:cs="Times New Roman" w:eastAsia="楷体_GB2312" w:hAnsi="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申购的理财产品的《信银理财理财产品产品说明书》和《信银理财理财产品风险揭示书》中的相应条款。</w:t>
      </w:r>
    </w:p>
    <w:p w14:paraId="26F1CF61">
      <w:pPr>
        <w:spacing w:line="300" w:lineRule="exact"/>
        <w:ind w:firstLine="482"/>
        <w:rPr>
          <w:rFonts w:ascii="Times New Roman" w:cs="Times New Roman" w:eastAsia="楷体_GB2312" w:hAnsi="Times New Roman"/>
          <w:b/>
          <w:bCs/>
          <w:sz w:val="20"/>
          <w:szCs w:val="20"/>
        </w:rPr>
      </w:pPr>
    </w:p>
    <w:p w14:paraId="71C5DAF9">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三、投资条款</w:t>
      </w:r>
    </w:p>
    <w:p w14:paraId="3B4EE99C">
      <w:pPr>
        <w:spacing w:line="300" w:lineRule="exact"/>
        <w:ind w:firstLine="482"/>
        <w:rPr>
          <w:rFonts w:ascii="Times New Roman" w:cs="Times New Roman" w:eastAsia="楷体_GB2312" w:hAnsi="Times New Roman"/>
          <w:bCs/>
          <w:sz w:val="20"/>
          <w:szCs w:val="20"/>
        </w:rPr>
      </w:pPr>
      <w:r>
        <w:rPr>
          <w:rFonts w:ascii="Times New Roman" w:cs="Times New Roman" w:eastAsia="楷体_GB2312" w:hAnsi="Times New Roman" w:hint="eastAsia"/>
          <w:bCs/>
          <w:sz w:val="20"/>
          <w:szCs w:val="20"/>
        </w:rPr>
        <w:t>甲方认购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申购理财产品的具体认购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申购条件、流程、金额、份额、费用以及其他投资条款，由甲方实际认购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申购的理财产品的《信银理财理财产品产品说明书》具体约定。</w:t>
      </w:r>
    </w:p>
    <w:p w14:paraId="35EA177C">
      <w:pPr>
        <w:spacing w:line="300" w:lineRule="exact"/>
        <w:ind w:firstLine="482"/>
        <w:rPr>
          <w:rFonts w:ascii="Times New Roman" w:cs="Times New Roman" w:eastAsia="楷体_GB2312" w:hAnsi="Times New Roman"/>
          <w:bCs/>
          <w:sz w:val="20"/>
          <w:szCs w:val="20"/>
        </w:rPr>
      </w:pPr>
    </w:p>
    <w:p w14:paraId="06E12BFF">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四、甲方的权利与义务</w:t>
      </w:r>
    </w:p>
    <w:p w14:paraId="435D2F90">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14:paraId="709C85D7">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61532FE5">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（二）甲方保证以真实身份投资本理财产品，保证提供给产品管理人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代销机构的信息和资料均真实、准确、完整、合法。如甲方的信息和</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或资料发生变更，应当及时书面告知产品管理人或代销机构；</w:t>
      </w:r>
    </w:p>
    <w:p w14:paraId="19579FD4">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（三）甲方声明熟悉理财产品类型特征及不同销售渠道的法律法规规定；</w:t>
      </w:r>
    </w:p>
    <w:p w14:paraId="2F989945">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（四）甲方承诺：如委托他人购买本产品，代理人须出具具有法律效力的授权委托书；</w:t>
      </w:r>
    </w:p>
    <w:p w14:paraId="52EE48D1">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（五）甲方保证理财投资资金来源和用途合法，保证可向产品管理人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代销机构提供合法筹集的证明文件；</w:t>
      </w:r>
    </w:p>
    <w:p w14:paraId="0AFEFD6D">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（六）甲方不得利用理财业务及理财产品销售文件项下理财产品从事违法活动；</w:t>
      </w:r>
    </w:p>
    <w:p w14:paraId="36BF6B79">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代销机构开展投资者身份识别、交易记录保存、投资者身份及交易背景尽职调查、大额和可疑交易报告等各项反洗钱工作，并按要求提供相关证明材料；</w:t>
      </w:r>
    </w:p>
    <w:p w14:paraId="050F42AE">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（八）甲方不属于联合国、欧盟或美国等制裁名单，及中国政府部门或有权机关发布的涉恐及反洗钱相关风险名单内的企业或个人；不位于被联合国、欧盟或美国等制裁的国家和地区；</w:t>
      </w:r>
    </w:p>
    <w:p w14:paraId="5D2B2B26">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192B08AA">
      <w:pPr>
        <w:spacing w:line="300" w:lineRule="exact"/>
        <w:ind w:firstLine="482"/>
        <w:rPr>
          <w:rFonts w:ascii="Times New Roman" w:cs="Times New Roman" w:eastAsia="楷体_GB2312" w:hAnsi="Times New Roman"/>
          <w:sz w:val="20"/>
          <w:szCs w:val="20"/>
        </w:rPr>
      </w:pPr>
    </w:p>
    <w:p w14:paraId="7E5686B6">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五、乙方的权利与义务</w:t>
      </w:r>
    </w:p>
    <w:p w14:paraId="4FB71CEA">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（一）乙方具有开办理财业务的经营资质，保证以诚实守信、勤勉尽职的原则管理和运用理财资金；</w:t>
      </w:r>
    </w:p>
    <w:p w14:paraId="544FA8EC">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（二）乙方具有完全适当的资格和能力订立与履行理财产品合同。</w:t>
      </w:r>
    </w:p>
    <w:p w14:paraId="1234881D">
      <w:pPr>
        <w:spacing w:line="300" w:lineRule="exact"/>
        <w:ind w:firstLine="482"/>
        <w:rPr>
          <w:rFonts w:ascii="Times New Roman" w:cs="Times New Roman" w:eastAsia="楷体_GB2312" w:hAnsi="Times New Roman"/>
          <w:sz w:val="20"/>
          <w:szCs w:val="20"/>
        </w:rPr>
      </w:pPr>
    </w:p>
    <w:p w14:paraId="4E72B39F">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bCs/>
          <w:sz w:val="20"/>
          <w:szCs w:val="20"/>
        </w:rPr>
        <w:t>六、违约责任</w:t>
      </w:r>
    </w:p>
    <w:p w14:paraId="47C2AF30">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双方因违反本协议约定而给对方造成损失的，违约方应赔偿因此给对方造成的直接损失。</w:t>
      </w:r>
    </w:p>
    <w:p w14:paraId="398A78FB">
      <w:pPr>
        <w:spacing w:line="300" w:lineRule="exact"/>
        <w:ind w:firstLine="482"/>
        <w:rPr>
          <w:rFonts w:ascii="Times New Roman" w:cs="Times New Roman" w:eastAsia="楷体_GB2312" w:hAnsi="Times New Roman"/>
          <w:b/>
          <w:bCs/>
          <w:sz w:val="20"/>
          <w:szCs w:val="20"/>
        </w:rPr>
      </w:pPr>
    </w:p>
    <w:p w14:paraId="03BB3CB4">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七、免责内容</w:t>
      </w:r>
    </w:p>
    <w:p w14:paraId="72B32606">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cs="Times New Roman" w:eastAsia="楷体_GB2312" w:hAnsi="Times New Roman"/>
          <w:b/>
          <w:bCs/>
          <w:sz w:val="20"/>
          <w:szCs w:val="20"/>
        </w:rPr>
        <w:t>。</w:t>
      </w:r>
    </w:p>
    <w:p w14:paraId="38271711">
      <w:pPr>
        <w:spacing w:line="300" w:lineRule="exact"/>
        <w:ind w:firstLine="482"/>
        <w:rPr>
          <w:rFonts w:ascii="Times New Roman" w:cs="Times New Roman" w:eastAsia="楷体_GB2312" w:hAnsi="Times New Roman"/>
          <w:b/>
          <w:bCs/>
          <w:sz w:val="20"/>
          <w:szCs w:val="20"/>
        </w:rPr>
      </w:pPr>
    </w:p>
    <w:p w14:paraId="44611FE9">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bCs/>
          <w:sz w:val="20"/>
          <w:szCs w:val="20"/>
        </w:rPr>
        <w:t>八、争议解决</w:t>
      </w:r>
    </w:p>
    <w:p w14:paraId="483B028B">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sz w:val="20"/>
          <w:szCs w:val="20"/>
        </w:rPr>
        <w:t>（一）本协议及其他理财产品合同适用中华人民共和国法律（为履行理财产品合同之目的，不包括中国香港特别行政区、澳门特别行政区及台湾地区法律）。</w:t>
      </w:r>
    </w:p>
    <w:p w14:paraId="6D9FFD05">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（二）凡因</w:t>
      </w:r>
      <w:r>
        <w:rPr>
          <w:rFonts w:ascii="Times New Roman" w:cs="Times New Roman" w:eastAsia="楷体_GB2312" w:hAnsi="Times New Roman" w:hint="eastAsia"/>
          <w:b/>
          <w:sz w:val="20"/>
          <w:szCs w:val="20"/>
        </w:rPr>
        <w:t>本协议/</w:t>
      </w:r>
      <w:r>
        <w:rPr>
          <w:rFonts w:ascii="Times New Roman" w:cs="Times New Roman" w:eastAsia="楷体_GB2312" w:hAnsi="Times New Roman" w:hint="eastAsia"/>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E7B647">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（三）在协商或仲裁期间，对于本协议/理财产品合同不涉及争议部分的条款，双方仍须履行。</w:t>
      </w:r>
    </w:p>
    <w:p w14:paraId="66D3F2FE">
      <w:pPr>
        <w:spacing w:line="300" w:lineRule="exact"/>
        <w:ind w:firstLine="482"/>
        <w:rPr>
          <w:rFonts w:ascii="Times New Roman" w:cs="Times New Roman" w:eastAsia="楷体_GB2312" w:hAnsi="Times New Roman"/>
          <w:b/>
          <w:bCs/>
          <w:sz w:val="20"/>
          <w:szCs w:val="20"/>
        </w:rPr>
      </w:pPr>
    </w:p>
    <w:p w14:paraId="33DC896E">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九、附则</w:t>
      </w:r>
    </w:p>
    <w:p w14:paraId="43D5C269">
      <w:pPr>
        <w:spacing w:line="300" w:lineRule="exact"/>
        <w:ind w:firstLine="482"/>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申购份额经乙方确认后生效。本协议通过电子形式签署的，自甲方通过乙方产品的各电子销售渠道（包括直销和代销）在线点击确认或勾选且甲方产品认购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申购份额经乙方确认后生效。甲方知悉并确认，乙方对于甲方认购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申购份额的确认即视为乙方对于本协议的签署和认可，甲方不得以乙方未在本协议上盖章为由主张本协议无效。</w:t>
      </w:r>
    </w:p>
    <w:p w14:paraId="4F35098E">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（二）本协议条款与《信银理财理财产品产品说明书》条款不一致的，以《信银理财理财产品产品说明书》的约定为准。</w:t>
      </w:r>
    </w:p>
    <w:p w14:paraId="487B8F4D">
      <w:pPr>
        <w:spacing w:line="300" w:lineRule="exact"/>
        <w:ind w:firstLine="482"/>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（三）如果由于任何原因使本协议下的任何条款或者内容成为无效或者依法被撤销，本协议其他条款或内容的合法性，有效性和可执行性不受影响。</w:t>
      </w:r>
    </w:p>
    <w:p w14:paraId="49DF8E20">
      <w:pPr>
        <w:spacing w:line="300" w:lineRule="exact"/>
        <w:rPr>
          <w:rFonts w:ascii="Times New Roman" w:cs="Times New Roman" w:eastAsia="楷体_GB2312" w:hAnsi="Times New Roman"/>
          <w:sz w:val="20"/>
          <w:szCs w:val="20"/>
        </w:rPr>
      </w:pPr>
    </w:p>
    <w:p w14:paraId="382E40CA">
      <w:pPr>
        <w:spacing w:line="300" w:lineRule="exact"/>
        <w:rPr>
          <w:rFonts w:ascii="Times New Roman" w:cs="Times New Roman" w:eastAsia="楷体_GB2312" w:hAnsi="Times New Roman"/>
          <w:sz w:val="20"/>
          <w:szCs w:val="20"/>
        </w:rPr>
      </w:pPr>
    </w:p>
    <w:p w14:paraId="684DC015">
      <w:pPr>
        <w:spacing w:line="300" w:lineRule="exact"/>
        <w:rPr>
          <w:rFonts w:ascii="Times New Roman" w:cs="Times New Roman" w:eastAsia="楷体_GB2312" w:hAnsi="Times New Roman"/>
          <w:sz w:val="20"/>
          <w:szCs w:val="20"/>
        </w:rPr>
      </w:pPr>
      <w:r>
        <w:rPr>
          <w:rFonts w:ascii="Times New Roman" w:cs="Times New Roman" w:eastAsia="楷体_GB2312" w:hAnsi="Times New Roman"/>
          <w:b/>
          <w:sz w:val="20"/>
          <w:szCs w:val="20"/>
        </w:rPr>
        <w:t>甲方</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个人投资者（签字）</w:t>
      </w:r>
      <w:r>
        <w:rPr>
          <w:rFonts w:ascii="Times New Roman" w:cs="Times New Roman" w:eastAsia="楷体_GB2312" w:hAnsi="Times New Roman"/>
          <w:sz w:val="20"/>
          <w:szCs w:val="20"/>
        </w:rPr>
        <w:t xml:space="preserve">:               </w:t>
      </w:r>
    </w:p>
    <w:p w14:paraId="75E89A50">
      <w:pPr>
        <w:spacing w:line="300" w:lineRule="exact"/>
        <w:ind w:firstLine="600" w:firstLineChars="300"/>
        <w:rPr>
          <w:rFonts w:ascii="Times New Roman" w:cs="Times New Roman" w:eastAsia="楷体_GB2312" w:hAnsi="Times New Roman"/>
          <w:sz w:val="20"/>
          <w:szCs w:val="20"/>
        </w:rPr>
      </w:pPr>
    </w:p>
    <w:p w14:paraId="4799ED60">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机构投资者（公章）</w:t>
      </w:r>
      <w:r>
        <w:rPr>
          <w:rFonts w:ascii="Times New Roman" w:cs="Times New Roman" w:eastAsia="楷体_GB2312" w:hAnsi="Times New Roman"/>
          <w:sz w:val="20"/>
          <w:szCs w:val="20"/>
        </w:rPr>
        <w:t xml:space="preserve">:               </w:t>
      </w:r>
    </w:p>
    <w:p w14:paraId="285D1965">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法定代表人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负责人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授权代表（签字</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盖章）：</w:t>
      </w:r>
    </w:p>
    <w:p w14:paraId="6742F1FA">
      <w:pPr>
        <w:spacing w:line="300" w:lineRule="exact"/>
        <w:ind w:firstLine="600" w:firstLineChars="300"/>
        <w:rPr>
          <w:rFonts w:ascii="Times New Roman" w:cs="Times New Roman" w:eastAsia="楷体_GB2312" w:hAnsi="Times New Roman"/>
          <w:sz w:val="20"/>
          <w:szCs w:val="20"/>
        </w:rPr>
      </w:pPr>
    </w:p>
    <w:p w14:paraId="4912DB02">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证件类别（个人投资者）：</w:t>
      </w:r>
      <w:r>
        <w:rPr>
          <w:rFonts w:ascii="Times New Roman" w:cs="Times New Roman" w:eastAsia="楷体_GB2312" w:hAnsi="Times New Roman"/>
          <w:sz w:val="20"/>
          <w:szCs w:val="20"/>
        </w:rPr>
        <w:t xml:space="preserve">             </w:t>
      </w:r>
    </w:p>
    <w:p w14:paraId="06AC3C35">
      <w:pPr>
        <w:spacing w:line="300" w:lineRule="exact"/>
        <w:ind w:firstLine="600" w:firstLineChars="300"/>
        <w:rPr>
          <w:rFonts w:ascii="Times New Roman" w:cs="Times New Roman" w:eastAsia="楷体_GB2312" w:hAnsi="Times New Roman"/>
          <w:sz w:val="20"/>
          <w:szCs w:val="20"/>
        </w:rPr>
      </w:pPr>
    </w:p>
    <w:p w14:paraId="2631FF86">
      <w:pPr>
        <w:spacing w:line="300" w:lineRule="exact"/>
        <w:ind w:firstLine="600" w:firstLineChars="300"/>
        <w:rPr>
          <w:rFonts w:ascii="Times New Roman" w:cs="Times New Roman" w:eastAsia="楷体_GB2312" w:hAnsi="Times New Roman" w:hint="eastAsia"/>
          <w:sz w:val="20"/>
          <w:szCs w:val="20"/>
        </w:rPr>
      </w:pPr>
      <w:r>
        <w:rPr>
          <w:rFonts w:ascii="Times New Roman" w:cs="Times New Roman" w:eastAsia="楷体_GB2312" w:hAnsi="Times New Roman" w:hint="eastAsia"/>
          <w:sz w:val="20"/>
          <w:szCs w:val="20"/>
        </w:rPr>
        <w:t>证件号（个人投资者）：</w:t>
      </w:r>
      <w:r>
        <w:rPr>
          <w:rFonts w:ascii="Times New Roman" w:cs="Times New Roman" w:eastAsia="楷体_GB2312" w:hAnsi="Times New Roman"/>
          <w:sz w:val="20"/>
          <w:szCs w:val="20"/>
        </w:rPr>
        <w:t xml:space="preserve">                </w:t>
      </w:r>
    </w:p>
    <w:sectPr>
      <w:headerReference r:id="rId3" w:type="default"/>
      <w:footerReference r:id="rId4" w:type="default"/>
      <w:pgSz w:h="16838" w:w="11906"/>
      <w:pgMar w:bottom="1440" w:footer="992" w:gutter="0" w:header="850" w:left="1797" w:right="1797" w:top="1440"/>
      <w:pgNumType w:start="1"/>
      <w:cols w:num="1" w:space="720"/>
      <w:docGrid w:charSpace="0"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noto sans thai"/>
    <w:panose1 w:val="00000000000000000000"/>
    <w:charset w:val="00"/>
    <w:family w:val="auto"/>
    <w:pitch w:val="default"/>
    <w:sig w:usb0="00000000" w:usb1="00000000" w:usb2="00000000" w:usb3="00000000" w:csb0="00000000"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BD59B7B">
    <w:pPr>
      <w:pStyle w:val="4"/>
      <w:jc w:val="center"/>
      <w:rPr>
        <w:color w:themeColor="text1" w:val="000000"/>
        <w14:textFill>
          <w14:solidFill>
            <w14:schemeClr w14:val="tx1"/>
          </w14:solidFill>
        </w14:textFill>
      </w:rPr>
    </w:pPr>
    <w:r>
      <w:rPr>
        <w:rFonts w:hint="eastAsia"/>
        <w:color w:themeColor="text1" w:val="000000"/>
        <w:lang w:val="zh-CN"/>
        <w14:textFill>
          <w14:solidFill>
            <w14:schemeClr w14:val="tx1"/>
          </w14:solidFill>
        </w14:textFill>
      </w:rPr>
      <w:t>第</w:t>
    </w:r>
    <w:r>
      <w:rPr>
        <w:color w:themeColor="text1" w:val="000000"/>
        <w:lang w:val="zh-CN"/>
        <w14:textFill>
          <w14:solidFill>
            <w14:schemeClr w14:val="tx1"/>
          </w14:solidFill>
        </w14:textFill>
      </w:rPr>
      <w:t xml:space="preserve"> </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PAGE  \* Arabic  \* MERGEFORMAT</w:instrText>
    </w:r>
    <w:r>
      <w:rPr>
        <w:color w:themeColor="text1" w:val="000000"/>
        <w14:textFill>
          <w14:solidFill>
            <w14:schemeClr w14:val="tx1"/>
          </w14:solidFill>
        </w14:textFill>
      </w:rPr>
      <w:fldChar w:fldCharType="separate"/>
    </w:r>
    <w:r>
      <w:rPr>
        <w:color w:themeColor="text1" w:val="000000"/>
        <w:lang w:val="zh-CN"/>
        <w14:textFill>
          <w14:solidFill>
            <w14:schemeClr w14:val="tx1"/>
          </w14:solidFill>
        </w14:textFill>
      </w:rPr>
      <w:t>3</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r>
      <w:rPr>
        <w:color w:themeColor="text1" w:val="000000"/>
        <w:lang w:val="zh-CN"/>
        <w14:textFill>
          <w14:solidFill>
            <w14:schemeClr w14:val="tx1"/>
          </w14:solidFill>
        </w14:textFill>
      </w:rPr>
      <w:t xml:space="preserve"> </w:t>
    </w:r>
    <w:r>
      <w:rPr>
        <w:rFonts w:hint="eastAsia"/>
        <w:color w:themeColor="text1" w:val="000000"/>
        <w:lang w:val="zh-CN"/>
        <w14:textFill>
          <w14:solidFill>
            <w14:schemeClr w14:val="tx1"/>
          </w14:solidFill>
        </w14:textFill>
      </w:rPr>
      <w:t>，共</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 SECTIONPAGES \* MERGEFORMAT </w:instrText>
    </w:r>
    <w:r>
      <w:rPr>
        <w:color w:themeColor="text1" w:val="000000"/>
        <w14:textFill>
          <w14:solidFill>
            <w14:schemeClr w14:val="tx1"/>
          </w14:solidFill>
        </w14:textFill>
      </w:rPr>
      <w:fldChar w:fldCharType="separate"/>
    </w:r>
    <w:r>
      <w:rPr>
        <w:color w:themeColor="text1" w:val="000000"/>
        <w14:textFill>
          <w14:solidFill>
            <w14:schemeClr w14:val="tx1"/>
          </w14:solidFill>
        </w14:textFill>
      </w:rPr>
      <w:t>4</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p>
  <w:p w14:paraId="4F3E38C0">
    <w:pPr>
      <w:pStyle w:val="4"/>
    </w:pP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0E2B2CE3">
    <w:pPr>
      <w:pStyle w:val="5"/>
    </w:pPr>
    <w:r>
      <w:rPr>
        <w:rFonts w:hint="eastAsia"/>
        <w:lang w:eastAsia="zh-CN" w:val="en-US"/>
      </w:rPr>
      <w:t xml:space="preserve">                                                          </w:t>
    </w:r>
    <w:r>
      <w:t>理财非存款、产品有风险、投资须谨慎</w:t>
    </w: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00"/>
  <w:bordersDoNotSurroundHeader w:val="1"/>
  <w:bordersDoNotSurroundFooter w:val="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1A6"/>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1C5"/>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279F"/>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57A5"/>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47B49"/>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5427"/>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247"/>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347"/>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428A"/>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5C6"/>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9D4E90"/>
    <w:rsid w:val="0F2F8C68"/>
    <w:rsid w:val="139F52BA"/>
    <w:rsid w:val="13B2264B"/>
    <w:rsid w:val="146D79C6"/>
    <w:rsid w:val="163549B4"/>
    <w:rsid w:val="16766474"/>
    <w:rsid w:val="1DD80D8F"/>
    <w:rsid w:val="1F3F8CBE"/>
    <w:rsid w:val="20827A42"/>
    <w:rsid w:val="240A6D6E"/>
    <w:rsid w:val="241271C7"/>
    <w:rsid w:val="242E740A"/>
    <w:rsid w:val="25C7594C"/>
    <w:rsid w:val="27DB7970"/>
    <w:rsid w:val="28BA18FC"/>
    <w:rsid w:val="2B8E7BE2"/>
    <w:rsid w:val="2CA62F2E"/>
    <w:rsid w:val="2DB57BEF"/>
    <w:rsid w:val="2F9F3A70"/>
    <w:rsid w:val="31527EED"/>
    <w:rsid w:val="3555547B"/>
    <w:rsid w:val="36200A61"/>
    <w:rsid w:val="36C344B8"/>
    <w:rsid w:val="37085D5E"/>
    <w:rsid w:val="375E0BAF"/>
    <w:rsid w:val="37BD6F93"/>
    <w:rsid w:val="38AA320E"/>
    <w:rsid w:val="3AD774B7"/>
    <w:rsid w:val="3B5A0EDF"/>
    <w:rsid w:val="3DE9F6B1"/>
    <w:rsid w:val="3ED41958"/>
    <w:rsid w:val="43BF748C"/>
    <w:rsid w:val="44193E1A"/>
    <w:rsid w:val="44A01663"/>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AC290C"/>
    <w:rsid w:val="67A2A190"/>
    <w:rsid w:val="69B2727C"/>
    <w:rsid w:val="69CB1261"/>
    <w:rsid w:val="6B6F1AEA"/>
    <w:rsid w:val="6DD74B9D"/>
    <w:rsid w:val="6DFBCD08"/>
    <w:rsid w:val="6F671600"/>
    <w:rsid w:val="6FDD7827"/>
    <w:rsid w:val="71D4D2A0"/>
    <w:rsid w:val="720A1363"/>
    <w:rsid w:val="74BA691F"/>
    <w:rsid w:val="74D8B0F8"/>
    <w:rsid w:val="753938CD"/>
    <w:rsid w:val="75FDA540"/>
    <w:rsid w:val="75FF2F86"/>
    <w:rsid w:val="794859DE"/>
    <w:rsid w:val="7A010931"/>
    <w:rsid w:val="7BD427A0"/>
    <w:rsid w:val="7C804BBD"/>
    <w:rsid w:val="7D79C22C"/>
    <w:rsid w:val="7F3F3E67"/>
    <w:rsid w:val="7F6D1472"/>
    <w:rsid w:val="7F7E0C4C"/>
    <w:rsid w:val="7FAF10F5"/>
    <w:rsid w:val="7FBBF40B"/>
    <w:rsid w:val="7FD19487"/>
    <w:rsid w:val="7FDF1373"/>
    <w:rsid w:val="BB679970"/>
    <w:rsid w:val="BFDBDDC5"/>
    <w:rsid w:val="C9BAD826"/>
    <w:rsid w:val="D7F158F3"/>
    <w:rsid w:val="DBDF0DDE"/>
    <w:rsid w:val="DCEB56D0"/>
    <w:rsid w:val="DDFFF139"/>
    <w:rsid w:val="E33D528A"/>
    <w:rsid w:val="E3A39137"/>
    <w:rsid w:val="EF7D5941"/>
    <w:rsid w:val="F43BF78F"/>
    <w:rsid w:val="F677018C"/>
    <w:rsid w:val="FBBFF20A"/>
    <w:rsid w:val="FBF7BC10"/>
    <w:rsid w:val="FDA376F8"/>
    <w:rsid w:val="FDDD1930"/>
    <w:rsid w:val="FDF7C689"/>
    <w:rsid w:val="FDFFAFE4"/>
    <w:rsid w:val="FEF61A32"/>
    <w:rsid w:val="FEF71DDB"/>
    <w:rsid w:val="FEFF1C33"/>
    <w:rsid w:val="FF7F289D"/>
    <w:rsid w:val="FF7F6D39"/>
    <w:rsid w:val="FFEF3578"/>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imes New Roman" w:cs="Times New Roman" w:eastAsia="宋体" w:hAnsi="Times New Roman"/>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0" w:unhideWhenUsed="0"/>
    <w:lsdException w:name="heading 2" w:qFormat="1" w:uiPriority="0"/>
    <w:lsdException w:name="heading 3" w:qFormat="1" w:uiPriority="0"/>
    <w:lsdException w:name="heading 4" w:qFormat="1" w:uiPriority="0"/>
    <w:lsdException w:name="heading 5" w:qFormat="1" w:uiPriority="0"/>
    <w:lsdException w:name="heading 6" w:qFormat="1" w:uiPriority="0"/>
    <w:lsdException w:name="heading 7" w:qFormat="1" w:uiPriority="0"/>
    <w:lsdException w:name="heading 8" w:qFormat="1" w:uiPriority="0"/>
    <w:lsdException w:name="heading 9" w:qFormat="1"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qFormat="1" w:semiHidden="0" w:uiPriority="99"/>
    <w:lsdException w:name="header" w:qFormat="1" w:semiHidden="0" w:uiPriority="99" w:unhideWhenUsed="0"/>
    <w:lsdException w:name="footer" w:qFormat="1" w:semiHidden="0" w:uiPriority="99" w:unhideWhenUsed="0"/>
    <w:lsdException w:name="index heading" w:uiPriority="0"/>
    <w:lsdException w:name="caption" w:qFormat="1" w:uiPriority="0"/>
    <w:lsdException w:name="table of figures" w:uiPriority="0"/>
    <w:lsdException w:name="envelope address" w:uiPriority="0"/>
    <w:lsdException w:name="envelope return" w:uiPriority="0"/>
    <w:lsdException w:name="footnote reference" w:uiPriority="0"/>
    <w:lsdException w:name="annotation reference" w:qFormat="1"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qFormat="1" w:semiHidden="0" w:uiPriority="0" w:unhideWhenUsed="0"/>
    <w:lsdException w:name="Closing" w:uiPriority="0"/>
    <w:lsdException w:name="Signature" w:uiPriority="0"/>
    <w:lsdException w:name="Default Paragraph Font" w:qFormat="1"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qFormat="1"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qFormat="1" w:semiHidden="0" w:uiPriority="0"/>
    <w:lsdException w:name="FollowedHyperlink" w:uiPriority="0"/>
    <w:lsdException w:name="Strong" w:qFormat="1" w:semiHidden="0" w:uiPriority="0" w:unhideWhenUsed="0"/>
    <w:lsdException w:name="Emphasis" w:qFormat="1" w:semiHidden="0" w:uiPriority="0" w:unhideWhenUsed="0"/>
    <w:lsdException w:name="Document Map" w:uiPriority="0"/>
    <w:lsdException w:name="Plain Text" w:uiPriority="0"/>
    <w:lsdException w:name="E-mail Signature" w:uiPriority="0"/>
    <w:lsdException w:name="Normal (Web)" w:qFormat="1"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uiPriority="99"/>
    <w:lsdException w:name="annotation subject" w:qFormat="1"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semiHidden="0" w:uiPriority="0" w:unhideWhenUsed="0"/>
    <w:lsdException w:name="Table Grid" w:qFormat="1"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rPr>
      <w:rFonts w:ascii="宋体" w:cs="宋体" w:eastAsia="宋体" w:hAnsi="宋体"/>
      <w:sz w:val="24"/>
      <w:szCs w:val="24"/>
      <w:lang w:bidi="ar-SA" w:eastAsia="zh-CN" w:val="en-US"/>
    </w:rPr>
  </w:style>
  <w:style w:default="1" w:styleId="10" w:type="character">
    <w:name w:val="Default Paragraph Font"/>
    <w:semiHidden/>
    <w:unhideWhenUsed/>
    <w:qFormat/>
    <w:uiPriority w:val="1"/>
  </w:style>
  <w:style w:default="1" w:styleId="8" w:type="table">
    <w:name w:val="Normal Table"/>
    <w:semiHidden/>
    <w:unhideWhenUsed/>
    <w:qFormat/>
    <w:uiPriority w:val="99"/>
    <w:tblPr>
      <w:tblCellMar>
        <w:top w:type="dxa" w:w="0"/>
        <w:left w:type="dxa" w:w="108"/>
        <w:bottom w:type="dxa" w:w="0"/>
        <w:right w:type="dxa" w:w="108"/>
      </w:tblCellMar>
    </w:tblPr>
  </w:style>
  <w:style w:styleId="2" w:type="paragraph">
    <w:name w:val="annotation text"/>
    <w:basedOn w:val="1"/>
    <w:link w:val="17"/>
    <w:unhideWhenUsed/>
    <w:qFormat/>
    <w:uiPriority w:val="99"/>
  </w:style>
  <w:style w:styleId="3" w:type="paragraph">
    <w:name w:val="Balloon Text"/>
    <w:basedOn w:val="1"/>
    <w:link w:val="15"/>
    <w:qFormat/>
    <w:uiPriority w:val="0"/>
    <w:rPr>
      <w:sz w:val="18"/>
      <w:szCs w:val="18"/>
    </w:rPr>
  </w:style>
  <w:style w:styleId="4" w:type="paragraph">
    <w:name w:val="footer"/>
    <w:basedOn w:val="1"/>
    <w:link w:val="14"/>
    <w:qFormat/>
    <w:uiPriority w:val="99"/>
    <w:pPr>
      <w:tabs>
        <w:tab w:pos="4153" w:val="center"/>
        <w:tab w:pos="8306" w:val="right"/>
      </w:tabs>
      <w:snapToGrid w:val="0"/>
    </w:pPr>
    <w:rPr>
      <w:sz w:val="18"/>
      <w:szCs w:val="18"/>
    </w:rPr>
  </w:style>
  <w:style w:styleId="5" w:type="paragraph">
    <w:name w:val="header"/>
    <w:basedOn w:val="1"/>
    <w:link w:val="13"/>
    <w:qFormat/>
    <w:uiPriority w:val="99"/>
    <w:pPr>
      <w:pBdr>
        <w:bottom w:color="auto" w:space="1" w:sz="6" w:val="single"/>
      </w:pBdr>
      <w:tabs>
        <w:tab w:pos="4153" w:val="center"/>
        <w:tab w:pos="8306" w:val="right"/>
      </w:tabs>
      <w:snapToGrid w:val="0"/>
      <w:jc w:val="center"/>
    </w:pPr>
    <w:rPr>
      <w:sz w:val="18"/>
      <w:szCs w:val="18"/>
    </w:rPr>
  </w:style>
  <w:style w:styleId="6" w:type="paragraph">
    <w:name w:val="Normal (Web)"/>
    <w:basedOn w:val="1"/>
    <w:semiHidden/>
    <w:unhideWhenUsed/>
    <w:qFormat/>
    <w:uiPriority w:val="0"/>
    <w:pPr>
      <w:spacing w:afterAutospacing="1" w:beforeAutospacing="1"/>
    </w:pPr>
    <w:rPr>
      <w:rFonts w:cs="Times New Roman"/>
    </w:rPr>
  </w:style>
  <w:style w:styleId="7" w:type="paragraph">
    <w:name w:val="annotation subject"/>
    <w:basedOn w:val="2"/>
    <w:next w:val="2"/>
    <w:link w:val="18"/>
    <w:semiHidden/>
    <w:unhideWhenUsed/>
    <w:qFormat/>
    <w:uiPriority w:val="0"/>
    <w:rPr>
      <w:b/>
      <w:bCs/>
    </w:rPr>
  </w:style>
  <w:style w:styleId="9" w:type="table">
    <w:name w:val="Table Grid"/>
    <w:basedOn w:val="8"/>
    <w:qFormat/>
    <w:uiPriority w:val="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11" w:type="character">
    <w:name w:val="Hyperlink"/>
    <w:basedOn w:val="10"/>
    <w:unhideWhenUsed/>
    <w:qFormat/>
    <w:uiPriority w:val="0"/>
    <w:rPr>
      <w:color w:themeColor="hyperlink" w:val="0000FF"/>
      <w:u w:val="single"/>
      <w14:textFill>
        <w14:solidFill>
          <w14:schemeClr w14:val="hlink"/>
        </w14:solidFill>
      </w14:textFill>
    </w:rPr>
  </w:style>
  <w:style w:styleId="12" w:type="character">
    <w:name w:val="annotation reference"/>
    <w:basedOn w:val="10"/>
    <w:semiHidden/>
    <w:unhideWhenUsed/>
    <w:qFormat/>
    <w:uiPriority w:val="0"/>
    <w:rPr>
      <w:sz w:val="21"/>
      <w:szCs w:val="21"/>
    </w:rPr>
  </w:style>
  <w:style w:customStyle="1" w:styleId="13" w:type="character">
    <w:name w:val="页眉 Char"/>
    <w:link w:val="5"/>
    <w:qFormat/>
    <w:uiPriority w:val="99"/>
    <w:rPr>
      <w:rFonts w:ascii="宋体" w:cs="宋体" w:eastAsia="宋体" w:hAnsi="宋体"/>
      <w:sz w:val="18"/>
      <w:szCs w:val="18"/>
    </w:rPr>
  </w:style>
  <w:style w:customStyle="1" w:styleId="14" w:type="character">
    <w:name w:val="页脚 Char"/>
    <w:link w:val="4"/>
    <w:qFormat/>
    <w:uiPriority w:val="99"/>
    <w:rPr>
      <w:rFonts w:ascii="宋体" w:cs="宋体" w:eastAsia="宋体" w:hAnsi="宋体"/>
      <w:sz w:val="18"/>
      <w:szCs w:val="18"/>
    </w:rPr>
  </w:style>
  <w:style w:customStyle="1" w:styleId="15" w:type="character">
    <w:name w:val="批注框文本 Char"/>
    <w:link w:val="3"/>
    <w:qFormat/>
    <w:uiPriority w:val="0"/>
    <w:rPr>
      <w:rFonts w:ascii="宋体" w:cs="宋体" w:eastAsia="宋体" w:hAnsi="宋体"/>
      <w:sz w:val="18"/>
      <w:szCs w:val="18"/>
    </w:rPr>
  </w:style>
  <w:style w:customStyle="1" w:styleId="16" w:type="paragraph">
    <w:name w:val="普通(网站)1"/>
    <w:basedOn w:val="1"/>
    <w:qFormat/>
    <w:uiPriority w:val="0"/>
    <w:pPr>
      <w:spacing w:after="100" w:afterAutospacing="1" w:before="100" w:beforeAutospacing="1"/>
    </w:pPr>
  </w:style>
  <w:style w:customStyle="1" w:styleId="17" w:type="character">
    <w:name w:val="批注文字 Char"/>
    <w:basedOn w:val="10"/>
    <w:link w:val="2"/>
    <w:qFormat/>
    <w:uiPriority w:val="99"/>
    <w:rPr>
      <w:rFonts w:ascii="宋体" w:cs="宋体" w:hAnsi="宋体"/>
      <w:sz w:val="24"/>
      <w:szCs w:val="24"/>
    </w:rPr>
  </w:style>
  <w:style w:customStyle="1" w:styleId="18" w:type="character">
    <w:name w:val="批注主题 Char"/>
    <w:basedOn w:val="17"/>
    <w:link w:val="7"/>
    <w:semiHidden/>
    <w:qFormat/>
    <w:uiPriority w:val="0"/>
    <w:rPr>
      <w:rFonts w:ascii="宋体" w:cs="宋体" w:hAnsi="宋体"/>
      <w:b/>
      <w:bCs/>
      <w:sz w:val="24"/>
      <w:szCs w:val="24"/>
    </w:rPr>
  </w:style>
  <w:style w:styleId="19" w:type="paragraph">
    <w:name w:val="List Paragraph"/>
    <w:basedOn w:val="1"/>
    <w:qFormat/>
    <w:uiPriority w:val="34"/>
    <w:pPr>
      <w:ind w:firstLine="420" w:firstLineChars="200"/>
    </w:pPr>
  </w:style>
  <w:style w:customStyle="1" w:styleId="20" w:type="paragraph">
    <w:name w:val="修订1"/>
    <w:hidden/>
    <w:semiHidden/>
    <w:qFormat/>
    <w:uiPriority w:val="99"/>
    <w:rPr>
      <w:rFonts w:ascii="宋体" w:cs="宋体" w:eastAsia="宋体" w:hAnsi="宋体"/>
      <w:sz w:val="24"/>
      <w:szCs w:val="24"/>
      <w:lang w:bidi="ar-SA" w:eastAsia="zh-CN" w:val="en-US"/>
    </w:rPr>
  </w:style>
  <w:style w:customStyle="1" w:styleId="21" w:type="paragraph">
    <w:name w:val="修订2"/>
    <w:hidden/>
    <w:semiHidden/>
    <w:qFormat/>
    <w:uiPriority w:val="99"/>
    <w:rPr>
      <w:rFonts w:ascii="宋体" w:cs="宋体" w:eastAsia="宋体" w:hAnsi="宋体"/>
      <w:sz w:val="24"/>
      <w:szCs w:val="24"/>
      <w:lang w:bidi="ar-SA" w:eastAsia="zh-CN" w:val="en-US"/>
    </w:rPr>
  </w:style>
  <w:style w:customStyle="1" w:styleId="22" w:type="paragraph">
    <w:name w:val="Char Char"/>
    <w:basedOn w:val="1"/>
    <w:qFormat/>
    <w:uiPriority w:val="0"/>
    <w:pPr>
      <w:widowControl w:val="0"/>
      <w:jc w:val="both"/>
    </w:pPr>
    <w:rPr>
      <w:rFonts w:ascii="Times New Roman" w:cs="Times New Roman" w:hAnsi="Times New Roman"/>
      <w:kern w:val="2"/>
      <w:sz w:val="21"/>
      <w:szCs w:val="20"/>
    </w:rPr>
  </w:style>
  <w:style w:customStyle="1" w:styleId="23" w:type="paragraph">
    <w:name w:val="正文 New New New New New New New New New New New New New"/>
    <w:qFormat/>
    <w:uiPriority w:val="0"/>
    <w:pPr>
      <w:widowControl w:val="0"/>
      <w:jc w:val="both"/>
    </w:pPr>
    <w:rPr>
      <w:rFonts w:ascii="Times New Roman" w:cs="Times New Roman" w:eastAsia="仿宋_GB2312" w:hAnsi="Times New Roman"/>
      <w:kern w:val="2"/>
      <w:sz w:val="32"/>
      <w:szCs w:val="32"/>
      <w:lang w:bidi="ar-SA" w:eastAsia="zh-CN" w:val="en-US"/>
    </w:rPr>
  </w:style>
  <w:style w:customStyle="1" w:styleId="24" w:type="paragraph">
    <w:name w:val="正文 New New New New New New New New New New New"/>
    <w:qFormat/>
    <w:uiPriority w:val="0"/>
    <w:pPr>
      <w:autoSpaceDE w:val="0"/>
      <w:autoSpaceDN w:val="0"/>
      <w:adjustRightInd w:val="0"/>
    </w:pPr>
    <w:rPr>
      <w:rFonts w:ascii="宋体" w:cs="Times New Roman" w:eastAsia="宋体" w:hAnsi="Times New Roman"/>
      <w:lang w:bidi="ar-SA" w:eastAsia="zh-CN" w:val="en-US"/>
    </w:rPr>
  </w:style>
  <w:style w:customStyle="1" w:styleId="25" w:type="paragraph">
    <w:name w:val="修订3"/>
    <w:hidden/>
    <w:semiHidden/>
    <w:qFormat/>
    <w:uiPriority w:val="99"/>
    <w:rPr>
      <w:rFonts w:ascii="宋体" w:cs="宋体" w:eastAsia="宋体" w:hAnsi="宋体"/>
      <w:sz w:val="24"/>
      <w:szCs w:val="24"/>
      <w:lang w:bidi="ar-SA" w:eastAsia="zh-CN" w:val="en-US"/>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header1.xml" Type="http://schemas.openxmlformats.org/officeDocument/2006/relationships/header"/>
<Relationship Id="rId4" Target="footer1.xml" Type="http://schemas.openxmlformats.org/officeDocument/2006/relationships/footer"/>
<Relationship Id="rId5" Target="theme/theme1.xml" Type="http://schemas.openxmlformats.org/officeDocument/2006/relationships/theme"/>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4</Pages>
  <Words>598</Words>
  <Characters>3409</Characters>
  <Lines>28</Lines>
  <Paragraphs>7</Paragraphs>
  <TotalTime>20</TotalTime>
  <ScaleCrop>false</ScaleCrop>
  <LinksUpToDate>false</LinksUpToDate>
  <CharactersWithSpaces>4000</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2024-05-27T00:10:00Z</dcterms:created>
  <dc:creator>王晓明</dc:creator>
  <cp:lastModifiedBy>zy_jingliang_xylc@uos</cp:lastModifiedBy>
  <cp:lastPrinted>2024-06-06T01:24:00Z</cp:lastPrinted>
  <dcterms:modified xsi:type="dcterms:W3CDTF">2025-09-09T19:41:03Z</dcterms:modified>
  <cp:revision>76</cp:revision>
  <dc:title>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2052-12.8.2.21176</vt:lpwstr>
  </property>
  <property fmtid="{D5CDD505-2E9C-101B-9397-08002B2CF9AE}" name="ICV" pid="3">
    <vt:lpwstr>42DEE67BFA0D830075EEAF68B1337539_43</vt:lpwstr>
  </property>
  <property fmtid="{D5CDD505-2E9C-101B-9397-08002B2CF9AE}" name="KSOTemplateDocerSaveRecord" pid="4">
    <vt:lpwstr>eyJoZGlkIjoiNWMzMjVlNmQ3MWNjNzgzYTY0Y2Y3NjAxYzdhYWM2YWQiLCJ1c2VySWQiOiIyNzgzNzk1MzIifQ==</vt:lpwstr>
  </property>
</Properties>
</file>