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7E9CA63">
      <w:pPr>
        <w:shd w:val="clear" w:color="auto" w:fill="FFFFFF"/>
        <w:spacing w:line="300" w:lineRule="exact"/>
        <w:jc w:val="center"/>
        <w:outlineLvl w:val="1"/>
        <w:rPr>
          <w:rFonts w:ascii="Times New Roman" w:hAnsi="Times New Roman" w:eastAsia="黑体" w:cs="Times New Roman"/>
          <w:sz w:val="22"/>
        </w:rPr>
      </w:pPr>
      <w:bookmarkStart w:id="1" w:name="_GoBack"/>
      <w:bookmarkEnd w:id="1"/>
      <w:r>
        <w:rPr>
          <w:rFonts w:hint="eastAsia" w:ascii="Times New Roman" w:hAnsi="Times New Roman" w:eastAsia="黑体" w:cs="Times New Roman"/>
          <w:sz w:val="22"/>
        </w:rPr>
        <w:t>信银理财理财产品投资协议书</w:t>
      </w:r>
    </w:p>
    <w:p w14:paraId="1F05FED9">
      <w:pPr>
        <w:spacing w:line="300" w:lineRule="exact"/>
        <w:ind w:firstLine="480"/>
        <w:rPr>
          <w:rFonts w:ascii="Times New Roman" w:hAnsi="Times New Roman" w:eastAsia="楷体_GB2312" w:cs="Times New Roman"/>
          <w:sz w:val="20"/>
          <w:szCs w:val="20"/>
        </w:rPr>
      </w:pPr>
    </w:p>
    <w:p w14:paraId="440E9E3A">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甲方：投资者（投资者信息详见签署页）</w:t>
      </w:r>
    </w:p>
    <w:p w14:paraId="7FD8F746">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乙方：信银理财有限责任公司</w:t>
      </w:r>
    </w:p>
    <w:p w14:paraId="41934153">
      <w:pPr>
        <w:spacing w:line="300" w:lineRule="exact"/>
        <w:ind w:firstLine="480"/>
        <w:rPr>
          <w:rFonts w:ascii="Times New Roman" w:hAnsi="Times New Roman" w:eastAsia="楷体_GB2312" w:cs="Times New Roman"/>
          <w:sz w:val="20"/>
          <w:szCs w:val="20"/>
        </w:rPr>
      </w:pPr>
    </w:p>
    <w:p w14:paraId="493DE199">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经甲方和乙方平等协商，就甲方认购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申购乙方发行的理财产品（以下简称</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理财产品</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），达成本协议如下：</w:t>
      </w:r>
    </w:p>
    <w:p w14:paraId="65288FEE">
      <w:pPr>
        <w:spacing w:line="300" w:lineRule="exact"/>
        <w:ind w:firstLine="480"/>
        <w:rPr>
          <w:rFonts w:ascii="Times New Roman" w:hAnsi="Times New Roman" w:eastAsia="楷体_GB2312" w:cs="Times New Roman"/>
          <w:sz w:val="20"/>
          <w:szCs w:val="20"/>
        </w:rPr>
      </w:pPr>
    </w:p>
    <w:p w14:paraId="66047941">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一、适用范围</w:t>
      </w:r>
    </w:p>
    <w:p w14:paraId="54ACA82D">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甲方在认购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申购乙方发行的理财产品之前应签署本协议。本协议生效后，甲方认购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申购乙方发行的理财产品的，均适用本协议。</w:t>
      </w:r>
    </w:p>
    <w:p w14:paraId="7EBC9FF5">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本协议为规范甲乙双方在理财业务中权利与义务的法律文件，与甲方认购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申购理财产品对应的《信银理财理财产品产品说明书》《信银理财理财产品风险揭示书》等相关文件与本协议共同构成理财产品合同的有效组成部分，与本协议具有同等法律效力。甲方认购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申购乙方多支理财产品时，不同理财产品对应的《信银理财理财产品产品说明书》《信银理财理财产品风险揭示书》组成的理财产品合同互相独立。</w:t>
      </w:r>
    </w:p>
    <w:p w14:paraId="25518380">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本协议不作为甲方认购</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申购或持有理财产品的凭证。</w:t>
      </w:r>
    </w:p>
    <w:p w14:paraId="60268C81">
      <w:pPr>
        <w:spacing w:line="300" w:lineRule="exact"/>
        <w:ind w:firstLine="482"/>
        <w:rPr>
          <w:rFonts w:ascii="Times New Roman" w:hAnsi="Times New Roman" w:eastAsia="楷体_GB2312" w:cs="Times New Roman"/>
          <w:sz w:val="20"/>
          <w:szCs w:val="20"/>
        </w:rPr>
      </w:pPr>
    </w:p>
    <w:p w14:paraId="432E84F7">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二、风险提示</w:t>
      </w:r>
    </w:p>
    <w:p w14:paraId="6AAFCBC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本产品为</w:t>
      </w:r>
      <w:r>
        <w:rPr>
          <w:rFonts w:ascii="Times New Roman" w:hAnsi="Times New Roman" w:eastAsia="楷体_GB2312" w:cs="Times New Roman"/>
          <w:b/>
          <w:bCs/>
          <w:sz w:val="20"/>
          <w:szCs w:val="20"/>
        </w:rPr>
        <w:t>【固定收益类】</w:t>
      </w:r>
      <w:r>
        <w:rPr>
          <w:rFonts w:hint="eastAsia" w:ascii="Times New Roman" w:hAnsi="Times New Roman" w:eastAsia="楷体_GB2312" w:cs="Times New Roman"/>
          <w:b/>
          <w:bCs/>
          <w:sz w:val="20"/>
          <w:szCs w:val="20"/>
        </w:rPr>
        <w:t>产品</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具体投资对象</w:t>
      </w:r>
      <w:r>
        <w:rPr>
          <w:rFonts w:ascii="Times New Roman" w:hAnsi="Times New Roman" w:eastAsia="楷体_GB2312" w:cs="Times New Roman"/>
          <w:b/>
          <w:bCs/>
          <w:sz w:val="20"/>
          <w:szCs w:val="20"/>
        </w:rPr>
        <w:t>投资比例如下：</w:t>
      </w:r>
    </w:p>
    <w:tbl>
      <w:tblPr>
        <w:tblStyle w:val="7"/>
        <w:tblW w:w="3503" w:type="pct"/>
        <w:tblInd w:w="12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224"/>
        <w:gridCol w:w="1747"/>
      </w:tblGrid>
      <w:tr w14:paraId="5CB843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752A49AB">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资产种类</w:t>
            </w:r>
          </w:p>
        </w:tc>
        <w:tc>
          <w:tcPr>
            <w:tcW w:w="1463" w:type="pct"/>
            <w:vAlign w:val="center"/>
          </w:tcPr>
          <w:p w14:paraId="725908EC">
            <w:pPr>
              <w:ind w:right="29" w:rightChars="12"/>
              <w:jc w:val="center"/>
              <w:rPr>
                <w:rFonts w:ascii="楷体" w:hAnsi="楷体" w:eastAsia="楷体"/>
                <w:b/>
                <w:bCs/>
                <w:color w:val="000000"/>
                <w:sz w:val="20"/>
                <w:szCs w:val="20"/>
              </w:rPr>
            </w:pPr>
            <w:r>
              <w:rPr>
                <w:rFonts w:hint="eastAsia" w:ascii="楷体" w:hAnsi="楷体" w:eastAsia="楷体"/>
                <w:b/>
                <w:bCs/>
                <w:color w:val="000000"/>
                <w:sz w:val="20"/>
                <w:szCs w:val="20"/>
              </w:rPr>
              <w:t>投资比例</w:t>
            </w:r>
          </w:p>
        </w:tc>
      </w:tr>
      <w:tr w14:paraId="1327BD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240F5D8F">
            <w:pPr>
              <w:ind w:right="29" w:rightChars="12"/>
              <w:jc w:val="center"/>
              <w:rPr>
                <w:rFonts w:ascii="楷体" w:hAnsi="楷体" w:eastAsia="楷体"/>
                <w:color w:val="000000"/>
                <w:sz w:val="20"/>
                <w:szCs w:val="20"/>
              </w:rPr>
            </w:pPr>
            <w:r>
              <w:rPr>
                <w:rFonts w:hint="eastAsia" w:ascii="楷体" w:hAnsi="楷体" w:eastAsia="楷体"/>
                <w:color w:val="000000"/>
                <w:sz w:val="20"/>
                <w:szCs w:val="20"/>
              </w:rPr>
              <w:t>债权类资产</w:t>
            </w:r>
          </w:p>
        </w:tc>
        <w:tc>
          <w:tcPr>
            <w:tcW w:w="1463" w:type="pct"/>
            <w:vAlign w:val="center"/>
          </w:tcPr>
          <w:p w14:paraId="7C84F13D">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100%</w:t>
            </w:r>
            <w:r>
              <w:rPr>
                <w:rFonts w:hint="eastAsia" w:ascii="楷体" w:hAnsi="楷体" w:eastAsia="楷体"/>
                <w:sz w:val="20"/>
                <w:szCs w:val="20"/>
              </w:rPr>
              <w:t>】</w:t>
            </w:r>
          </w:p>
        </w:tc>
      </w:tr>
      <w:tr w14:paraId="48BC85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769DB994">
            <w:pPr>
              <w:ind w:right="29" w:rightChars="12"/>
              <w:jc w:val="center"/>
              <w:rPr>
                <w:rFonts w:ascii="楷体" w:hAnsi="楷体" w:eastAsia="楷体"/>
                <w:color w:val="000000"/>
                <w:sz w:val="20"/>
                <w:szCs w:val="20"/>
              </w:rPr>
            </w:pPr>
            <w:r>
              <w:rPr>
                <w:rFonts w:hint="eastAsia" w:ascii="楷体" w:hAnsi="楷体" w:eastAsia="楷体"/>
                <w:color w:val="000000"/>
                <w:sz w:val="20"/>
                <w:szCs w:val="20"/>
              </w:rPr>
              <w:t>其中</w:t>
            </w:r>
            <w:r>
              <w:rPr>
                <w:rFonts w:ascii="楷体" w:hAnsi="楷体" w:eastAsia="楷体"/>
                <w:color w:val="000000"/>
                <w:sz w:val="20"/>
                <w:szCs w:val="20"/>
              </w:rPr>
              <w:t>，非标准化债权类资产</w:t>
            </w:r>
          </w:p>
        </w:tc>
        <w:tc>
          <w:tcPr>
            <w:tcW w:w="1463" w:type="pct"/>
            <w:vAlign w:val="center"/>
          </w:tcPr>
          <w:p w14:paraId="1BE55A0E">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p>
        </w:tc>
      </w:tr>
      <w:tr w14:paraId="37A7C6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034D209C">
            <w:pPr>
              <w:ind w:right="29" w:rightChars="12"/>
              <w:jc w:val="center"/>
              <w:rPr>
                <w:rFonts w:ascii="楷体" w:hAnsi="楷体" w:eastAsia="楷体"/>
                <w:color w:val="000000"/>
                <w:sz w:val="20"/>
                <w:szCs w:val="20"/>
              </w:rPr>
            </w:pPr>
            <w:r>
              <w:rPr>
                <w:rFonts w:hint="eastAsia" w:ascii="楷体" w:hAnsi="楷体" w:eastAsia="楷体"/>
                <w:color w:val="000000"/>
                <w:sz w:val="20"/>
                <w:szCs w:val="20"/>
              </w:rPr>
              <w:t>权益类资产</w:t>
            </w:r>
          </w:p>
        </w:tc>
        <w:tc>
          <w:tcPr>
            <w:tcW w:w="1463" w:type="pct"/>
            <w:vAlign w:val="center"/>
          </w:tcPr>
          <w:p w14:paraId="40E8A251">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r w14:paraId="7B736E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537" w:type="pct"/>
            <w:vAlign w:val="center"/>
          </w:tcPr>
          <w:p w14:paraId="3A6DB1BC">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资产：持仓合约价值</w:t>
            </w:r>
          </w:p>
        </w:tc>
        <w:tc>
          <w:tcPr>
            <w:tcW w:w="1463" w:type="pct"/>
            <w:vAlign w:val="center"/>
          </w:tcPr>
          <w:p w14:paraId="1D485862">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r w14:paraId="2FB106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 w:hRule="atLeast"/>
        </w:trPr>
        <w:tc>
          <w:tcPr>
            <w:tcW w:w="3537" w:type="pct"/>
            <w:vAlign w:val="center"/>
          </w:tcPr>
          <w:p w14:paraId="165C9EB4">
            <w:pPr>
              <w:ind w:right="29" w:rightChars="12"/>
              <w:jc w:val="center"/>
              <w:rPr>
                <w:rFonts w:ascii="楷体" w:hAnsi="楷体" w:eastAsia="楷体"/>
                <w:color w:val="000000"/>
                <w:sz w:val="20"/>
                <w:szCs w:val="20"/>
              </w:rPr>
            </w:pPr>
            <w:r>
              <w:rPr>
                <w:rFonts w:hint="eastAsia" w:ascii="楷体" w:hAnsi="楷体" w:eastAsia="楷体"/>
                <w:color w:val="000000"/>
                <w:sz w:val="20"/>
                <w:szCs w:val="20"/>
              </w:rPr>
              <w:t>商品</w:t>
            </w:r>
            <w:r>
              <w:rPr>
                <w:rFonts w:ascii="楷体" w:hAnsi="楷体" w:eastAsia="楷体"/>
                <w:color w:val="000000"/>
                <w:sz w:val="20"/>
                <w:szCs w:val="20"/>
              </w:rPr>
              <w:t>及</w:t>
            </w:r>
            <w:r>
              <w:rPr>
                <w:rFonts w:hint="eastAsia" w:ascii="楷体" w:hAnsi="楷体" w:eastAsia="楷体"/>
                <w:color w:val="000000"/>
                <w:sz w:val="20"/>
                <w:szCs w:val="20"/>
              </w:rPr>
              <w:t>金融</w:t>
            </w:r>
            <w:r>
              <w:rPr>
                <w:rFonts w:ascii="楷体" w:hAnsi="楷体" w:eastAsia="楷体"/>
                <w:color w:val="000000"/>
                <w:sz w:val="20"/>
                <w:szCs w:val="20"/>
              </w:rPr>
              <w:t>衍生品类</w:t>
            </w:r>
            <w:r>
              <w:rPr>
                <w:rFonts w:hint="eastAsia" w:ascii="楷体" w:hAnsi="楷体" w:eastAsia="楷体"/>
                <w:color w:val="000000"/>
                <w:sz w:val="20"/>
                <w:szCs w:val="20"/>
              </w:rPr>
              <w:t>资产：衍生品账户权益</w:t>
            </w:r>
          </w:p>
        </w:tc>
        <w:tc>
          <w:tcPr>
            <w:tcW w:w="1463" w:type="pct"/>
            <w:vAlign w:val="center"/>
          </w:tcPr>
          <w:p w14:paraId="7A41218D">
            <w:pPr>
              <w:ind w:right="29" w:rightChars="12"/>
              <w:jc w:val="center"/>
              <w:rPr>
                <w:rFonts w:ascii="楷体" w:hAnsi="楷体" w:eastAsia="楷体"/>
                <w:color w:val="000000"/>
                <w:sz w:val="20"/>
                <w:szCs w:val="20"/>
              </w:rPr>
            </w:pPr>
            <w:r>
              <w:rPr>
                <w:rFonts w:hint="eastAsia" w:ascii="楷体" w:hAnsi="楷体" w:eastAsia="楷体"/>
                <w:sz w:val="20"/>
                <w:szCs w:val="20"/>
              </w:rPr>
              <w:t>【</w:t>
            </w:r>
            <w:r>
              <w:rPr>
                <w:rFonts w:ascii="楷体" w:hAnsi="楷体" w:eastAsia="楷体"/>
                <w:sz w:val="20"/>
                <w:szCs w:val="20"/>
              </w:rPr>
              <w:t>0%</w:t>
            </w:r>
            <w:r>
              <w:rPr>
                <w:rFonts w:hint="eastAsia" w:ascii="楷体" w:hAnsi="楷体" w:eastAsia="楷体"/>
                <w:sz w:val="20"/>
                <w:szCs w:val="20"/>
              </w:rPr>
              <w:t>】</w:t>
            </w:r>
          </w:p>
        </w:tc>
      </w:tr>
    </w:tbl>
    <w:p w14:paraId="356555E6">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投资者投资本产品可能面临的特定风险主要包括（但不限于）</w:t>
      </w:r>
    </w:p>
    <w:p w14:paraId="0B9D316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（1）投资债权类资产的风险</w:t>
      </w:r>
    </w:p>
    <w:p w14:paraId="287DC00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1）投资标准化债权类资产的风险</w:t>
      </w:r>
    </w:p>
    <w:p w14:paraId="7B3D4E98">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79FD0CEF">
      <w:pPr>
        <w:spacing w:line="300" w:lineRule="exact"/>
        <w:ind w:firstLine="480"/>
        <w:rPr>
          <w:rFonts w:ascii="Times New Roman" w:hAnsi="Times New Roman" w:eastAsia="楷体_GB2312" w:cs="Times New Roman"/>
          <w:b/>
          <w:bCs/>
          <w:sz w:val="20"/>
          <w:szCs w:val="20"/>
        </w:rPr>
      </w:pP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）投资非标准化债权类资产的风险</w:t>
      </w:r>
    </w:p>
    <w:p w14:paraId="7BE6266E">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非标债权类资产时可能面临以下风险：由于融资主体/增信主体/其他义务人还款履约能力可能的变化导致的信用风险（包括但不限于：融资主体提前还款、延期还款或逾期还款的风险；增信主体未能履行增信义务（例如：保证担保、差额补足、远期回购、流动性支持等增信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475D42AC">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2</w:t>
      </w:r>
      <w:r>
        <w:rPr>
          <w:rFonts w:hint="eastAsia" w:ascii="Times New Roman" w:hAnsi="Times New Roman" w:eastAsia="楷体_GB2312" w:cs="Times New Roman"/>
          <w:b/>
          <w:bCs/>
          <w:sz w:val="20"/>
          <w:szCs w:val="20"/>
        </w:rPr>
        <w:t>）投资权益类资产的风险</w:t>
      </w:r>
    </w:p>
    <w:p w14:paraId="5FD38BF0">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1）投资普通股票可能面临的风险</w:t>
      </w:r>
    </w:p>
    <w:p w14:paraId="51AC4CA7">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 xml:space="preserve">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 </w:t>
      </w:r>
    </w:p>
    <w:p w14:paraId="5A059409">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2）投资优先股可能面临的风险</w:t>
      </w:r>
    </w:p>
    <w:p w14:paraId="230CF04B">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先股只能挂牌转让等优先股可能的流通和转让限制导致的流动性风险等。</w:t>
      </w:r>
    </w:p>
    <w:p w14:paraId="426B2A9D">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w:t>
      </w:r>
      <w:r>
        <w:rPr>
          <w:rFonts w:ascii="Times New Roman" w:hAnsi="Times New Roman" w:eastAsia="楷体_GB2312" w:cs="Times New Roman"/>
          <w:b/>
          <w:bCs/>
          <w:sz w:val="20"/>
          <w:szCs w:val="20"/>
        </w:rPr>
        <w:t>3</w:t>
      </w:r>
      <w:r>
        <w:rPr>
          <w:rFonts w:hint="eastAsia" w:ascii="Times New Roman" w:hAnsi="Times New Roman" w:eastAsia="楷体_GB2312" w:cs="Times New Roman"/>
          <w:b/>
          <w:bCs/>
          <w:sz w:val="20"/>
          <w:szCs w:val="20"/>
        </w:rPr>
        <w:t>）投资商品及金融衍生品类资产的风险</w:t>
      </w:r>
    </w:p>
    <w:p w14:paraId="244E99CF">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本产品投资商品及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766F6CB1">
      <w:pPr>
        <w:spacing w:line="300" w:lineRule="exact"/>
        <w:ind w:firstLine="480"/>
        <w:rPr>
          <w:rFonts w:ascii="Times New Roman" w:hAnsi="Times New Roman" w:eastAsia="楷体_GB2312" w:cs="Times New Roman"/>
          <w:b/>
          <w:bCs/>
          <w:sz w:val="20"/>
          <w:szCs w:val="20"/>
        </w:rPr>
      </w:pPr>
    </w:p>
    <w:p w14:paraId="2BA9C1FB">
      <w:pPr>
        <w:spacing w:line="300" w:lineRule="exact"/>
        <w:ind w:firstLine="480"/>
        <w:rPr>
          <w:rFonts w:ascii="Times New Roman" w:hAnsi="Times New Roman" w:eastAsia="楷体_GB2312" w:cs="Times New Roman"/>
          <w:b/>
          <w:bCs/>
          <w:i/>
          <w:szCs w:val="20"/>
          <w:u w:val="single"/>
        </w:rPr>
      </w:pPr>
      <w:r>
        <w:rPr>
          <w:rFonts w:hint="eastAsia" w:ascii="Times New Roman" w:hAnsi="Times New Roman" w:eastAsia="楷体_GB2312" w:cs="Times New Roman"/>
          <w:b/>
          <w:bCs/>
          <w:i/>
          <w:szCs w:val="20"/>
          <w:u w:val="single"/>
        </w:rPr>
        <w:t>注：以上特定风险仅为列举性质，未能详尽列明投资本产品可能面临的全部风险和可能导致投资者投资本金及收益损失的所有因素。</w:t>
      </w:r>
    </w:p>
    <w:p w14:paraId="2A838171">
      <w:pPr>
        <w:spacing w:line="300" w:lineRule="exact"/>
        <w:ind w:firstLine="480"/>
        <w:rPr>
          <w:rFonts w:ascii="Times New Roman" w:hAnsi="Times New Roman" w:eastAsia="楷体_GB2312" w:cs="Times New Roman"/>
          <w:b/>
          <w:bCs/>
          <w:sz w:val="20"/>
          <w:szCs w:val="20"/>
        </w:rPr>
      </w:pPr>
    </w:p>
    <w:p w14:paraId="12099BED">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理财非存款、产品有风险、投资须谨慎，理财产品过往业绩不代表其未来表现，不等于理财产品实际收益。投资者投资理财产品的，请关注产品各类</w:t>
      </w:r>
      <w:r>
        <w:rPr>
          <w:rFonts w:ascii="Times New Roman" w:hAnsi="Times New Roman" w:eastAsia="楷体_GB2312" w:cs="Times New Roman"/>
          <w:b/>
          <w:bCs/>
          <w:sz w:val="20"/>
          <w:szCs w:val="20"/>
        </w:rPr>
        <w:t>投资对象</w:t>
      </w:r>
      <w:r>
        <w:rPr>
          <w:rFonts w:hint="eastAsia" w:ascii="Times New Roman" w:hAnsi="Times New Roman" w:eastAsia="楷体_GB2312" w:cs="Times New Roman"/>
          <w:b/>
          <w:bCs/>
          <w:sz w:val="20"/>
          <w:szCs w:val="20"/>
        </w:rPr>
        <w:t>的</w:t>
      </w:r>
      <w:r>
        <w:rPr>
          <w:rFonts w:ascii="Times New Roman" w:hAnsi="Times New Roman" w:eastAsia="楷体_GB2312" w:cs="Times New Roman"/>
          <w:b/>
          <w:bCs/>
          <w:sz w:val="20"/>
          <w:szCs w:val="20"/>
        </w:rPr>
        <w:t>投资比例及相应</w:t>
      </w:r>
      <w:r>
        <w:rPr>
          <w:rFonts w:hint="eastAsia" w:ascii="Times New Roman" w:hAnsi="Times New Roman" w:eastAsia="楷体_GB2312" w:cs="Times New Roman"/>
          <w:b/>
          <w:bCs/>
          <w:sz w:val="20"/>
          <w:szCs w:val="20"/>
        </w:rPr>
        <w:t>投资</w:t>
      </w:r>
      <w:r>
        <w:rPr>
          <w:rFonts w:ascii="Times New Roman" w:hAnsi="Times New Roman" w:eastAsia="楷体_GB2312" w:cs="Times New Roman"/>
          <w:b/>
          <w:bCs/>
          <w:sz w:val="20"/>
          <w:szCs w:val="20"/>
        </w:rPr>
        <w:t>风险</w:t>
      </w:r>
      <w:r>
        <w:rPr>
          <w:rFonts w:hint="eastAsia" w:ascii="Times New Roman" w:hAnsi="Times New Roman" w:eastAsia="楷体_GB2312" w:cs="Times New Roman"/>
          <w:b/>
          <w:bCs/>
          <w:sz w:val="20"/>
          <w:szCs w:val="20"/>
        </w:rPr>
        <w:t>，基于所投资的不同理财产品可能面临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请甲方仔细阅读认购</w:t>
      </w:r>
      <w:r>
        <w:rPr>
          <w:rFonts w:ascii="Times New Roman" w:hAnsi="Times New Roman" w:eastAsia="楷体_GB2312" w:cs="Times New Roman"/>
          <w:b/>
          <w:bCs/>
          <w:sz w:val="20"/>
          <w:szCs w:val="20"/>
        </w:rPr>
        <w:t>/</w:t>
      </w:r>
      <w:r>
        <w:rPr>
          <w:rFonts w:hint="eastAsia" w:ascii="Times New Roman" w:hAnsi="Times New Roman" w:eastAsia="楷体_GB2312" w:cs="Times New Roman"/>
          <w:b/>
          <w:bCs/>
          <w:sz w:val="20"/>
          <w:szCs w:val="20"/>
        </w:rPr>
        <w:t>申购的理财产品的《信银理财理财产品产品说明书》和《信银理财理财产品风险揭示书》中的相应条款。</w:t>
      </w:r>
    </w:p>
    <w:p w14:paraId="41E9120C">
      <w:pPr>
        <w:spacing w:line="300" w:lineRule="exact"/>
        <w:ind w:firstLine="482"/>
        <w:rPr>
          <w:rFonts w:ascii="Times New Roman" w:hAnsi="Times New Roman" w:eastAsia="楷体_GB2312" w:cs="Times New Roman"/>
          <w:sz w:val="20"/>
          <w:szCs w:val="20"/>
        </w:rPr>
      </w:pPr>
    </w:p>
    <w:p w14:paraId="15AF9EB4">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三、投资条款</w:t>
      </w:r>
    </w:p>
    <w:p w14:paraId="0D681D6F">
      <w:pPr>
        <w:spacing w:line="300" w:lineRule="exact"/>
        <w:ind w:firstLine="482"/>
        <w:rPr>
          <w:rFonts w:ascii="Times New Roman" w:hAnsi="Times New Roman" w:eastAsia="楷体_GB2312" w:cs="Times New Roman"/>
          <w:bCs/>
          <w:sz w:val="20"/>
          <w:szCs w:val="20"/>
        </w:rPr>
      </w:pPr>
      <w:r>
        <w:rPr>
          <w:rFonts w:hint="eastAsia" w:ascii="Times New Roman" w:hAnsi="Times New Roman" w:eastAsia="楷体_GB2312" w:cs="Times New Roman"/>
          <w:bCs/>
          <w:sz w:val="20"/>
          <w:szCs w:val="20"/>
        </w:rPr>
        <w:t>甲方认购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申购理财产品的具体认购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申购条件、流程、金额、份额、费用以及其他投资条款，由甲方实际认购</w:t>
      </w:r>
      <w:r>
        <w:rPr>
          <w:rFonts w:ascii="Times New Roman" w:hAnsi="Times New Roman" w:eastAsia="楷体_GB2312" w:cs="Times New Roman"/>
          <w:bCs/>
          <w:sz w:val="20"/>
          <w:szCs w:val="20"/>
        </w:rPr>
        <w:t>/</w:t>
      </w:r>
      <w:r>
        <w:rPr>
          <w:rFonts w:hint="eastAsia" w:ascii="Times New Roman" w:hAnsi="Times New Roman" w:eastAsia="楷体_GB2312" w:cs="Times New Roman"/>
          <w:bCs/>
          <w:sz w:val="20"/>
          <w:szCs w:val="20"/>
        </w:rPr>
        <w:t>申购的理财产品的《信银理财理财产品产品说明书》具体约定。</w:t>
      </w:r>
    </w:p>
    <w:p w14:paraId="25662064">
      <w:pPr>
        <w:spacing w:line="300" w:lineRule="exact"/>
        <w:ind w:firstLine="482"/>
        <w:rPr>
          <w:rFonts w:ascii="Times New Roman" w:hAnsi="Times New Roman" w:eastAsia="楷体_GB2312" w:cs="Times New Roman"/>
          <w:b/>
          <w:bCs/>
          <w:sz w:val="20"/>
          <w:szCs w:val="20"/>
        </w:rPr>
      </w:pPr>
    </w:p>
    <w:p w14:paraId="6E3DEE15">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四、甲方的权利与义务</w:t>
      </w:r>
    </w:p>
    <w:p w14:paraId="58E395C3">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（一）甲方具有完全民事行为能力，有完全适当的资格与能力订立并履行理财产品销售文件，不存在法律、行政法规有关规定禁止或限制投资理财产品的情形（适用于个人投资者）；</w:t>
      </w:r>
    </w:p>
    <w:p w14:paraId="2DF536AD">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销售文件所需的一切有关批准、许可、备案或者登记（适用于机构投资者）；</w:t>
      </w:r>
    </w:p>
    <w:p w14:paraId="333F66B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（二）甲方保证以真实身份投资本理财产品，保证提供给产品管理人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代销机构的信息和资料均真实、准确、完整、合法。如甲方的信息和</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或资料发生变更，应当及时书面告知产品管理人或代销机构；</w:t>
      </w:r>
    </w:p>
    <w:p w14:paraId="2254221F">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（三）甲方声明熟悉理财产品类型特征及不同销售渠道的法律法规规定；</w:t>
      </w:r>
    </w:p>
    <w:p w14:paraId="10ADB61D">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（四）甲方承诺：如委托他人购买本产品，代理人须出具具有法律效力的授权委托书；</w:t>
      </w:r>
    </w:p>
    <w:p w14:paraId="73302882">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（五）甲方保证理财投资资金来源和用途合法，保证可向产品管理人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代销机构提供合法筹集的证明文件；</w:t>
      </w:r>
    </w:p>
    <w:p w14:paraId="198F095A">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（六）甲方不得利用理财业务及理财产品销售文件项下理财产品从事违法活动；</w:t>
      </w:r>
    </w:p>
    <w:p w14:paraId="1F667A91">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（七）甲方保证遵守国家反洗钱法律、法规及相关政策要求，不从事涉及洗钱、恐怖融资、逃税、逃废债务、套取现金等违法违规活动，积极配合管理人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代销机构开展投资者身份识别、交易记录保存、投资者身份及交易背景尽职调查、大额和可疑交易报告等各项反洗钱工作，并按要求提供相关证明材料；</w:t>
      </w:r>
    </w:p>
    <w:p w14:paraId="3978E158">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（八）甲方不属于联合国、欧盟或美国等制裁名单，及中国政府部门或有权机关发布的涉恐及反洗钱相关风险名单内的企业或个人；不位于被联合国、欧盟或美国等制裁的国家和地区；</w:t>
      </w:r>
    </w:p>
    <w:p w14:paraId="6D69D08C">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59F5617C">
      <w:pPr>
        <w:spacing w:line="300" w:lineRule="exact"/>
        <w:ind w:firstLine="482"/>
        <w:rPr>
          <w:rFonts w:ascii="Times New Roman" w:hAnsi="Times New Roman" w:eastAsia="楷体_GB2312" w:cs="Times New Roman"/>
          <w:sz w:val="20"/>
          <w:szCs w:val="20"/>
        </w:rPr>
      </w:pPr>
    </w:p>
    <w:p w14:paraId="0F727410">
      <w:pPr>
        <w:spacing w:line="300" w:lineRule="exact"/>
        <w:ind w:firstLine="480"/>
        <w:rPr>
          <w:rFonts w:ascii="Times New Roman" w:hAnsi="Times New Roman" w:eastAsia="楷体_GB2312" w:cs="Times New Roman"/>
          <w:sz w:val="20"/>
          <w:szCs w:val="20"/>
        </w:rPr>
      </w:pPr>
      <w:r>
        <w:rPr>
          <w:rFonts w:hint="eastAsia" w:ascii="Times New Roman" w:hAnsi="Times New Roman" w:eastAsia="楷体_GB2312" w:cs="Times New Roman"/>
          <w:b/>
          <w:bCs/>
          <w:sz w:val="20"/>
          <w:szCs w:val="20"/>
        </w:rPr>
        <w:t>五、乙方的权利与义务</w:t>
      </w:r>
    </w:p>
    <w:p w14:paraId="34DB3E30">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（一）乙方具有开办理财业务的经营资质，保证以诚实守信、勤勉尽职的原则管理和运用理财资金；</w:t>
      </w:r>
    </w:p>
    <w:p w14:paraId="59ED9000">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（二）乙方具有完全适当的资格和能力订立与履行理财产品合同。</w:t>
      </w:r>
    </w:p>
    <w:p w14:paraId="35A9C4FD">
      <w:pPr>
        <w:spacing w:line="300" w:lineRule="exact"/>
        <w:ind w:firstLine="482"/>
        <w:rPr>
          <w:rFonts w:ascii="Times New Roman" w:hAnsi="Times New Roman" w:eastAsia="楷体_GB2312" w:cs="Times New Roman"/>
          <w:sz w:val="20"/>
          <w:szCs w:val="20"/>
        </w:rPr>
      </w:pPr>
    </w:p>
    <w:p w14:paraId="09BA44AB">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六、违约责任</w:t>
      </w:r>
    </w:p>
    <w:p w14:paraId="49E9007A">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双方因违反本协议约定而给对方造成损失的，违约方应赔偿因此给对方造成的直接损失。</w:t>
      </w:r>
    </w:p>
    <w:p w14:paraId="4CF6E9D0">
      <w:pPr>
        <w:spacing w:line="300" w:lineRule="exact"/>
        <w:ind w:firstLine="482"/>
        <w:rPr>
          <w:rFonts w:ascii="Times New Roman" w:hAnsi="Times New Roman" w:eastAsia="楷体_GB2312" w:cs="Times New Roman"/>
          <w:b/>
          <w:bCs/>
          <w:sz w:val="20"/>
          <w:szCs w:val="20"/>
        </w:rPr>
      </w:pPr>
    </w:p>
    <w:p w14:paraId="0AC4368B">
      <w:pPr>
        <w:spacing w:line="300" w:lineRule="exact"/>
        <w:ind w:firstLine="480"/>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七、免责内容</w:t>
      </w:r>
    </w:p>
    <w:p w14:paraId="246D2D64">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因法律法规或监管政策变化、自然灾害、意外事故、战争、系统故障、通讯故障等信银理财客观不能预见、不能避免、不能克服的不可抗力事件或意外事件，导致信银理财无法或延后履行本协议及《信银理财理财产品产品说明书》有关义务的，信银理财不承担责任，但因信银理财故意或重大过失造成的系统故障、通讯故障的除外。前述约定不免除因信银理财过错导致依法应由产品管理人承担的责任。乙方应在条件允许的情况下，采取必要的补救措施以减少不可抗力造成的损失</w:t>
      </w:r>
      <w:r>
        <w:rPr>
          <w:rFonts w:ascii="Times New Roman" w:hAnsi="Times New Roman" w:eastAsia="楷体_GB2312" w:cs="Times New Roman"/>
          <w:b/>
          <w:bCs/>
          <w:sz w:val="20"/>
          <w:szCs w:val="20"/>
        </w:rPr>
        <w:t>。</w:t>
      </w:r>
    </w:p>
    <w:p w14:paraId="3774AA7A">
      <w:pPr>
        <w:spacing w:line="300" w:lineRule="exact"/>
        <w:ind w:firstLine="482"/>
        <w:rPr>
          <w:rFonts w:ascii="Times New Roman" w:hAnsi="Times New Roman" w:eastAsia="楷体_GB2312" w:cs="Times New Roman"/>
          <w:b/>
          <w:bCs/>
          <w:sz w:val="20"/>
          <w:szCs w:val="20"/>
        </w:rPr>
      </w:pPr>
    </w:p>
    <w:p w14:paraId="0B732654">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bCs/>
          <w:sz w:val="20"/>
          <w:szCs w:val="20"/>
        </w:rPr>
        <w:t>八、争议解决</w:t>
      </w:r>
    </w:p>
    <w:p w14:paraId="5B92258D">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sz w:val="20"/>
          <w:szCs w:val="20"/>
        </w:rPr>
        <w:t>（一）本协议及其他理财产品合同适用中华人民共和国法律（为履行理财产品合同之目的，不包括中国香港特别行政区、澳门特别行政区及台湾地区法律）。</w:t>
      </w:r>
    </w:p>
    <w:p w14:paraId="10B7858A">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w:t>
      </w:r>
      <w:r>
        <w:rPr>
          <w:rFonts w:hint="eastAsia" w:ascii="Times New Roman" w:hAnsi="Times New Roman" w:eastAsia="楷体_GB2312" w:cs="Times New Roman"/>
          <w:b/>
          <w:sz w:val="20"/>
          <w:szCs w:val="20"/>
        </w:rPr>
        <w:t>本协议/</w:t>
      </w:r>
      <w:r>
        <w:rPr>
          <w:rFonts w:hint="eastAsia" w:ascii="Times New Roman" w:hAnsi="Times New Roman" w:eastAsia="楷体_GB2312" w:cs="Times New Roman"/>
          <w:b/>
          <w:bCs/>
          <w:sz w:val="20"/>
          <w:szCs w:val="20"/>
        </w:rPr>
        <w:t>理财产品合同引起的或与本协议/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6B8AC783">
      <w:pPr>
        <w:spacing w:line="300" w:lineRule="exact"/>
        <w:ind w:firstLine="482"/>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（三）在协商或仲裁期间，对于本协议/理财产品合同不涉及争议部分的条款，双方仍须履行。</w:t>
      </w:r>
    </w:p>
    <w:p w14:paraId="11BCE2F7">
      <w:pPr>
        <w:spacing w:line="300" w:lineRule="exact"/>
        <w:ind w:firstLine="482"/>
        <w:rPr>
          <w:rFonts w:ascii="Times New Roman" w:hAnsi="Times New Roman" w:eastAsia="楷体_GB2312" w:cs="Times New Roman"/>
          <w:b/>
          <w:sz w:val="20"/>
          <w:szCs w:val="20"/>
        </w:rPr>
      </w:pPr>
    </w:p>
    <w:p w14:paraId="4614D843">
      <w:pPr>
        <w:spacing w:line="300" w:lineRule="exact"/>
        <w:ind w:firstLine="480"/>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九、附则</w:t>
      </w:r>
    </w:p>
    <w:p w14:paraId="28B95CEE">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（一）本协议通过纸质形式签署的，自甲方签署（甲方为自然人的，应签字；甲方为机构或产品的，应加盖机构或产品管理人公章且其法定代表人或授权代表签章）且甲方产品认购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申购份额经乙方确认后生效。本协议通过电子形式签署的，自甲方通过乙方产品的各电子销售渠道（包括直销和代销）在线点击确认或勾选且甲方产品认购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申购份额经乙方确认后生效。甲方知悉并确认，乙方对于甲方认购</w:t>
      </w:r>
      <w:r>
        <w:rPr>
          <w:rFonts w:ascii="Times New Roman" w:hAnsi="Times New Roman" w:eastAsia="楷体_GB2312" w:cs="Times New Roman"/>
          <w:b/>
          <w:sz w:val="20"/>
          <w:szCs w:val="20"/>
        </w:rPr>
        <w:t>/</w:t>
      </w:r>
      <w:r>
        <w:rPr>
          <w:rFonts w:hint="eastAsia" w:ascii="Times New Roman" w:hAnsi="Times New Roman" w:eastAsia="楷体_GB2312" w:cs="Times New Roman"/>
          <w:b/>
          <w:sz w:val="20"/>
          <w:szCs w:val="20"/>
        </w:rPr>
        <w:t>申购份额的确认即视为乙方对于本协议的签署和认可，甲方不得以乙方未在本协议上盖章为由主张本协议无效。</w:t>
      </w:r>
    </w:p>
    <w:p w14:paraId="6A2EE116">
      <w:pPr>
        <w:spacing w:line="300" w:lineRule="exact"/>
        <w:ind w:firstLine="482"/>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（二）本协议条款与《信银理财理财产品产品说明书》条款不一致的，以《信银理财理财产品产品说明书》的约定为准。</w:t>
      </w:r>
    </w:p>
    <w:p w14:paraId="237E05E6">
      <w:pPr>
        <w:spacing w:line="300" w:lineRule="exact"/>
        <w:ind w:firstLine="482"/>
        <w:rPr>
          <w:rFonts w:ascii="Times New Roman" w:hAnsi="Times New Roman" w:eastAsia="楷体_GB2312" w:cs="Times New Roman"/>
          <w:b/>
          <w:sz w:val="20"/>
          <w:szCs w:val="20"/>
        </w:rPr>
      </w:pPr>
      <w:r>
        <w:rPr>
          <w:rFonts w:hint="eastAsia" w:ascii="Times New Roman" w:hAnsi="Times New Roman" w:eastAsia="楷体_GB2312" w:cs="Times New Roman"/>
          <w:b/>
          <w:sz w:val="20"/>
          <w:szCs w:val="20"/>
        </w:rPr>
        <w:t>（三）如果由于任何原因使本协议下的任何条款或者内容成为无效或者依法被撤销，本协议其他条款或内容的合法性，有效性和可执行性不受影响。</w:t>
      </w:r>
    </w:p>
    <w:p w14:paraId="34B51A87">
      <w:pPr>
        <w:spacing w:line="300" w:lineRule="exact"/>
        <w:rPr>
          <w:rFonts w:ascii="Times New Roman" w:hAnsi="Times New Roman" w:eastAsia="楷体_GB2312" w:cs="Times New Roman"/>
          <w:sz w:val="20"/>
          <w:szCs w:val="20"/>
        </w:rPr>
      </w:pPr>
    </w:p>
    <w:p w14:paraId="165BCCA3">
      <w:pPr>
        <w:spacing w:line="300" w:lineRule="exact"/>
        <w:rPr>
          <w:rFonts w:ascii="Times New Roman" w:hAnsi="Times New Roman" w:eastAsia="楷体_GB2312" w:cs="Times New Roman"/>
          <w:sz w:val="20"/>
          <w:szCs w:val="20"/>
        </w:rPr>
      </w:pPr>
    </w:p>
    <w:p w14:paraId="22C77BF2">
      <w:pPr>
        <w:spacing w:line="300" w:lineRule="exact"/>
        <w:rPr>
          <w:rFonts w:ascii="Times New Roman" w:hAnsi="Times New Roman" w:eastAsia="楷体_GB2312" w:cs="Times New Roman"/>
          <w:sz w:val="20"/>
          <w:szCs w:val="20"/>
        </w:rPr>
      </w:pPr>
    </w:p>
    <w:p w14:paraId="59EAB0A7">
      <w:pPr>
        <w:spacing w:line="300" w:lineRule="exact"/>
        <w:rPr>
          <w:rFonts w:ascii="Times New Roman" w:hAnsi="Times New Roman" w:eastAsia="楷体_GB2312" w:cs="Times New Roman"/>
          <w:sz w:val="20"/>
          <w:szCs w:val="20"/>
        </w:rPr>
      </w:pPr>
      <w:r>
        <w:rPr>
          <w:rFonts w:ascii="Times New Roman" w:hAnsi="Times New Roman" w:eastAsia="楷体_GB2312" w:cs="Times New Roman"/>
          <w:b/>
          <w:sz w:val="20"/>
          <w:szCs w:val="20"/>
        </w:rPr>
        <w:t>甲方</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个人投资者（签字）</w:t>
      </w:r>
      <w:r>
        <w:rPr>
          <w:rFonts w:ascii="Times New Roman" w:hAnsi="Times New Roman" w:eastAsia="楷体_GB2312" w:cs="Times New Roman"/>
          <w:sz w:val="20"/>
          <w:szCs w:val="20"/>
        </w:rPr>
        <w:t xml:space="preserve">:               </w:t>
      </w:r>
    </w:p>
    <w:p w14:paraId="1B87EA49">
      <w:pPr>
        <w:spacing w:line="300" w:lineRule="exact"/>
        <w:ind w:firstLine="600" w:firstLineChars="300"/>
        <w:rPr>
          <w:rFonts w:ascii="Times New Roman" w:hAnsi="Times New Roman" w:eastAsia="楷体_GB2312" w:cs="Times New Roman"/>
          <w:sz w:val="20"/>
          <w:szCs w:val="20"/>
        </w:rPr>
      </w:pPr>
    </w:p>
    <w:p w14:paraId="5AC657D0">
      <w:pPr>
        <w:spacing w:line="300" w:lineRule="exact"/>
        <w:ind w:firstLine="600" w:firstLineChars="300"/>
        <w:rPr>
          <w:rFonts w:ascii="Times New Roman" w:hAnsi="Times New Roman" w:eastAsia="楷体_GB2312" w:cs="Times New Roman"/>
          <w:sz w:val="20"/>
          <w:szCs w:val="20"/>
        </w:rPr>
      </w:pPr>
    </w:p>
    <w:p w14:paraId="4833B069">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机构投资者（公章）</w:t>
      </w:r>
      <w:r>
        <w:rPr>
          <w:rFonts w:ascii="Times New Roman" w:hAnsi="Times New Roman" w:eastAsia="楷体_GB2312" w:cs="Times New Roman"/>
          <w:sz w:val="20"/>
          <w:szCs w:val="20"/>
        </w:rPr>
        <w:t xml:space="preserve">:               </w:t>
      </w:r>
    </w:p>
    <w:p w14:paraId="02038756">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法定代表人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负责人</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授权代表（签字</w:t>
      </w:r>
      <w:r>
        <w:rPr>
          <w:rFonts w:ascii="Times New Roman" w:hAnsi="Times New Roman" w:eastAsia="楷体_GB2312" w:cs="Times New Roman"/>
          <w:sz w:val="20"/>
          <w:szCs w:val="20"/>
        </w:rPr>
        <w:t>/</w:t>
      </w:r>
      <w:r>
        <w:rPr>
          <w:rFonts w:hint="eastAsia" w:ascii="Times New Roman" w:hAnsi="Times New Roman" w:eastAsia="楷体_GB2312" w:cs="Times New Roman"/>
          <w:sz w:val="20"/>
          <w:szCs w:val="20"/>
        </w:rPr>
        <w:t>盖章）：</w:t>
      </w:r>
    </w:p>
    <w:p w14:paraId="5C6BA3E4">
      <w:pPr>
        <w:spacing w:line="300" w:lineRule="exact"/>
        <w:ind w:firstLine="600" w:firstLineChars="300"/>
        <w:rPr>
          <w:rFonts w:ascii="Times New Roman" w:hAnsi="Times New Roman" w:eastAsia="楷体_GB2312" w:cs="Times New Roman"/>
          <w:sz w:val="20"/>
          <w:szCs w:val="20"/>
        </w:rPr>
      </w:pPr>
    </w:p>
    <w:p w14:paraId="0623B529">
      <w:pPr>
        <w:spacing w:line="300" w:lineRule="exact"/>
        <w:ind w:firstLine="600" w:firstLineChars="300"/>
        <w:rPr>
          <w:rFonts w:ascii="Times New Roman" w:hAnsi="Times New Roman" w:eastAsia="楷体_GB2312" w:cs="Times New Roman"/>
          <w:sz w:val="20"/>
          <w:szCs w:val="20"/>
        </w:rPr>
      </w:pPr>
    </w:p>
    <w:p w14:paraId="287B3DC5">
      <w:pPr>
        <w:spacing w:line="300" w:lineRule="exact"/>
        <w:ind w:firstLine="600" w:firstLineChars="300"/>
        <w:rPr>
          <w:rFonts w:ascii="Times New Roman" w:hAnsi="Times New Roman" w:eastAsia="楷体_GB2312" w:cs="Times New Roman"/>
          <w:sz w:val="20"/>
          <w:szCs w:val="20"/>
        </w:rPr>
      </w:pPr>
      <w:r>
        <w:rPr>
          <w:rFonts w:hint="eastAsia" w:ascii="Times New Roman" w:hAnsi="Times New Roman" w:eastAsia="楷体_GB2312" w:cs="Times New Roman"/>
          <w:sz w:val="20"/>
          <w:szCs w:val="20"/>
        </w:rPr>
        <w:t>证件类别（个人投资者）：</w:t>
      </w:r>
      <w:r>
        <w:rPr>
          <w:rFonts w:ascii="Times New Roman" w:hAnsi="Times New Roman" w:eastAsia="楷体_GB2312" w:cs="Times New Roman"/>
          <w:sz w:val="20"/>
          <w:szCs w:val="20"/>
        </w:rPr>
        <w:t xml:space="preserve">             </w:t>
      </w:r>
    </w:p>
    <w:p w14:paraId="1AFD742D">
      <w:pPr>
        <w:spacing w:line="300" w:lineRule="exact"/>
        <w:ind w:firstLine="600" w:firstLineChars="300"/>
        <w:rPr>
          <w:rFonts w:ascii="Times New Roman" w:hAnsi="Times New Roman" w:eastAsia="楷体_GB2312" w:cs="Times New Roman"/>
          <w:sz w:val="20"/>
          <w:szCs w:val="20"/>
        </w:rPr>
      </w:pPr>
    </w:p>
    <w:p w14:paraId="22E99D45">
      <w:pPr>
        <w:spacing w:line="300" w:lineRule="exact"/>
        <w:ind w:firstLine="600" w:firstLineChars="300"/>
        <w:rPr>
          <w:rFonts w:ascii="Times New Roman" w:hAnsi="Times New Roman" w:eastAsia="楷体_GB2312" w:cs="Times New Roman"/>
          <w:sz w:val="20"/>
          <w:szCs w:val="20"/>
        </w:rPr>
      </w:pPr>
    </w:p>
    <w:p w14:paraId="797832EC">
      <w:pPr>
        <w:spacing w:line="300" w:lineRule="exact"/>
        <w:ind w:firstLine="600" w:firstLineChars="300"/>
        <w:rPr>
          <w:rFonts w:ascii="Times New Roman" w:hAnsi="Times New Roman" w:eastAsia="楷体_GB2312" w:cs="Times New Roman"/>
          <w:sz w:val="20"/>
          <w:szCs w:val="20"/>
        </w:rPr>
        <w:sectPr>
          <w:headerReference r:id="rId3" w:type="default"/>
          <w:footerReference r:id="rId4" w:type="default"/>
          <w:pgSz w:w="11906" w:h="16838"/>
          <w:pgMar w:top="1440" w:right="1800" w:bottom="1440" w:left="1800" w:header="851" w:footer="992" w:gutter="0"/>
          <w:cols w:space="720" w:num="1"/>
          <w:docGrid w:linePitch="312" w:charSpace="0"/>
        </w:sectPr>
      </w:pPr>
      <w:r>
        <w:rPr>
          <w:rFonts w:hint="eastAsia" w:ascii="Times New Roman" w:hAnsi="Times New Roman" w:eastAsia="楷体_GB2312" w:cs="Times New Roman"/>
          <w:sz w:val="20"/>
          <w:szCs w:val="20"/>
        </w:rPr>
        <w:t>证件号（个人投资者）：</w:t>
      </w:r>
      <w:r>
        <w:rPr>
          <w:rFonts w:ascii="Times New Roman" w:hAnsi="Times New Roman" w:eastAsia="楷体_GB2312" w:cs="Times New Roman"/>
          <w:sz w:val="20"/>
          <w:szCs w:val="20"/>
        </w:rPr>
        <w:t xml:space="preserve">                </w:t>
      </w:r>
    </w:p>
    <w:p w14:paraId="7F4C14B2">
      <w:pPr>
        <w:spacing w:line="300" w:lineRule="exact"/>
        <w:ind w:left="-821" w:leftChars="-342" w:right="-792" w:rightChars="-330"/>
        <w:jc w:val="center"/>
        <w:rPr>
          <w:rFonts w:ascii="黑体" w:hAnsi="楷体_GB2312" w:eastAsia="黑体" w:cs="黑体"/>
          <w:b/>
          <w:bCs/>
          <w:color w:val="000000" w:themeColor="text1"/>
          <w14:textFill>
            <w14:solidFill>
              <w14:schemeClr w14:val="tx1"/>
            </w14:solidFill>
          </w14:textFill>
        </w:rPr>
      </w:pPr>
      <w:r>
        <w:rPr>
          <w:rFonts w:hint="eastAsia" w:ascii="黑体" w:hAnsi="楷体_GB2312" w:eastAsia="黑体" w:cs="黑体"/>
          <w:b/>
          <w:bCs/>
          <w:color w:val="000000" w:themeColor="text1"/>
          <w14:textFill>
            <w14:solidFill>
              <w14:schemeClr w14:val="tx1"/>
            </w14:solidFill>
          </w14:textFill>
        </w:rPr>
        <w:t>信银理财理财产品风险揭示书</w:t>
      </w:r>
    </w:p>
    <w:p w14:paraId="24C2F06B">
      <w:pPr>
        <w:spacing w:line="300" w:lineRule="exact"/>
        <w:ind w:left="-821" w:leftChars="-342" w:right="-792" w:rightChars="-330"/>
        <w:jc w:val="center"/>
        <w:rPr>
          <w:rFonts w:ascii="楷体_GB2312" w:eastAsia="楷体_GB2312"/>
          <w:color w:val="000000" w:themeColor="text1"/>
          <w14:textFill>
            <w14:solidFill>
              <w14:schemeClr w14:val="tx1"/>
            </w14:solidFill>
          </w14:textFill>
        </w:rPr>
      </w:pPr>
      <w:r>
        <w:rPr>
          <w:rFonts w:ascii="黑体" w:eastAsia="黑体"/>
          <w:b/>
          <w:bCs/>
          <w:color w:val="000000" w:themeColor="text1"/>
          <w14:textFill>
            <w14:solidFill>
              <w14:schemeClr w14:val="tx1"/>
            </w14:solidFill>
          </w14:textFill>
        </w:rPr>
        <w:t> </w:t>
      </w:r>
    </w:p>
    <w:p w14:paraId="658E072B">
      <w:pPr>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尊敬的客户：</w:t>
      </w:r>
      <w:r>
        <w:rPr>
          <w:rFonts w:ascii="楷体_GB2312" w:hAnsi="Arial" w:eastAsia="楷体_GB2312" w:cs="楷体_GB2312"/>
          <w:color w:val="000000" w:themeColor="text1"/>
          <w14:textFill>
            <w14:solidFill>
              <w14:schemeClr w14:val="tx1"/>
            </w14:solidFill>
          </w14:textFill>
        </w:rPr>
        <w:t xml:space="preserve"> </w:t>
      </w:r>
    </w:p>
    <w:p w14:paraId="14B5F5B5">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理财资金管理运用过程中，可能会面临多种风险因素，包括但不限于信用风险、市场风险、流动性风险、提前终止风险、政策风险、信息传递风险、管理风险、延期清算风险、理财产品不成立风险、不可抗力及意外事件风险、理财本金全部损失风险、合作销售机构（代销机构）风险、操作风险、关联交易风险等风险。具体风险的含义，请您认真阅读本理财产品说明书中相应的风险揭示部分。</w:t>
      </w:r>
    </w:p>
    <w:p w14:paraId="239FE89D">
      <w:pPr>
        <w:ind w:firstLine="482" w:firstLineChars="200"/>
        <w:jc w:val="both"/>
        <w:rPr>
          <w:b/>
          <w:color w:val="000000" w:themeColor="text1"/>
          <w14:textFill>
            <w14:solidFill>
              <w14:schemeClr w14:val="tx1"/>
            </w14:solidFill>
          </w14:textFill>
        </w:rPr>
      </w:pPr>
      <w:r>
        <w:rPr>
          <w:rFonts w:hint="eastAsia" w:ascii="楷体_GB2312" w:hAnsi="Arial" w:eastAsia="楷体_GB2312" w:cs="楷体_GB2312"/>
          <w:b/>
          <w:color w:val="000000" w:themeColor="text1"/>
          <w14:textFill>
            <w14:solidFill>
              <w14:schemeClr w14:val="tx1"/>
            </w14:solidFill>
          </w14:textFill>
        </w:rPr>
        <w:t>由于相关风险因素可能导致您的本金及收益全部或部分损失，因此，在您选择购买本理财产品前，请仔细阅读理财产品销售文件，包括理财产品销售总协议、理财产品投资协议书、理财产品说明书、风险揭示书及客户权益须知等，了解本理财产品具体情况</w:t>
      </w:r>
      <w:r>
        <w:rPr>
          <w:rFonts w:hint="eastAsia" w:ascii="楷体_GB2312" w:hAnsi="Arial" w:eastAsia="楷体_GB2312" w:cs="楷体_GB2312"/>
          <w:b/>
          <w:bCs/>
          <w:color w:val="000000" w:themeColor="text1"/>
          <w14:textFill>
            <w14:solidFill>
              <w14:schemeClr w14:val="tx1"/>
            </w14:solidFill>
          </w14:textFill>
        </w:rPr>
        <w:t>。</w:t>
      </w:r>
    </w:p>
    <w:p w14:paraId="48AB89EE">
      <w:pPr>
        <w:ind w:firstLine="480" w:firstLineChars="200"/>
        <w:jc w:val="both"/>
        <w:rPr>
          <w:rFonts w:ascii="楷体_GB2312" w:eastAsia="楷体_GB2312"/>
          <w:color w:val="000000" w:themeColor="text1"/>
          <w14:textFill>
            <w14:solidFill>
              <w14:schemeClr w14:val="tx1"/>
            </w14:solidFill>
          </w14:textFill>
        </w:rPr>
      </w:pPr>
    </w:p>
    <w:p w14:paraId="77D74075">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Arial" w:hAnsi="Arial" w:eastAsia="楷体_GB2312" w:cs="楷体_GB2312"/>
          <w:color w:val="000000" w:themeColor="text1"/>
          <w14:textFill>
            <w14:solidFill>
              <w14:schemeClr w14:val="tx1"/>
            </w14:solidFill>
          </w14:textFill>
        </w:rPr>
        <w:t>本理财产品名称为</w:t>
      </w:r>
      <w:r>
        <w:rPr>
          <w:rFonts w:hint="eastAsia" w:ascii="楷体_GB2312" w:hAnsi="楷体_GB2312" w:eastAsia="楷体_GB2312" w:cs="楷体_GB2312"/>
          <w:b/>
          <w:bCs/>
          <w:color w:val="000000" w:themeColor="text1"/>
          <w14:textFill>
            <w14:solidFill>
              <w14:schemeClr w14:val="tx1"/>
            </w14:solidFill>
          </w14:textFill>
        </w:rPr>
        <w:t>【</w:t>
      </w:r>
      <w:r>
        <w:rPr>
          <w:rFonts w:hint="eastAsia" w:ascii="楷体_GB2312" w:hAnsi="楷体_GB2312" w:eastAsia="楷体_GB2312" w:cs="楷体_GB2312"/>
          <w:b/>
          <w:bCs/>
        </w:rPr>
        <w:t>信银理财安盈象固收稳利日开37号理财产品</w:t>
      </w:r>
      <w:r>
        <w:rPr>
          <w:rFonts w:ascii="楷体_GB2312" w:hAnsi="楷体_GB2312" w:eastAsia="楷体_GB2312" w:cs="楷体_GB2312"/>
          <w:b/>
          <w:bCs/>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，产品代码为【</w:t>
      </w:r>
      <w:r>
        <w:rPr>
          <w:rFonts w:ascii="楷体_GB2312" w:hAnsi="Arial" w:eastAsia="楷体_GB2312" w:cs="楷体_GB2312"/>
          <w:color w:val="000000" w:themeColor="text1"/>
          <w14:textFill>
            <w14:solidFill>
              <w14:schemeClr w14:val="tx1"/>
            </w14:solidFill>
          </w14:textFill>
        </w:rPr>
        <w:t>AF245807</w:t>
      </w:r>
      <w:r>
        <w:rPr>
          <w:rFonts w:hint="eastAsia" w:ascii="楷体_GB2312" w:hAnsi="Arial" w:eastAsia="楷体_GB2312" w:cs="楷体_GB2312"/>
          <w:color w:val="000000" w:themeColor="text1"/>
          <w14:textFill>
            <w14:solidFill>
              <w14:schemeClr w14:val="tx1"/>
            </w14:solidFill>
          </w14:textFill>
        </w:rPr>
        <w:t>】，类型为公募、【固定收益类</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、开放</w:t>
      </w:r>
      <w:r>
        <w:rPr>
          <w:rFonts w:ascii="楷体_GB2312" w:hAnsi="Arial" w:eastAsia="楷体_GB2312" w:cs="楷体_GB2312"/>
          <w:color w:val="000000" w:themeColor="text1"/>
          <w14:textFill>
            <w14:solidFill>
              <w14:schemeClr w14:val="tx1"/>
            </w14:solidFill>
          </w14:textFill>
        </w:rPr>
        <w:t>式</w:t>
      </w:r>
      <w:r>
        <w:rPr>
          <w:rFonts w:hint="eastAsia" w:ascii="楷体_GB2312" w:hAnsi="Arial" w:eastAsia="楷体_GB2312" w:cs="楷体_GB2312"/>
          <w:color w:val="000000" w:themeColor="text1"/>
          <w14:textFill>
            <w14:solidFill>
              <w14:schemeClr w14:val="tx1"/>
            </w14:solidFill>
          </w14:textFill>
        </w:rPr>
        <w:t>产品，产品无固定期限，风险评级为【P</w:t>
      </w:r>
      <w:r>
        <w:rPr>
          <w:rFonts w:ascii="楷体_GB2312" w:hAnsi="Arial" w:eastAsia="楷体_GB2312" w:cs="楷体_GB2312"/>
          <w:color w:val="000000" w:themeColor="text1"/>
          <w14:textFill>
            <w14:solidFill>
              <w14:schemeClr w14:val="tx1"/>
            </w14:solidFill>
          </w14:textFill>
        </w:rPr>
        <w:t>R2</w:t>
      </w:r>
      <w:r>
        <w:rPr>
          <w:rFonts w:hint="eastAsia" w:ascii="楷体_GB2312" w:hAnsi="Arial" w:eastAsia="楷体_GB2312" w:cs="楷体_GB2312"/>
          <w:color w:val="000000" w:themeColor="text1"/>
          <w14:textFill>
            <w14:solidFill>
              <w14:schemeClr w14:val="tx1"/>
            </w14:solidFill>
          </w14:textFill>
        </w:rPr>
        <w:t>】，适合购买客户为风险承受能力为【稳健型】及以上的客户。【</w:t>
      </w:r>
      <w:r>
        <w:rPr>
          <w:rFonts w:hint="eastAsia" w:ascii="楷体_GB2312" w:hAnsi="Arial" w:eastAsia="楷体_GB2312"/>
          <w:color w:val="000000" w:themeColor="text1"/>
          <w14:textFill>
            <w14:solidFill>
              <w14:schemeClr w14:val="tx1"/>
            </w14:solidFill>
          </w14:textFill>
        </w:rPr>
        <w:t>固定收益类产品仅是按照投资性质分类，并非指收益固定或保本。】</w:t>
      </w:r>
    </w:p>
    <w:p w14:paraId="17D0AFE8">
      <w:pPr>
        <w:ind w:firstLine="480" w:firstLineChars="200"/>
        <w:jc w:val="both"/>
        <w:rPr>
          <w:rFonts w:ascii="楷体_GB2312" w:hAnsi="Arial" w:eastAsia="楷体_GB2312" w:cs="楷体_GB2312"/>
          <w:color w:val="000000" w:themeColor="text1"/>
          <w14:textFill>
            <w14:solidFill>
              <w14:schemeClr w14:val="tx1"/>
            </w14:solidFill>
          </w14:textFill>
        </w:rPr>
      </w:pPr>
    </w:p>
    <w:p w14:paraId="3BF9243C">
      <w:pPr>
        <w:ind w:firstLine="480" w:firstLineChars="200"/>
        <w:jc w:val="both"/>
        <w:rPr>
          <w:rFonts w:ascii="楷体_GB2312" w:hAnsi="Arial" w:eastAsia="楷体_GB2312"/>
          <w:color w:val="000000" w:themeColor="text1"/>
          <w14:textFill>
            <w14:solidFill>
              <w14:schemeClr w14:val="tx1"/>
            </w14:solidFill>
          </w14:textFill>
        </w:rPr>
      </w:pPr>
      <w:r>
        <w:rPr>
          <w:rFonts w:hint="eastAsia" w:ascii="黑体" w:hAnsi="Times New Roman" w:eastAsia="黑体" w:cs="黑体"/>
          <w:color w:val="000000" w:themeColor="text1"/>
          <w14:textFill>
            <w14:solidFill>
              <w14:schemeClr w14:val="tx1"/>
            </w14:solidFill>
          </w14:textFill>
        </w:rPr>
        <w:t>重要提示</w:t>
      </w:r>
      <w:r>
        <w:rPr>
          <w:rFonts w:hint="eastAsia" w:ascii="楷体_GB2312" w:hAnsi="Arial" w:eastAsia="楷体_GB2312" w:cs="楷体_GB2312"/>
          <w:color w:val="000000" w:themeColor="text1"/>
          <w14:textFill>
            <w14:solidFill>
              <w14:schemeClr w14:val="tx1"/>
            </w14:solidFill>
          </w14:textFill>
        </w:rPr>
        <w:t>：信银理财</w:t>
      </w:r>
      <w:r>
        <w:rPr>
          <w:rFonts w:ascii="楷体_GB2312" w:hAnsi="Arial" w:eastAsia="楷体_GB2312" w:cs="楷体_GB2312"/>
          <w:color w:val="000000" w:themeColor="text1"/>
          <w14:textFill>
            <w14:solidFill>
              <w14:schemeClr w14:val="tx1"/>
            </w14:solidFill>
          </w14:textFill>
        </w:rPr>
        <w:t>作为本理财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管理人承诺以诚实守信、</w:t>
      </w:r>
      <w:r>
        <w:rPr>
          <w:rFonts w:hint="eastAsia" w:ascii="楷体_GB2312" w:hAnsi="Arial" w:eastAsia="楷体_GB2312" w:cs="楷体_GB2312"/>
          <w:color w:val="000000" w:themeColor="text1"/>
          <w14:textFill>
            <w14:solidFill>
              <w14:schemeClr w14:val="tx1"/>
            </w14:solidFill>
          </w14:textFill>
        </w:rPr>
        <w:t>勤勉</w:t>
      </w:r>
      <w:r>
        <w:rPr>
          <w:rFonts w:ascii="楷体_GB2312" w:hAnsi="Arial" w:eastAsia="楷体_GB2312" w:cs="楷体_GB2312"/>
          <w:color w:val="000000" w:themeColor="text1"/>
          <w14:textFill>
            <w14:solidFill>
              <w14:schemeClr w14:val="tx1"/>
            </w14:solidFill>
          </w14:textFill>
        </w:rPr>
        <w:t>尽职的原则管理和运用理财产品</w:t>
      </w:r>
      <w:r>
        <w:rPr>
          <w:rFonts w:hint="eastAsia" w:ascii="楷体_GB2312" w:hAnsi="Arial" w:eastAsia="楷体_GB2312" w:cs="楷体_GB2312"/>
          <w:color w:val="000000" w:themeColor="text1"/>
          <w14:textFill>
            <w14:solidFill>
              <w14:schemeClr w14:val="tx1"/>
            </w14:solidFill>
          </w14:textFill>
        </w:rPr>
        <w:t>资金</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但</w:t>
      </w:r>
      <w:r>
        <w:rPr>
          <w:rFonts w:ascii="楷体_GB2312" w:hAnsi="Arial" w:eastAsia="楷体_GB2312" w:cs="楷体_GB2312"/>
          <w:b/>
          <w:color w:val="000000" w:themeColor="text1"/>
          <w14:textFill>
            <w14:solidFill>
              <w14:schemeClr w14:val="tx1"/>
            </w14:solidFill>
          </w14:textFill>
        </w:rPr>
        <w:t>不保证</w:t>
      </w:r>
      <w:r>
        <w:rPr>
          <w:rFonts w:hint="eastAsia" w:ascii="楷体_GB2312" w:hAnsi="Arial" w:eastAsia="楷体_GB2312" w:cs="楷体_GB2312"/>
          <w:b/>
          <w:color w:val="000000" w:themeColor="text1"/>
          <w14:textFill>
            <w14:solidFill>
              <w14:schemeClr w14:val="tx1"/>
            </w14:solidFill>
          </w14:textFill>
        </w:rPr>
        <w:t>本金和</w:t>
      </w:r>
      <w:r>
        <w:rPr>
          <w:rFonts w:ascii="楷体_GB2312" w:hAnsi="Arial" w:eastAsia="楷体_GB2312" w:cs="楷体_GB2312"/>
          <w:b/>
          <w:color w:val="000000" w:themeColor="text1"/>
          <w14:textFill>
            <w14:solidFill>
              <w14:schemeClr w14:val="tx1"/>
            </w14:solidFill>
          </w14:textFill>
        </w:rPr>
        <w:t>收益，您可能因市场变动</w:t>
      </w:r>
      <w:r>
        <w:rPr>
          <w:rFonts w:hint="eastAsia" w:ascii="楷体_GB2312" w:hAnsi="Arial" w:eastAsia="楷体_GB2312" w:cs="楷体_GB2312"/>
          <w:b/>
          <w:color w:val="000000" w:themeColor="text1"/>
          <w14:textFill>
            <w14:solidFill>
              <w14:schemeClr w14:val="tx1"/>
            </w14:solidFill>
          </w14:textFill>
        </w:rPr>
        <w:t>而</w:t>
      </w:r>
      <w:r>
        <w:rPr>
          <w:rFonts w:ascii="楷体_GB2312" w:hAnsi="Arial" w:eastAsia="楷体_GB2312" w:cs="楷体_GB2312"/>
          <w:b/>
          <w:color w:val="000000" w:themeColor="text1"/>
          <w14:textFill>
            <w14:solidFill>
              <w14:schemeClr w14:val="tx1"/>
            </w14:solidFill>
          </w14:textFill>
        </w:rPr>
        <w:t>损失全部本金</w:t>
      </w:r>
      <w:r>
        <w:rPr>
          <w:rFonts w:hint="eastAsia" w:ascii="楷体_GB2312" w:hAnsi="Arial" w:eastAsia="楷体_GB2312" w:cs="楷体_GB2312"/>
          <w:b/>
          <w:color w:val="000000" w:themeColor="text1"/>
          <w14:textFill>
            <w14:solidFill>
              <w14:schemeClr w14:val="tx1"/>
            </w14:solidFill>
          </w14:textFill>
        </w:rPr>
        <w:t>且</w:t>
      </w:r>
      <w:r>
        <w:rPr>
          <w:rFonts w:ascii="楷体_GB2312" w:hAnsi="Arial" w:eastAsia="楷体_GB2312" w:cs="楷体_GB2312"/>
          <w:b/>
          <w:color w:val="000000" w:themeColor="text1"/>
          <w14:textFill>
            <w14:solidFill>
              <w14:schemeClr w14:val="tx1"/>
            </w14:solidFill>
          </w14:textFill>
        </w:rPr>
        <w:t>无法取得任何收益</w:t>
      </w:r>
      <w:r>
        <w:rPr>
          <w:rFonts w:hint="eastAsia" w:ascii="楷体_GB2312" w:hAnsi="Arial" w:eastAsia="楷体_GB2312" w:cs="楷体_GB2312"/>
          <w:color w:val="000000" w:themeColor="text1"/>
          <w14:textFill>
            <w14:solidFill>
              <w14:schemeClr w14:val="tx1"/>
            </w14:solidFill>
          </w14:textFill>
        </w:rPr>
        <w:t>。</w:t>
      </w:r>
      <w:r>
        <w:rPr>
          <w:rFonts w:hint="eastAsia" w:ascii="楷体" w:hAnsi="楷体" w:eastAsia="楷体"/>
          <w:b/>
        </w:rPr>
        <w:t>理财产品过往业绩不代表其未来表现，不等于理财产品实际收益，投资须谨慎。</w:t>
      </w:r>
      <w:r>
        <w:rPr>
          <w:rFonts w:hint="eastAsia" w:ascii="楷体_GB2312" w:hAnsi="Arial" w:eastAsia="楷体_GB2312" w:cs="楷体_GB2312"/>
          <w:color w:val="000000" w:themeColor="text1"/>
          <w14:textFill>
            <w14:solidFill>
              <w14:schemeClr w14:val="tx1"/>
            </w14:solidFill>
          </w14:textFill>
        </w:rPr>
        <w:t>信银理财提醒您</w:t>
      </w:r>
      <w:r>
        <w:rPr>
          <w:rFonts w:ascii="楷体_GB2312" w:hAnsi="Arial" w:eastAsia="楷体_GB2312" w:cs="楷体_GB2312"/>
          <w:color w:val="000000" w:themeColor="text1"/>
          <w14:textFill>
            <w14:solidFill>
              <w14:schemeClr w14:val="tx1"/>
            </w14:solidFill>
          </w14:textFill>
        </w:rPr>
        <w:t>理财</w:t>
      </w:r>
      <w:r>
        <w:rPr>
          <w:rFonts w:hint="eastAsia" w:ascii="楷体_GB2312" w:hAnsi="Arial" w:eastAsia="楷体_GB2312" w:cs="楷体_GB2312"/>
          <w:color w:val="000000" w:themeColor="text1"/>
          <w14:textFill>
            <w14:solidFill>
              <w14:schemeClr w14:val="tx1"/>
            </w14:solidFill>
          </w14:textFill>
        </w:rPr>
        <w:t>产品</w:t>
      </w:r>
      <w:r>
        <w:rPr>
          <w:rFonts w:ascii="楷体_GB2312" w:hAnsi="Arial" w:eastAsia="楷体_GB2312" w:cs="楷体_GB2312"/>
          <w:color w:val="000000" w:themeColor="text1"/>
          <w14:textFill>
            <w14:solidFill>
              <w14:schemeClr w14:val="tx1"/>
            </w14:solidFill>
          </w14:textFill>
        </w:rPr>
        <w:t>投资</w:t>
      </w:r>
      <w:r>
        <w:rPr>
          <w:rFonts w:hint="eastAsia" w:ascii="楷体_GB2312" w:hAnsi="Arial" w:eastAsia="楷体_GB2312" w:cs="楷体_GB2312"/>
          <w:color w:val="000000" w:themeColor="text1"/>
          <w14:textFill>
            <w14:solidFill>
              <w14:schemeClr w14:val="tx1"/>
            </w14:solidFill>
          </w14:textFill>
        </w:rPr>
        <w:t>风险</w:t>
      </w:r>
      <w:r>
        <w:rPr>
          <w:rFonts w:ascii="楷体_GB2312" w:hAnsi="Arial" w:eastAsia="楷体_GB2312" w:cs="楷体_GB2312"/>
          <w:color w:val="000000" w:themeColor="text1"/>
          <w14:textFill>
            <w14:solidFill>
              <w14:schemeClr w14:val="tx1"/>
            </w14:solidFill>
          </w14:textFill>
        </w:rPr>
        <w:t>由</w:t>
      </w:r>
      <w:r>
        <w:rPr>
          <w:rFonts w:hint="eastAsia" w:ascii="楷体_GB2312" w:hAnsi="Arial" w:eastAsia="楷体_GB2312" w:cs="楷体_GB2312"/>
          <w:color w:val="000000" w:themeColor="text1"/>
          <w14:textFill>
            <w14:solidFill>
              <w14:schemeClr w14:val="tx1"/>
            </w14:solidFill>
          </w14:textFill>
        </w:rPr>
        <w:t>买者自负</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您应充分认识投资风险，谨慎投资！</w:t>
      </w:r>
      <w:r>
        <w:rPr>
          <w:rFonts w:ascii="楷体_GB2312" w:hAnsi="Arial" w:eastAsia="楷体_GB2312"/>
          <w:color w:val="000000" w:themeColor="text1"/>
          <w14:textFill>
            <w14:solidFill>
              <w14:schemeClr w14:val="tx1"/>
            </w14:solidFill>
          </w14:textFill>
        </w:rPr>
        <w:t> </w:t>
      </w:r>
    </w:p>
    <w:p w14:paraId="5FEFDA2D">
      <w:pPr>
        <w:ind w:firstLine="480" w:firstLineChars="200"/>
        <w:jc w:val="both"/>
        <w:rPr>
          <w:rFonts w:ascii="楷体_GB2312" w:hAnsi="Arial" w:eastAsia="楷体_GB2312"/>
          <w:color w:val="000000" w:themeColor="text1"/>
          <w14:textFill>
            <w14:solidFill>
              <w14:schemeClr w14:val="tx1"/>
            </w14:solidFill>
          </w14:textFill>
        </w:rPr>
      </w:pPr>
    </w:p>
    <w:p w14:paraId="0F91DC06">
      <w:pPr>
        <w:ind w:firstLine="482" w:firstLineChars="200"/>
        <w:jc w:val="both"/>
        <w:rPr>
          <w:rFonts w:ascii="楷体_GB2312" w:hAnsi="楷体_GB2312" w:eastAsia="楷体_GB2312" w:cs="楷体_GB2312"/>
          <w:b/>
          <w:bCs/>
          <w:color w:val="000000" w:themeColor="text1"/>
          <w14:textFill>
            <w14:solidFill>
              <w14:schemeClr w14:val="tx1"/>
            </w14:solidFill>
          </w14:textFill>
        </w:rPr>
      </w:pPr>
      <w:r>
        <w:rPr>
          <w:rFonts w:hint="eastAsia" w:ascii="楷体_GB2312" w:hAnsi="楷体_GB2312" w:eastAsia="楷体_GB2312" w:cs="楷体_GB2312"/>
          <w:b/>
          <w:bCs/>
          <w:color w:val="000000" w:themeColor="text1"/>
          <w14:textFill>
            <w14:solidFill>
              <w14:schemeClr w14:val="tx1"/>
            </w14:solidFill>
          </w14:textFill>
        </w:rPr>
        <w:t>【示例】：若投资者购买本理财产品，假设理财产品本金为</w:t>
      </w:r>
      <w:r>
        <w:rPr>
          <w:rFonts w:ascii="楷体_GB2312" w:hAnsi="楷体_GB2312" w:eastAsia="楷体_GB2312" w:cs="楷体_GB2312"/>
          <w:b/>
          <w:bCs/>
          <w:color w:val="000000" w:themeColor="text1"/>
          <w14:textFill>
            <w14:solidFill>
              <w14:schemeClr w14:val="tx1"/>
            </w14:solidFill>
          </w14:textFill>
        </w:rPr>
        <w:t>1</w:t>
      </w:r>
      <w:r>
        <w:rPr>
          <w:rFonts w:hint="eastAsia" w:ascii="楷体_GB2312" w:hAnsi="楷体_GB2312" w:eastAsia="楷体_GB2312" w:cs="楷体_GB2312"/>
          <w:b/>
          <w:bCs/>
          <w:color w:val="000000" w:themeColor="text1"/>
          <w14:textFill>
            <w14:solidFill>
              <w14:schemeClr w14:val="tx1"/>
            </w14:solidFill>
          </w14:textFill>
        </w:rPr>
        <w:t>.00亿元，在最不利情况下，理财本金及收益全部损失。</w:t>
      </w:r>
    </w:p>
    <w:p w14:paraId="69B28654">
      <w:pPr>
        <w:ind w:firstLine="482" w:firstLineChars="200"/>
        <w:jc w:val="both"/>
        <w:rPr>
          <w:rFonts w:ascii="楷体_GB2312" w:hAnsi="楷体_GB2312" w:eastAsia="楷体_GB2312" w:cs="楷体_GB2312"/>
          <w:b/>
          <w:bCs/>
          <w:color w:val="000000" w:themeColor="text1"/>
          <w14:textFill>
            <w14:solidFill>
              <w14:schemeClr w14:val="tx1"/>
            </w14:solidFill>
          </w14:textFill>
        </w:rPr>
      </w:pPr>
    </w:p>
    <w:p w14:paraId="00D82E8B">
      <w:pPr>
        <w:ind w:firstLine="482" w:firstLineChars="200"/>
        <w:jc w:val="both"/>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理财非存款</w:t>
      </w:r>
      <w:r>
        <w:rPr>
          <w:rFonts w:ascii="黑体" w:hAnsi="黑体" w:eastAsia="黑体"/>
          <w:b/>
          <w:color w:val="000000" w:themeColor="text1"/>
          <w14:textFill>
            <w14:solidFill>
              <w14:schemeClr w14:val="tx1"/>
            </w14:solidFill>
          </w14:textFill>
        </w:rPr>
        <w:t>、产品</w:t>
      </w:r>
      <w:r>
        <w:rPr>
          <w:rFonts w:hint="eastAsia" w:ascii="黑体" w:hAnsi="黑体" w:eastAsia="黑体"/>
          <w:b/>
          <w:color w:val="000000" w:themeColor="text1"/>
          <w14:textFill>
            <w14:solidFill>
              <w14:schemeClr w14:val="tx1"/>
            </w14:solidFill>
          </w14:textFill>
        </w:rPr>
        <w:t>有</w:t>
      </w:r>
      <w:r>
        <w:rPr>
          <w:rFonts w:ascii="黑体" w:hAnsi="黑体" w:eastAsia="黑体"/>
          <w:b/>
          <w:color w:val="000000" w:themeColor="text1"/>
          <w14:textFill>
            <w14:solidFill>
              <w14:schemeClr w14:val="tx1"/>
            </w14:solidFill>
          </w14:textFill>
        </w:rPr>
        <w:t>风险、投资须谨慎</w:t>
      </w:r>
      <w:r>
        <w:rPr>
          <w:rFonts w:hint="eastAsia" w:ascii="黑体" w:hAnsi="黑体" w:eastAsia="黑体"/>
          <w:b/>
          <w:color w:val="000000" w:themeColor="text1"/>
          <w14:textFill>
            <w14:solidFill>
              <w14:schemeClr w14:val="tx1"/>
            </w14:solidFill>
          </w14:textFill>
        </w:rPr>
        <w:t>！</w:t>
      </w:r>
    </w:p>
    <w:p w14:paraId="007E3ECD">
      <w:pPr>
        <w:ind w:firstLine="482" w:firstLineChars="200"/>
        <w:jc w:val="both"/>
        <w:rPr>
          <w:rFonts w:ascii="黑体" w:hAnsi="黑体" w:eastAsia="黑体"/>
          <w:b/>
          <w:color w:val="000000" w:themeColor="text1"/>
          <w14:textFill>
            <w14:solidFill>
              <w14:schemeClr w14:val="tx1"/>
            </w14:solidFill>
          </w14:textFill>
        </w:rPr>
      </w:pPr>
    </w:p>
    <w:p w14:paraId="063BE9B6">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如影响您风险承受能力的因素发生变化，请及时告知信银理财或</w:t>
      </w:r>
      <w:r>
        <w:rPr>
          <w:rFonts w:ascii="楷体_GB2312" w:hAnsi="Arial" w:eastAsia="楷体_GB2312" w:cs="楷体_GB2312"/>
          <w:color w:val="000000" w:themeColor="text1"/>
          <w14:textFill>
            <w14:solidFill>
              <w14:schemeClr w14:val="tx1"/>
            </w14:solidFill>
          </w14:textFill>
        </w:rPr>
        <w:t>代销机构</w:t>
      </w:r>
      <w:r>
        <w:rPr>
          <w:rFonts w:hint="eastAsia" w:ascii="楷体_GB2312" w:hAnsi="Arial" w:eastAsia="楷体_GB2312" w:cs="楷体_GB2312"/>
          <w:color w:val="000000" w:themeColor="text1"/>
          <w14:textFill>
            <w14:solidFill>
              <w14:schemeClr w14:val="tx1"/>
            </w14:solidFill>
          </w14:textFill>
        </w:rPr>
        <w:t>并重新进行风险承受能力评估。</w:t>
      </w:r>
      <w:r>
        <w:rPr>
          <w:rFonts w:ascii="楷体_GB2312" w:hAnsi="Arial" w:eastAsia="楷体_GB2312" w:cs="楷体_GB2312"/>
          <w:color w:val="000000" w:themeColor="text1"/>
          <w14:textFill>
            <w14:solidFill>
              <w14:schemeClr w14:val="tx1"/>
            </w14:solidFill>
          </w14:textFill>
        </w:rPr>
        <w:t xml:space="preserve"> </w:t>
      </w:r>
    </w:p>
    <w:p w14:paraId="4381A2AD">
      <w:pPr>
        <w:jc w:val="right"/>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风险揭示方：</w:t>
      </w:r>
      <w:r>
        <w:rPr>
          <w:rFonts w:ascii="楷体_GB2312" w:hAnsi="Arial" w:eastAsia="楷体_GB2312" w:cs="楷体_GB2312"/>
          <w:color w:val="000000" w:themeColor="text1"/>
          <w14:textFill>
            <w14:solidFill>
              <w14:schemeClr w14:val="tx1"/>
            </w14:solidFill>
          </w14:textFill>
        </w:rPr>
        <w:t xml:space="preserve"> </w:t>
      </w:r>
      <w:r>
        <w:rPr>
          <w:rFonts w:hint="eastAsia" w:ascii="楷体_GB2312" w:hAnsi="Arial" w:eastAsia="楷体_GB2312" w:cs="楷体_GB2312"/>
          <w:color w:val="000000" w:themeColor="text1"/>
          <w14:textFill>
            <w14:solidFill>
              <w14:schemeClr w14:val="tx1"/>
            </w14:solidFill>
          </w14:textFill>
        </w:rPr>
        <w:t>信银理财有限责任公司</w:t>
      </w:r>
    </w:p>
    <w:p w14:paraId="5F4A90D9">
      <w:pPr>
        <w:jc w:val="right"/>
        <w:rPr>
          <w:rFonts w:ascii="楷体_GB2312" w:eastAsia="楷体_GB2312"/>
          <w:color w:val="000000" w:themeColor="text1"/>
          <w14:textFill>
            <w14:solidFill>
              <w14:schemeClr w14:val="tx1"/>
            </w14:solidFill>
          </w14:textFill>
        </w:rPr>
      </w:pPr>
    </w:p>
    <w:p w14:paraId="4AA3B8F0">
      <w:pPr>
        <w:rPr>
          <w:rFonts w:ascii="楷体_GB2312" w:hAnsi="Arial" w:eastAsia="楷体_GB2312" w:cs="楷体_GB2312"/>
          <w:b/>
          <w:bCs/>
          <w:color w:val="000000" w:themeColor="text1"/>
          <w:u w:val="single"/>
          <w14:textFill>
            <w14:solidFill>
              <w14:schemeClr w14:val="tx1"/>
            </w14:solidFill>
          </w14:textFill>
        </w:rPr>
      </w:pPr>
    </w:p>
    <w:p w14:paraId="05FA9C71">
      <w:pPr>
        <w:jc w:val="center"/>
        <w:rPr>
          <w:rFonts w:ascii="楷体_GB2312" w:hAnsi="Arial" w:eastAsia="楷体_GB2312" w:cs="楷体_GB2312"/>
          <w:b/>
          <w:bCs/>
          <w:color w:val="000000" w:themeColor="text1"/>
          <w:u w:val="single"/>
          <w14:textFill>
            <w14:solidFill>
              <w14:schemeClr w14:val="tx1"/>
            </w14:solidFill>
          </w14:textFill>
        </w:rPr>
      </w:pPr>
    </w:p>
    <w:p w14:paraId="7A5058F0">
      <w:pPr>
        <w:jc w:val="center"/>
        <w:rPr>
          <w:rFonts w:ascii="楷体_GB2312" w:eastAsia="楷体_GB2312"/>
          <w:color w:val="000000" w:themeColor="text1"/>
          <w14:textFill>
            <w14:solidFill>
              <w14:schemeClr w14:val="tx1"/>
            </w14:solidFill>
          </w14:textFill>
        </w:rPr>
      </w:pPr>
      <w:r>
        <w:rPr>
          <w:rFonts w:hint="eastAsia" w:ascii="楷体_GB2312" w:hAnsi="Arial" w:eastAsia="楷体_GB2312" w:cs="楷体_GB2312"/>
          <w:b/>
          <w:bCs/>
          <w:color w:val="000000" w:themeColor="text1"/>
          <w:u w:val="single"/>
          <w14:textFill>
            <w14:solidFill>
              <w14:schemeClr w14:val="tx1"/>
            </w14:solidFill>
          </w14:textFill>
        </w:rPr>
        <w:t>客</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户</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确</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认</w:t>
      </w:r>
      <w:r>
        <w:rPr>
          <w:rFonts w:ascii="楷体_GB2312" w:hAnsi="Arial" w:eastAsia="楷体_GB2312" w:cs="楷体_GB2312"/>
          <w:b/>
          <w:bCs/>
          <w:color w:val="000000" w:themeColor="text1"/>
          <w:u w:val="single"/>
          <w14:textFill>
            <w14:solidFill>
              <w14:schemeClr w14:val="tx1"/>
            </w14:solidFill>
          </w14:textFill>
        </w:rPr>
        <w:t xml:space="preserve"> </w:t>
      </w:r>
      <w:r>
        <w:rPr>
          <w:rFonts w:hint="eastAsia" w:ascii="楷体_GB2312" w:hAnsi="Arial" w:eastAsia="楷体_GB2312" w:cs="楷体_GB2312"/>
          <w:b/>
          <w:bCs/>
          <w:color w:val="000000" w:themeColor="text1"/>
          <w:u w:val="single"/>
          <w14:textFill>
            <w14:solidFill>
              <w14:schemeClr w14:val="tx1"/>
            </w14:solidFill>
          </w14:textFill>
        </w:rPr>
        <w:t>栏</w:t>
      </w:r>
    </w:p>
    <w:p w14:paraId="7770F0BC">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本人/本单位确认，本人/本单位购买该理财产品为本人/本单位真实的意思表示</w:t>
      </w:r>
      <w:r>
        <w:rPr>
          <w:rFonts w:ascii="楷体_GB2312" w:hAnsi="Arial"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并认为该理财产品完全适合本人/本单位的投资目标、投资预期以及风险承受能力，本人/本单位自愿承担由此带来的一切后果。本人/本单位确认信银理财/代销</w:t>
      </w:r>
      <w:r>
        <w:rPr>
          <w:rFonts w:ascii="楷体_GB2312" w:hAnsi="Arial" w:eastAsia="楷体_GB2312" w:cs="楷体_GB2312"/>
          <w:color w:val="000000" w:themeColor="text1"/>
          <w14:textFill>
            <w14:solidFill>
              <w14:schemeClr w14:val="tx1"/>
            </w14:solidFill>
          </w14:textFill>
        </w:rPr>
        <w:t>机构</w:t>
      </w:r>
      <w:r>
        <w:rPr>
          <w:rFonts w:hint="eastAsia" w:ascii="楷体_GB2312" w:hAnsi="Arial" w:eastAsia="楷体_GB2312" w:cs="楷体_GB2312"/>
          <w:color w:val="000000" w:themeColor="text1"/>
          <w14:textFill>
            <w14:solidFill>
              <w14:schemeClr w14:val="tx1"/>
            </w14:solidFill>
          </w14:textFill>
        </w:rPr>
        <w:t>相关业务人员对于理财产品销售文件中限制或排除本人/本单位权利、增加或加重本人/本单位义务或责任以及有关免除或减轻信银理财责任或信银理财单方面拥有某些权利的条款已向本人/本单位予以说明，本人/本单位已完全理解并自愿接受。</w:t>
      </w:r>
      <w:r>
        <w:rPr>
          <w:rFonts w:ascii="楷体_GB2312" w:hAnsi="Arial" w:eastAsia="楷体_GB2312" w:cs="楷体_GB2312"/>
          <w:color w:val="000000" w:themeColor="text1"/>
          <w14:textFill>
            <w14:solidFill>
              <w14:schemeClr w14:val="tx1"/>
            </w14:solidFill>
          </w14:textFill>
        </w:rPr>
        <w:t xml:space="preserve"> </w:t>
      </w:r>
    </w:p>
    <w:p w14:paraId="42D05EBF">
      <w:pPr>
        <w:pStyle w:val="18"/>
        <w:ind w:firstLine="480" w:firstLineChars="0"/>
        <w:jc w:val="both"/>
        <w:rPr>
          <w:rFonts w:ascii="楷体_GB2312" w:eastAsia="楷体_GB2312"/>
          <w:b/>
          <w:color w:val="000000" w:themeColor="text1"/>
          <w14:textFill>
            <w14:solidFill>
              <w14:schemeClr w14:val="tx1"/>
            </w14:solidFill>
          </w14:textFill>
        </w:rPr>
      </w:pPr>
      <w:r>
        <w:rPr>
          <w:rFonts w:hint="eastAsia" w:ascii="楷体_GB2312" w:eastAsia="楷体_GB2312"/>
          <w:b/>
          <w:color w:val="000000" w:themeColor="text1"/>
          <w14:textFill>
            <w14:solidFill>
              <w14:schemeClr w14:val="tx1"/>
            </w14:solidFill>
          </w14:textFill>
        </w:rPr>
        <w:t>本人</w:t>
      </w:r>
      <w:r>
        <w:rPr>
          <w:rFonts w:hint="eastAsia" w:ascii="楷体_GB2312" w:hAnsi="Arial" w:eastAsia="楷体_GB2312" w:cs="楷体_GB2312"/>
          <w:b/>
          <w:color w:val="000000" w:themeColor="text1"/>
          <w14:textFill>
            <w14:solidFill>
              <w14:schemeClr w14:val="tx1"/>
            </w14:solidFill>
          </w14:textFill>
        </w:rPr>
        <w:t>/本单位</w:t>
      </w:r>
      <w:r>
        <w:rPr>
          <w:rFonts w:hint="eastAsia" w:ascii="楷体_GB2312" w:eastAsia="楷体_GB2312"/>
          <w:b/>
          <w:color w:val="000000" w:themeColor="text1"/>
          <w14:textFill>
            <w14:solidFill>
              <w14:schemeClr w14:val="tx1"/>
            </w14:solidFill>
          </w14:textFill>
        </w:rPr>
        <w:t>确认，将向本理财产品销售机构真实提供信息，自主作出认（申</w:t>
      </w:r>
      <w:r>
        <w:rPr>
          <w:rFonts w:ascii="楷体_GB2312" w:eastAsia="楷体_GB2312"/>
          <w:b/>
          <w:color w:val="000000" w:themeColor="text1"/>
          <w14:textFill>
            <w14:solidFill>
              <w14:schemeClr w14:val="tx1"/>
            </w14:solidFill>
          </w14:textFill>
        </w:rPr>
        <w:t>）</w:t>
      </w:r>
      <w:r>
        <w:rPr>
          <w:rFonts w:hint="eastAsia" w:ascii="楷体_GB2312" w:eastAsia="楷体_GB2312"/>
          <w:b/>
          <w:color w:val="000000" w:themeColor="text1"/>
          <w14:textFill>
            <w14:solidFill>
              <w14:schemeClr w14:val="tx1"/>
            </w14:solidFill>
          </w14:textFill>
        </w:rPr>
        <w:t>购/赎回等决定，独立对销售文件进行签字</w:t>
      </w:r>
      <w:r>
        <w:rPr>
          <w:rFonts w:ascii="楷体_GB2312" w:eastAsia="楷体_GB2312"/>
          <w:b/>
          <w:color w:val="000000" w:themeColor="text1"/>
          <w14:textFill>
            <w14:solidFill>
              <w14:schemeClr w14:val="tx1"/>
            </w14:solidFill>
          </w14:textFill>
        </w:rPr>
        <w:t>/盖章确认，自主承担投资风险。本人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拒绝向销售机构提供或者未按照要求提供信息的，销售机构有权告知本人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相应的后果和责任，并有权拒绝向本人</w:t>
      </w:r>
      <w:r>
        <w:rPr>
          <w:rFonts w:hint="eastAsia" w:ascii="楷体_GB2312" w:eastAsia="楷体_GB2312"/>
          <w:b/>
          <w:color w:val="000000" w:themeColor="text1"/>
          <w14:textFill>
            <w14:solidFill>
              <w14:schemeClr w14:val="tx1"/>
            </w14:solidFill>
          </w14:textFill>
        </w:rPr>
        <w:t>/本单位</w:t>
      </w:r>
      <w:r>
        <w:rPr>
          <w:rFonts w:ascii="楷体_GB2312" w:eastAsia="楷体_GB2312"/>
          <w:b/>
          <w:color w:val="000000" w:themeColor="text1"/>
          <w14:textFill>
            <w14:solidFill>
              <w14:schemeClr w14:val="tx1"/>
            </w14:solidFill>
          </w14:textFill>
        </w:rPr>
        <w:t>提供销售服务。</w:t>
      </w:r>
    </w:p>
    <w:p w14:paraId="4ECFA85E">
      <w:pPr>
        <w:pStyle w:val="18"/>
        <w:ind w:firstLine="480" w:firstLineChars="0"/>
        <w:jc w:val="both"/>
        <w:rPr>
          <w:rFonts w:ascii="楷体_GB2312" w:eastAsia="楷体_GB2312"/>
          <w:color w:val="000000" w:themeColor="text1"/>
          <w14:textFill>
            <w14:solidFill>
              <w14:schemeClr w14:val="tx1"/>
            </w14:solidFill>
          </w14:textFill>
        </w:rPr>
      </w:pPr>
      <w:r>
        <w:rPr>
          <w:rFonts w:hint="eastAsia" w:ascii="楷体_GB2312" w:eastAsia="楷体_GB2312"/>
          <w:color w:val="000000" w:themeColor="text1"/>
          <w14:textFill>
            <w14:solidFill>
              <w14:schemeClr w14:val="tx1"/>
            </w14:solidFill>
          </w14:textFill>
        </w:rPr>
        <w:t>本人</w:t>
      </w:r>
      <w:r>
        <w:rPr>
          <w:rFonts w:hint="eastAsia" w:ascii="楷体_GB2312" w:hAnsi="Arial" w:eastAsia="楷体_GB2312" w:cs="楷体_GB2312"/>
          <w:color w:val="000000" w:themeColor="text1"/>
          <w14:textFill>
            <w14:solidFill>
              <w14:schemeClr w14:val="tx1"/>
            </w14:solidFill>
          </w14:textFill>
        </w:rPr>
        <w:t>/本单位</w:t>
      </w:r>
      <w:r>
        <w:rPr>
          <w:rFonts w:hint="eastAsia" w:ascii="楷体_GB2312" w:eastAsia="楷体_GB2312"/>
          <w:color w:val="000000" w:themeColor="text1"/>
          <w14:textFill>
            <w14:solidFill>
              <w14:schemeClr w14:val="tx1"/>
            </w14:solidFill>
          </w14:textFill>
        </w:rPr>
        <w:t>确认</w:t>
      </w:r>
      <w:r>
        <w:rPr>
          <w:rFonts w:ascii="楷体_GB2312" w:eastAsia="楷体_GB2312"/>
          <w:color w:val="000000" w:themeColor="text1"/>
          <w14:textFill>
            <w14:solidFill>
              <w14:schemeClr w14:val="tx1"/>
            </w14:solidFill>
          </w14:textFill>
        </w:rPr>
        <w:t>，</w:t>
      </w:r>
      <w:r>
        <w:rPr>
          <w:rFonts w:hint="eastAsia" w:ascii="楷体_GB2312" w:eastAsia="楷体_GB2312"/>
          <w:color w:val="000000" w:themeColor="text1"/>
          <w14:textFill>
            <w14:solidFill>
              <w14:schemeClr w14:val="tx1"/>
            </w14:solidFill>
          </w14:textFill>
        </w:rPr>
        <w:t>投资</w:t>
      </w:r>
      <w:r>
        <w:rPr>
          <w:rFonts w:ascii="楷体_GB2312" w:eastAsia="楷体_GB2312"/>
          <w:color w:val="000000" w:themeColor="text1"/>
          <w14:textFill>
            <w14:solidFill>
              <w14:schemeClr w14:val="tx1"/>
            </w14:solidFill>
          </w14:textFill>
        </w:rPr>
        <w:t>本理财产品的</w:t>
      </w:r>
      <w:r>
        <w:rPr>
          <w:rFonts w:hint="eastAsia" w:ascii="楷体_GB2312" w:eastAsia="楷体_GB2312"/>
          <w:color w:val="000000" w:themeColor="text1"/>
          <w14:textFill>
            <w14:solidFill>
              <w14:schemeClr w14:val="tx1"/>
            </w14:solidFill>
          </w14:textFill>
        </w:rPr>
        <w:t>资金非贷款</w:t>
      </w:r>
      <w:r>
        <w:rPr>
          <w:rFonts w:ascii="楷体_GB2312" w:eastAsia="楷体_GB2312"/>
          <w:color w:val="000000" w:themeColor="text1"/>
          <w14:textFill>
            <w14:solidFill>
              <w14:schemeClr w14:val="tx1"/>
            </w14:solidFill>
          </w14:textFill>
        </w:rPr>
        <w:t>、发行债券等募集的非自有资金。</w:t>
      </w:r>
    </w:p>
    <w:p w14:paraId="0F7AF5F8">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本人/本单位确认已阅知客户权益须知，完全清楚理财产品购买流程、风险评估、产品评级含义、信息披露方式及渠道、信银理财及代销机构联系方式及投诉程序等内容。</w:t>
      </w:r>
    </w:p>
    <w:p w14:paraId="7B3ADA12">
      <w:pPr>
        <w:ind w:firstLine="480" w:firstLineChars="200"/>
        <w:jc w:val="both"/>
        <w:rPr>
          <w:rFonts w:ascii="楷体_GB2312" w:hAnsi="Arial" w:eastAsia="楷体_GB2312" w:cs="楷体_GB2312"/>
          <w:color w:val="000000" w:themeColor="text1"/>
          <w14:textFill>
            <w14:solidFill>
              <w14:schemeClr w14:val="tx1"/>
            </w14:solidFill>
          </w14:textFill>
        </w:rPr>
      </w:pPr>
    </w:p>
    <w:p w14:paraId="1BCCE079">
      <w:pPr>
        <w:ind w:firstLine="480" w:firstLineChars="200"/>
        <w:jc w:val="both"/>
        <w:rPr>
          <w:rFonts w:ascii="楷体_GB2312" w:hAnsi="Arial" w:eastAsia="楷体_GB2312" w:cs="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本人/本单位确认如下：</w:t>
      </w:r>
      <w:r>
        <w:rPr>
          <w:rFonts w:ascii="楷体_GB2312" w:hAnsi="Arial" w:eastAsia="楷体_GB2312" w:cs="楷体_GB2312"/>
          <w:color w:val="000000" w:themeColor="text1"/>
          <w14:textFill>
            <w14:solidFill>
              <w14:schemeClr w14:val="tx1"/>
            </w14:solidFill>
          </w14:textFill>
        </w:rPr>
        <w:t xml:space="preserve"> </w:t>
      </w:r>
    </w:p>
    <w:p w14:paraId="1DCC4638">
      <w:pPr>
        <w:ind w:firstLine="480" w:firstLineChars="200"/>
        <w:jc w:val="both"/>
        <w:rPr>
          <w:rFonts w:ascii="楷体_GB2312" w:hAnsi="Arial" w:eastAsia="楷体_GB2312" w:cs="楷体_GB2312"/>
          <w:color w:val="000000" w:themeColor="text1"/>
          <w14:textFill>
            <w14:solidFill>
              <w14:schemeClr w14:val="tx1"/>
            </w14:solidFill>
          </w14:textFill>
        </w:rPr>
      </w:pPr>
    </w:p>
    <w:p w14:paraId="40AE9807">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理财产品可能委托信银理财的关联方【中信银行股份有限公司、中信百信银行股份有限公司】销售，【中信银行股份有限公司】系信银理财的【唯一股东】，【中信百信银行股份有限公司】系中信银行股份有限公司控股子公司，与信银</w:t>
      </w:r>
      <w:r>
        <w:rPr>
          <w:rFonts w:ascii="楷体_GB2312" w:hAnsi="Arial" w:eastAsia="楷体_GB2312" w:cs="楷体_GB2312"/>
          <w:b/>
          <w:bCs/>
          <w:color w:val="000000" w:themeColor="text1"/>
          <w14:textFill>
            <w14:solidFill>
              <w14:schemeClr w14:val="tx1"/>
            </w14:solidFill>
          </w14:textFill>
        </w:rPr>
        <w:t>理财</w:t>
      </w:r>
      <w:r>
        <w:rPr>
          <w:rFonts w:hint="eastAsia" w:ascii="楷体_GB2312" w:hAnsi="Arial" w:eastAsia="楷体_GB2312" w:cs="楷体_GB2312"/>
          <w:b/>
          <w:bCs/>
          <w:color w:val="000000" w:themeColor="text1"/>
          <w14:textFill>
            <w14:solidFill>
              <w14:schemeClr w14:val="tx1"/>
            </w14:solidFill>
          </w14:textFill>
        </w:rPr>
        <w:t>具有关联关系。信银理财委托【中信银行股份有限公司、中信百信银行股份有限公司】销售本理财产品的，存在关联交易风险，请投资者仔细阅读</w:t>
      </w:r>
      <w:r>
        <w:rPr>
          <w:rFonts w:hint="eastAsia" w:ascii="楷体_GB2312" w:hAnsi="Arial" w:eastAsia="楷体_GB2312" w:cs="楷体_GB2312"/>
          <w:b/>
          <w:color w:val="000000" w:themeColor="text1"/>
          <w14:textFill>
            <w14:solidFill>
              <w14:schemeClr w14:val="tx1"/>
            </w14:solidFill>
          </w14:textFill>
        </w:rPr>
        <w:t>理财产品说明书中相应风险揭示部分</w:t>
      </w:r>
      <w:r>
        <w:rPr>
          <w:rFonts w:hint="eastAsia" w:ascii="楷体_GB2312" w:hAnsi="Arial" w:eastAsia="楷体_GB2312" w:cs="楷体_GB2312"/>
          <w:b/>
          <w:bCs/>
          <w:color w:val="000000" w:themeColor="text1"/>
          <w14:textFill>
            <w14:solidFill>
              <w14:schemeClr w14:val="tx1"/>
            </w14:solidFill>
          </w14:textFill>
        </w:rPr>
        <w:t>。</w:t>
      </w:r>
    </w:p>
    <w:p w14:paraId="050B1B8A">
      <w:pPr>
        <w:ind w:firstLine="482" w:firstLineChars="200"/>
        <w:jc w:val="both"/>
        <w:rPr>
          <w:rFonts w:ascii="楷体_GB2312" w:hAnsi="Arial" w:eastAsia="楷体_GB2312" w:cs="楷体_GB2312"/>
          <w:b/>
          <w:bCs/>
          <w:color w:val="000000" w:themeColor="text1"/>
          <w14:textFill>
            <w14:solidFill>
              <w14:schemeClr w14:val="tx1"/>
            </w14:solidFill>
          </w14:textFill>
        </w:rPr>
      </w:pPr>
      <w:r>
        <w:rPr>
          <w:rFonts w:hint="eastAsia" w:ascii="楷体_GB2312" w:hAnsi="Arial" w:eastAsia="楷体_GB2312" w:cs="楷体_GB2312"/>
          <w:b/>
          <w:bCs/>
          <w:color w:val="000000" w:themeColor="text1"/>
          <w14:textFill>
            <w14:solidFill>
              <w14:schemeClr w14:val="tx1"/>
            </w14:solidFill>
          </w14:textFill>
        </w:rPr>
        <w:t>本人/本单位确认，已知悉上述关联交易，愿意承担相应投资风险。</w:t>
      </w:r>
    </w:p>
    <w:p w14:paraId="162C2C31">
      <w:pPr>
        <w:ind w:firstLine="480" w:firstLineChars="200"/>
        <w:jc w:val="both"/>
        <w:rPr>
          <w:color w:val="000000" w:themeColor="text1"/>
          <w14:textFill>
            <w14:solidFill>
              <w14:schemeClr w14:val="tx1"/>
            </w14:solidFill>
          </w14:textFill>
        </w:rPr>
      </w:pPr>
    </w:p>
    <w:p w14:paraId="37A809FA">
      <w:pPr>
        <w:ind w:firstLine="480" w:firstLineChars="200"/>
        <w:jc w:val="both"/>
        <w:rPr>
          <w:rFonts w:ascii="楷体_GB2312" w:eastAsia="楷体_GB2312"/>
          <w:color w:val="000000" w:themeColor="text1"/>
          <w14:textFill>
            <w14:solidFill>
              <w14:schemeClr w14:val="tx1"/>
            </w14:solidFill>
          </w14:textFill>
        </w:rPr>
      </w:pPr>
      <w:r>
        <w:rPr>
          <w:rFonts w:hint="eastAsia" w:ascii="楷体_GB2312" w:hAnsi="Arial" w:eastAsia="楷体_GB2312" w:cs="楷体_GB2312"/>
          <w:color w:val="000000" w:themeColor="text1"/>
          <w14:textFill>
            <w14:solidFill>
              <w14:schemeClr w14:val="tx1"/>
            </w14:solidFill>
          </w14:textFill>
        </w:rPr>
        <w:t>本人/本单位风险承受能力评级为（由个人客户本人</w:t>
      </w:r>
      <w:r>
        <w:rPr>
          <w:rFonts w:ascii="楷体_GB2312" w:hAnsi="Arial" w:eastAsia="楷体_GB2312" w:cs="楷体_GB2312"/>
          <w:color w:val="000000" w:themeColor="text1"/>
          <w14:textFill>
            <w14:solidFill>
              <w14:schemeClr w14:val="tx1"/>
            </w14:solidFill>
          </w14:textFill>
        </w:rPr>
        <w:t>/机构客户</w:t>
      </w:r>
      <w:r>
        <w:rPr>
          <w:rFonts w:hint="eastAsia" w:ascii="楷体_GB2312" w:hAnsi="Arial" w:eastAsia="楷体_GB2312" w:cs="楷体_GB2312"/>
          <w:color w:val="000000" w:themeColor="text1"/>
          <w14:textFill>
            <w14:solidFill>
              <w14:schemeClr w14:val="tx1"/>
            </w14:solidFill>
          </w14:textFill>
        </w:rPr>
        <w:t>授权</w:t>
      </w:r>
      <w:r>
        <w:rPr>
          <w:rFonts w:ascii="楷体_GB2312" w:hAnsi="Arial" w:eastAsia="楷体_GB2312" w:cs="楷体_GB2312"/>
          <w:color w:val="000000" w:themeColor="text1"/>
          <w14:textFill>
            <w14:solidFill>
              <w14:schemeClr w14:val="tx1"/>
            </w14:solidFill>
          </w14:textFill>
        </w:rPr>
        <w:t>经办人</w:t>
      </w:r>
      <w:r>
        <w:rPr>
          <w:rFonts w:hint="eastAsia" w:ascii="楷体_GB2312" w:hAnsi="Arial" w:eastAsia="楷体_GB2312" w:cs="楷体_GB2312"/>
          <w:color w:val="000000" w:themeColor="text1"/>
          <w14:textFill>
            <w14:solidFill>
              <w14:schemeClr w14:val="tx1"/>
            </w14:solidFill>
          </w14:textFill>
        </w:rPr>
        <w:t>填写）：</w:t>
      </w:r>
      <w:r>
        <w:rPr>
          <w:rFonts w:ascii="楷体_GB2312" w:hAnsi="Arial" w:eastAsia="楷体_GB2312"/>
          <w:color w:val="000000" w:themeColor="text1"/>
          <w14:textFill>
            <w14:solidFill>
              <w14:schemeClr w14:val="tx1"/>
            </w14:solidFill>
          </w14:textFill>
        </w:rPr>
        <w:t> </w:t>
      </w:r>
      <w:r>
        <w:rPr>
          <w:rFonts w:ascii="Arial" w:hAnsi="Arial" w:cs="Arial"/>
          <w:color w:val="000000" w:themeColor="text1"/>
          <w:sz w:val="18"/>
          <w:szCs w:val="18"/>
          <w14:textFill>
            <w14:solidFill>
              <w14:schemeClr w14:val="tx1"/>
            </w14:solidFill>
          </w14:textFill>
        </w:rPr>
        <w:t> </w:t>
      </w:r>
    </w:p>
    <w:p w14:paraId="44937BCF">
      <w:pPr>
        <w:snapToGrid w:val="0"/>
        <w:jc w:val="both"/>
        <w:rPr>
          <w:rFonts w:ascii="楷体_GB2312" w:eastAsia="楷体_GB2312"/>
          <w:color w:val="000000" w:themeColor="text1"/>
          <w14:textFill>
            <w14:solidFill>
              <w14:schemeClr w14:val="tx1"/>
            </w14:solidFill>
          </w14:textFill>
        </w:rPr>
      </w:pPr>
      <w:r>
        <w:rPr>
          <w:rFonts w:hint="eastAsia" w:ascii="楷体_GB2312" w:eastAsia="楷体_GB2312" w:cs="楷体_GB2312"/>
          <w:color w:val="000000" w:themeColor="text1"/>
          <w14:textFill>
            <w14:solidFill>
              <w14:schemeClr w14:val="tx1"/>
            </w14:solidFill>
          </w14:textFill>
        </w:rPr>
        <w:t>（</w:t>
      </w:r>
      <w:r>
        <w:rPr>
          <w:rFonts w:hint="eastAsia" w:ascii="楷体_GB2312" w:hAnsi="Arial" w:eastAsia="楷体_GB2312" w:cs="楷体_GB2312"/>
          <w:color w:val="000000" w:themeColor="text1"/>
          <w14:textFill>
            <w14:solidFill>
              <w14:schemeClr w14:val="tx1"/>
            </w14:solidFill>
          </w14:textFill>
        </w:rPr>
        <w:t>个人客户本人/机构客户授权经办人需全文抄录以下文字以完成确认</w:t>
      </w:r>
      <w:r>
        <w:rPr>
          <w:rFonts w:hint="eastAsia" w:ascii="楷体_GB2312" w:eastAsia="楷体_GB2312" w:cs="楷体_GB2312"/>
          <w:color w:val="000000" w:themeColor="text1"/>
          <w14:textFill>
            <w14:solidFill>
              <w14:schemeClr w14:val="tx1"/>
            </w14:solidFill>
          </w14:textFill>
        </w:rPr>
        <w:t>：</w:t>
      </w:r>
      <w:r>
        <w:rPr>
          <w:rFonts w:hint="eastAsia" w:ascii="楷体_GB2312" w:eastAsia="楷体_GB2312" w:cs="楷体_GB2312"/>
          <w:b/>
          <w:bCs/>
          <w:color w:val="000000" w:themeColor="text1"/>
          <w14:textFill>
            <w14:solidFill>
              <w14:schemeClr w14:val="tx1"/>
            </w14:solidFill>
          </w14:textFill>
        </w:rPr>
        <w:t>本人</w:t>
      </w:r>
      <w:r>
        <w:rPr>
          <w:rFonts w:ascii="楷体_GB2312" w:hAnsi="Arial" w:eastAsia="楷体_GB2312" w:cs="楷体_GB2312"/>
          <w:b/>
          <w:bCs/>
          <w:color w:val="000000" w:themeColor="text1"/>
          <w14:textFill>
            <w14:solidFill>
              <w14:schemeClr w14:val="tx1"/>
            </w14:solidFill>
          </w14:textFill>
        </w:rPr>
        <w:t>/本单位</w:t>
      </w:r>
      <w:r>
        <w:rPr>
          <w:rFonts w:hint="eastAsia" w:ascii="楷体_GB2312" w:eastAsia="楷体_GB2312" w:cs="楷体_GB2312"/>
          <w:b/>
          <w:bCs/>
          <w:color w:val="000000" w:themeColor="text1"/>
          <w14:textFill>
            <w14:solidFill>
              <w14:schemeClr w14:val="tx1"/>
            </w14:solidFill>
          </w14:textFill>
        </w:rPr>
        <w:t>已经阅读风险揭示，愿意承担投资风险</w:t>
      </w:r>
      <w:r>
        <w:rPr>
          <w:rFonts w:hint="eastAsia" w:ascii="楷体_GB2312" w:eastAsia="楷体_GB2312" w:cs="楷体_GB2312"/>
          <w:color w:val="000000" w:themeColor="text1"/>
          <w14:textFill>
            <w14:solidFill>
              <w14:schemeClr w14:val="tx1"/>
            </w14:solidFill>
          </w14:textFill>
        </w:rPr>
        <w:t>。）</w:t>
      </w:r>
      <w:r>
        <w:rPr>
          <w:rFonts w:ascii="楷体_GB2312" w:eastAsia="楷体_GB2312" w:cs="楷体_GB2312"/>
          <w:color w:val="000000" w:themeColor="text1"/>
          <w14:textFill>
            <w14:solidFill>
              <w14:schemeClr w14:val="tx1"/>
            </w14:solidFill>
          </w14:textFill>
        </w:rPr>
        <w:t xml:space="preserve"> </w:t>
      </w:r>
    </w:p>
    <w:p w14:paraId="690192AE">
      <w:pPr>
        <w:snapToGrid w:val="0"/>
        <w:rPr>
          <w:rFonts w:ascii="楷体_GB2312" w:eastAsia="楷体_GB2312"/>
          <w:color w:val="000000" w:themeColor="text1"/>
          <w14:textFill>
            <w14:solidFill>
              <w14:schemeClr w14:val="tx1"/>
            </w14:solidFill>
          </w14:textFill>
        </w:rPr>
      </w:pPr>
      <w:r>
        <w:rPr>
          <w:rFonts w:ascii="楷体_GB2312" w:eastAsia="楷体_GB2312"/>
          <w:color w:val="000000" w:themeColor="text1"/>
          <w:u w:val="single"/>
          <w14:textFill>
            <w14:solidFill>
              <w14:schemeClr w14:val="tx1"/>
            </w14:solidFill>
          </w14:textFill>
        </w:rPr>
        <w:t>                                 </w:t>
      </w:r>
    </w:p>
    <w:p w14:paraId="7C651F48">
      <w:pPr>
        <w:snapToGrid w:val="0"/>
        <w:ind w:right="440"/>
        <w:rPr>
          <w:rFonts w:ascii="楷体_GB2312" w:eastAsia="楷体_GB2312" w:cs="楷体_GB2312"/>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个人客户（签字）：                机构客户（盖章）：</w:t>
      </w:r>
    </w:p>
    <w:p w14:paraId="4E6E19F2">
      <w:pPr>
        <w:snapToGrid w:val="0"/>
        <w:ind w:right="440"/>
        <w:rPr>
          <w:color w:val="000000" w:themeColor="text1"/>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                               法定代表人或负责人（签字或签章）：</w:t>
      </w:r>
    </w:p>
    <w:p w14:paraId="70E63E70">
      <w:pPr>
        <w:snapToGrid w:val="0"/>
        <w:ind w:right="440"/>
        <w:rPr>
          <w:color w:val="000000" w:themeColor="text1"/>
          <w14:textFill>
            <w14:solidFill>
              <w14:schemeClr w14:val="tx1"/>
            </w14:solidFill>
          </w14:textFill>
        </w:rPr>
      </w:pPr>
      <w:r>
        <w:rPr>
          <w:color w:val="000000" w:themeColor="text1"/>
          <w14:textFill>
            <w14:solidFill>
              <w14:schemeClr w14:val="tx1"/>
            </w14:solidFill>
          </w14:textFill>
        </w:rPr>
        <w:t> </w:t>
      </w:r>
    </w:p>
    <w:p w14:paraId="41B6BB38">
      <w:pPr>
        <w:snapToGrid w:val="0"/>
        <w:ind w:right="440"/>
        <w:rPr>
          <w:rFonts w:ascii="黑体" w:hAnsi="Times New Roman" w:eastAsia="黑体" w:cs="Arial"/>
          <w:color w:val="000000" w:themeColor="text1"/>
          <w14:textFill>
            <w14:solidFill>
              <w14:schemeClr w14:val="tx1"/>
            </w14:solidFill>
          </w14:textFill>
        </w:rPr>
        <w:sectPr>
          <w:headerReference r:id="rId5" w:type="default"/>
          <w:pgSz w:w="11906" w:h="16838"/>
          <w:pgMar w:top="1440" w:right="1800" w:bottom="1440" w:left="1800" w:header="851" w:footer="992" w:gutter="0"/>
          <w:pgNumType w:start="1"/>
          <w:cols w:space="720" w:num="1"/>
          <w:docGrid w:linePitch="312" w:charSpace="0"/>
        </w:sectPr>
      </w:pPr>
      <w:r>
        <w:rPr>
          <w:rFonts w:hint="eastAsia" w:ascii="黑体" w:hAnsi="Times New Roman" w:eastAsia="黑体" w:cs="Arial"/>
          <w:color w:val="000000" w:themeColor="text1"/>
          <w14:textFill>
            <w14:solidFill>
              <w14:schemeClr w14:val="tx1"/>
            </w14:solidFill>
          </w14:textFill>
        </w:rPr>
        <w:t>日期：年 月 日                    日期：年 月 日</w:t>
      </w:r>
    </w:p>
    <w:p w14:paraId="14D6137E">
      <w:pPr>
        <w:spacing w:line="300" w:lineRule="exact"/>
        <w:jc w:val="both"/>
        <w:rPr>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理财产品登记编码:</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Z7002624000831】</w:t>
      </w:r>
    </w:p>
    <w:p w14:paraId="73B693EC">
      <w:pPr>
        <w:spacing w:line="300" w:lineRule="exact"/>
        <w:jc w:val="both"/>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理财产品</w:t>
      </w:r>
      <w:r>
        <w:rPr>
          <w:rFonts w:ascii="黑体" w:hAnsi="黑体" w:eastAsia="黑体"/>
          <w:color w:val="000000" w:themeColor="text1"/>
          <w:sz w:val="21"/>
          <w:szCs w:val="21"/>
          <w14:textFill>
            <w14:solidFill>
              <w14:schemeClr w14:val="tx1"/>
            </w14:solidFill>
          </w14:textFill>
        </w:rPr>
        <w:t>登记编码为本产品在</w:t>
      </w:r>
      <w:r>
        <w:rPr>
          <w:rFonts w:hint="eastAsia" w:ascii="黑体" w:hAnsi="黑体" w:eastAsia="黑体"/>
          <w:color w:val="000000" w:themeColor="text1"/>
          <w:sz w:val="21"/>
          <w:szCs w:val="21"/>
          <w14:textFill>
            <w14:solidFill>
              <w14:schemeClr w14:val="tx1"/>
            </w14:solidFill>
          </w14:textFill>
        </w:rPr>
        <w:t>全国银行业理财信息登记系统</w:t>
      </w:r>
      <w:r>
        <w:rPr>
          <w:rFonts w:ascii="黑体" w:hAnsi="黑体" w:eastAsia="黑体"/>
          <w:color w:val="000000" w:themeColor="text1"/>
          <w:sz w:val="21"/>
          <w:szCs w:val="21"/>
          <w14:textFill>
            <w14:solidFill>
              <w14:schemeClr w14:val="tx1"/>
            </w14:solidFill>
          </w14:textFill>
        </w:rPr>
        <w:t>取得的理财产品登记编码，</w:t>
      </w:r>
      <w:r>
        <w:rPr>
          <w:rFonts w:hint="eastAsia" w:ascii="黑体" w:hAnsi="黑体" w:eastAsia="黑体"/>
          <w:color w:val="000000" w:themeColor="text1"/>
          <w:sz w:val="21"/>
          <w:szCs w:val="21"/>
          <w14:textFill>
            <w14:solidFill>
              <w14:schemeClr w14:val="tx1"/>
            </w14:solidFill>
          </w14:textFill>
        </w:rPr>
        <w:t>投资者</w:t>
      </w:r>
      <w:r>
        <w:rPr>
          <w:rFonts w:ascii="黑体" w:hAnsi="黑体" w:eastAsia="黑体"/>
          <w:color w:val="000000" w:themeColor="text1"/>
          <w:sz w:val="21"/>
          <w:szCs w:val="21"/>
          <w14:textFill>
            <w14:solidFill>
              <w14:schemeClr w14:val="tx1"/>
            </w14:solidFill>
          </w14:textFill>
        </w:rPr>
        <w:t>可以</w:t>
      </w:r>
      <w:r>
        <w:rPr>
          <w:rFonts w:hint="eastAsia" w:ascii="黑体" w:hAnsi="黑体" w:eastAsia="黑体"/>
          <w:color w:val="000000" w:themeColor="text1"/>
          <w:sz w:val="21"/>
          <w:szCs w:val="21"/>
          <w14:textFill>
            <w14:solidFill>
              <w14:schemeClr w14:val="tx1"/>
            </w14:solidFill>
          </w14:textFill>
        </w:rPr>
        <w:t>依据</w:t>
      </w:r>
      <w:r>
        <w:rPr>
          <w:rFonts w:ascii="黑体" w:hAnsi="黑体" w:eastAsia="黑体"/>
          <w:color w:val="000000" w:themeColor="text1"/>
          <w:sz w:val="21"/>
          <w:szCs w:val="21"/>
          <w14:textFill>
            <w14:solidFill>
              <w14:schemeClr w14:val="tx1"/>
            </w14:solidFill>
          </w14:textFill>
        </w:rPr>
        <w:t>该理财产品登记编码在</w:t>
      </w:r>
      <w:r>
        <w:rPr>
          <w:rFonts w:hint="eastAsia" w:ascii="黑体" w:hAnsi="黑体" w:eastAsia="黑体"/>
          <w:color w:val="000000" w:themeColor="text1"/>
          <w:sz w:val="21"/>
          <w:szCs w:val="21"/>
          <w14:textFill>
            <w14:solidFill>
              <w14:schemeClr w14:val="tx1"/>
            </w14:solidFill>
          </w14:textFill>
        </w:rPr>
        <w:t>金融产品查询平台（</w:t>
      </w:r>
      <w:r>
        <w:rPr>
          <w:rFonts w:ascii="黑体" w:hAnsi="黑体" w:eastAsia="黑体"/>
          <w:color w:val="000000" w:themeColor="text1"/>
          <w:sz w:val="21"/>
          <w:szCs w:val="21"/>
          <w14:textFill>
            <w14:solidFill>
              <w14:schemeClr w14:val="tx1"/>
            </w14:solidFill>
          </w14:textFill>
        </w:rPr>
        <w:t>www.jrcpcx.cn）或中国理财网（</w:t>
      </w:r>
      <w:r>
        <w:rPr>
          <w:rFonts w:hint="eastAsia" w:ascii="黑体" w:hAnsi="黑体" w:eastAsia="黑体"/>
          <w:color w:val="000000" w:themeColor="text1"/>
          <w:sz w:val="21"/>
          <w:szCs w:val="21"/>
          <w14:textFill>
            <w14:solidFill>
              <w14:schemeClr w14:val="tx1"/>
            </w14:solidFill>
          </w14:textFill>
        </w:rPr>
        <w:t>www.chinawealth.com.cn</w:t>
      </w:r>
      <w:r>
        <w:rPr>
          <w:rFonts w:ascii="黑体" w:hAnsi="黑体" w:eastAsia="黑体"/>
          <w:color w:val="000000" w:themeColor="text1"/>
          <w:sz w:val="21"/>
          <w:szCs w:val="21"/>
          <w14:textFill>
            <w14:solidFill>
              <w14:schemeClr w14:val="tx1"/>
            </w14:solidFill>
          </w14:textFill>
        </w:rPr>
        <w:t>）</w:t>
      </w:r>
      <w:r>
        <w:rPr>
          <w:rFonts w:hint="eastAsia" w:ascii="黑体" w:hAnsi="黑体" w:eastAsia="黑体"/>
          <w:color w:val="000000" w:themeColor="text1"/>
          <w:sz w:val="21"/>
          <w:szCs w:val="21"/>
          <w14:textFill>
            <w14:solidFill>
              <w14:schemeClr w14:val="tx1"/>
            </w14:solidFill>
          </w14:textFill>
        </w:rPr>
        <w:t>上查询</w:t>
      </w:r>
      <w:r>
        <w:rPr>
          <w:rFonts w:ascii="黑体" w:hAnsi="黑体" w:eastAsia="黑体"/>
          <w:color w:val="000000" w:themeColor="text1"/>
          <w:sz w:val="21"/>
          <w:szCs w:val="21"/>
          <w14:textFill>
            <w14:solidFill>
              <w14:schemeClr w14:val="tx1"/>
            </w14:solidFill>
          </w14:textFill>
        </w:rPr>
        <w:t>本产品相关信息。</w:t>
      </w:r>
    </w:p>
    <w:p w14:paraId="3E55CC0E">
      <w:pPr>
        <w:spacing w:line="300" w:lineRule="exact"/>
        <w:jc w:val="both"/>
        <w:rPr>
          <w:rFonts w:ascii="黑体" w:hAnsi="黑体" w:eastAsia="黑体"/>
          <w:color w:val="000000" w:themeColor="text1"/>
          <w:sz w:val="21"/>
          <w:szCs w:val="21"/>
          <w14:textFill>
            <w14:solidFill>
              <w14:schemeClr w14:val="tx1"/>
            </w14:solidFill>
          </w14:textFill>
        </w:rPr>
      </w:pPr>
    </w:p>
    <w:p w14:paraId="7C8210B8">
      <w:pPr>
        <w:spacing w:line="300" w:lineRule="exact"/>
        <w:jc w:val="both"/>
        <w:rPr>
          <w:b/>
          <w:color w:val="000000" w:themeColor="text1"/>
          <w:sz w:val="28"/>
          <w:szCs w:val="28"/>
          <w14:textFill>
            <w14:solidFill>
              <w14:schemeClr w14:val="tx1"/>
            </w14:solidFill>
          </w14:textFill>
        </w:rPr>
      </w:pPr>
      <w:r>
        <w:rPr>
          <w:rFonts w:ascii="黑体" w:hAnsi="黑体" w:eastAsia="黑体"/>
          <w:b/>
          <w:color w:val="000000" w:themeColor="text1"/>
          <w:sz w:val="28"/>
          <w:szCs w:val="28"/>
          <w14:textFill>
            <w14:solidFill>
              <w14:schemeClr w14:val="tx1"/>
            </w14:solidFill>
          </w14:textFill>
        </w:rPr>
        <w:t>郑重</w:t>
      </w:r>
      <w:r>
        <w:rPr>
          <w:rFonts w:hint="eastAsia" w:ascii="黑体" w:hAnsi="黑体" w:eastAsia="黑体"/>
          <w:b/>
          <w:color w:val="000000" w:themeColor="text1"/>
          <w:sz w:val="28"/>
          <w:szCs w:val="28"/>
          <w14:textFill>
            <w14:solidFill>
              <w14:schemeClr w14:val="tx1"/>
            </w14:solidFill>
          </w14:textFill>
        </w:rPr>
        <w:t>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t>
      </w:r>
      <w:r>
        <w:rPr>
          <w:rFonts w:ascii="黑体" w:hAnsi="黑体" w:eastAsia="黑体"/>
          <w:b/>
          <w:color w:val="000000" w:themeColor="text1"/>
          <w:sz w:val="28"/>
          <w:szCs w:val="28"/>
          <w14:textFill>
            <w14:solidFill>
              <w14:schemeClr w14:val="tx1"/>
            </w14:solidFill>
          </w14:textFill>
        </w:rPr>
        <w:t>www.jrcpcx.cn）或</w:t>
      </w:r>
      <w:r>
        <w:rPr>
          <w:rFonts w:hint="eastAsia" w:ascii="黑体" w:hAnsi="黑体" w:eastAsia="黑体"/>
          <w:b/>
          <w:color w:val="000000" w:themeColor="text1"/>
          <w:sz w:val="28"/>
          <w:szCs w:val="28"/>
          <w14:textFill>
            <w14:solidFill>
              <w14:schemeClr w14:val="tx1"/>
            </w14:solidFill>
          </w14:textFill>
        </w:rPr>
        <w:t>中国理财网（</w:t>
      </w:r>
      <w:r>
        <w:rPr>
          <w:rFonts w:ascii="黑体" w:hAnsi="黑体" w:eastAsia="黑体"/>
          <w:b/>
          <w:color w:val="000000" w:themeColor="text1"/>
          <w:sz w:val="28"/>
          <w:szCs w:val="28"/>
          <w14:textFill>
            <w14:solidFill>
              <w14:schemeClr w14:val="tx1"/>
            </w14:solidFill>
          </w14:textFill>
        </w:rPr>
        <w:t>www.chinawealth.com.cn）上查询到产品相关信息，</w:t>
      </w:r>
      <w:r>
        <w:rPr>
          <w:rFonts w:hint="eastAsia" w:ascii="黑体" w:hAnsi="黑体" w:eastAsia="黑体"/>
          <w:b/>
          <w:color w:val="000000" w:themeColor="text1"/>
          <w:sz w:val="28"/>
          <w:szCs w:val="28"/>
          <w14:textFill>
            <w14:solidFill>
              <w14:schemeClr w14:val="tx1"/>
            </w14:solidFill>
          </w14:textFill>
        </w:rPr>
        <w:t>则该</w:t>
      </w:r>
      <w:r>
        <w:rPr>
          <w:rFonts w:ascii="黑体" w:hAnsi="黑体" w:eastAsia="黑体"/>
          <w:b/>
          <w:color w:val="000000" w:themeColor="text1"/>
          <w:sz w:val="28"/>
          <w:szCs w:val="28"/>
          <w14:textFill>
            <w14:solidFill>
              <w14:schemeClr w14:val="tx1"/>
            </w14:solidFill>
          </w14:textFill>
        </w:rPr>
        <w:t>产品非</w:t>
      </w:r>
      <w:r>
        <w:rPr>
          <w:rFonts w:hint="eastAsia" w:ascii="黑体" w:hAnsi="黑体" w:eastAsia="黑体"/>
          <w:b/>
          <w:color w:val="000000" w:themeColor="text1"/>
          <w:sz w:val="28"/>
          <w:szCs w:val="28"/>
          <w14:textFill>
            <w14:solidFill>
              <w14:schemeClr w14:val="tx1"/>
            </w14:solidFill>
          </w14:textFill>
        </w:rPr>
        <w:t>信银</w:t>
      </w:r>
      <w:r>
        <w:rPr>
          <w:rFonts w:ascii="黑体" w:hAnsi="黑体" w:eastAsia="黑体"/>
          <w:b/>
          <w:color w:val="000000" w:themeColor="text1"/>
          <w:sz w:val="28"/>
          <w:szCs w:val="28"/>
          <w14:textFill>
            <w14:solidFill>
              <w14:schemeClr w14:val="tx1"/>
            </w14:solidFill>
          </w14:textFill>
        </w:rPr>
        <w:t>理财发行产品。</w:t>
      </w:r>
    </w:p>
    <w:p w14:paraId="24C868AB">
      <w:pPr>
        <w:spacing w:line="300" w:lineRule="exact"/>
        <w:ind w:right="-792" w:rightChars="-330"/>
        <w:rPr>
          <w:color w:val="000000" w:themeColor="text1"/>
          <w14:textFill>
            <w14:solidFill>
              <w14:schemeClr w14:val="tx1"/>
            </w14:solidFill>
          </w14:textFill>
        </w:rPr>
      </w:pPr>
    </w:p>
    <w:p w14:paraId="37642B7C">
      <w:pPr>
        <w:spacing w:line="300" w:lineRule="exact"/>
        <w:ind w:right="-792" w:rightChars="-330"/>
        <w:rPr>
          <w:rFonts w:ascii="楷体" w:hAnsi="楷体" w:eastAsia="楷体" w:cs="黑体"/>
          <w:b/>
          <w:bCs/>
          <w:color w:val="000000" w:themeColor="text1"/>
          <w:sz w:val="21"/>
          <w:szCs w:val="21"/>
          <w14:textFill>
            <w14:solidFill>
              <w14:schemeClr w14:val="tx1"/>
            </w14:solidFill>
          </w14:textFill>
        </w:rPr>
      </w:pPr>
    </w:p>
    <w:p w14:paraId="18E4F2D7">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14:paraId="2244DDD3">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【信银理财安盈象固收稳利日开37号理财产品】</w:t>
      </w:r>
      <w:r>
        <w:rPr>
          <w:rFonts w:ascii="黑体" w:hAnsi="Times New Roman" w:eastAsia="黑体" w:cs="黑体"/>
          <w:b/>
          <w:bCs/>
          <w:color w:val="000000" w:themeColor="text1"/>
          <w:sz w:val="20"/>
          <w:szCs w:val="20"/>
          <w14:textFill>
            <w14:solidFill>
              <w14:schemeClr w14:val="tx1"/>
            </w14:solidFill>
          </w14:textFill>
        </w:rPr>
        <w:t xml:space="preserve">  </w:t>
      </w:r>
    </w:p>
    <w:p w14:paraId="46FEB893">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产品代码</w:t>
      </w:r>
      <w:r>
        <w:rPr>
          <w:rFonts w:ascii="黑体" w:hAnsi="Times New Roman" w:eastAsia="黑体" w:cs="黑体"/>
          <w:b/>
          <w:bCs/>
          <w:color w:val="000000" w:themeColor="text1"/>
          <w:sz w:val="20"/>
          <w:szCs w:val="20"/>
          <w14:textFill>
            <w14:solidFill>
              <w14:schemeClr w14:val="tx1"/>
            </w14:solidFill>
          </w14:textFill>
        </w:rPr>
        <w:t>：【AF245807】</w:t>
      </w:r>
      <w:r>
        <w:rPr>
          <w:rFonts w:hint="eastAsia" w:ascii="黑体" w:hAnsi="Times New Roman" w:eastAsia="黑体" w:cs="黑体"/>
          <w:b/>
          <w:bCs/>
          <w:color w:val="000000" w:themeColor="text1"/>
          <w:sz w:val="20"/>
          <w:szCs w:val="20"/>
          <w14:textFill>
            <w14:solidFill>
              <w14:schemeClr w14:val="tx1"/>
            </w14:solidFill>
          </w14:textFill>
        </w:rPr>
        <w:t>）</w:t>
      </w:r>
    </w:p>
    <w:p w14:paraId="34FBBFD6">
      <w:pPr>
        <w:spacing w:line="300" w:lineRule="exact"/>
        <w:ind w:right="-792" w:rightChars="-330"/>
        <w:rPr>
          <w:color w:val="000000" w:themeColor="text1"/>
          <w14:textFill>
            <w14:solidFill>
              <w14:schemeClr w14:val="tx1"/>
            </w14:solidFill>
          </w14:textFill>
        </w:rPr>
      </w:pPr>
      <w:r>
        <w:rPr>
          <w:rFonts w:ascii="黑体" w:hAnsi="Times New Roman" w:eastAsia="黑体"/>
          <w:b/>
          <w:bCs/>
          <w:color w:val="000000" w:themeColor="text1"/>
          <w:sz w:val="20"/>
          <w:szCs w:val="20"/>
          <w14:textFill>
            <w14:solidFill>
              <w14:schemeClr w14:val="tx1"/>
            </w14:solidFill>
          </w14:textFill>
        </w:rPr>
        <w:t> </w:t>
      </w:r>
    </w:p>
    <w:p w14:paraId="38FB45D1">
      <w:pPr>
        <w:spacing w:line="300" w:lineRule="exact"/>
        <w:ind w:right="-792" w:rightChars="-330"/>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14:paraId="1AB22AEF">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w:t>
      </w:r>
      <w:r>
        <w:rPr>
          <w:rFonts w:hint="eastAsia" w:ascii="黑体" w:hAnsi="Times New Roman" w:eastAsia="黑体" w:cs="黑体"/>
          <w:b/>
          <w:sz w:val="20"/>
          <w:szCs w:val="20"/>
        </w:rPr>
        <w:t>本产品</w:t>
      </w:r>
      <w:r>
        <w:rPr>
          <w:rFonts w:ascii="黑体" w:hAnsi="Times New Roman" w:eastAsia="黑体" w:cs="黑体"/>
          <w:b/>
          <w:sz w:val="20"/>
          <w:szCs w:val="20"/>
        </w:rPr>
        <w:t>为日开产品。</w:t>
      </w:r>
    </w:p>
    <w:p w14:paraId="4025DBA8">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本理财产品的《信银理财理财产品说明书》、《信银理财理财产品风险揭示书》、《信银理财理财产品投资协议书》与《信银理财理财产品销售总协议》（含附件：客户权益须知专页）（或合作销售机构向投资者提供的理财产品销售协议文本）等文件及其不时有效修订与补充共同构成理财产品销售文件。</w:t>
      </w:r>
    </w:p>
    <w:p w14:paraId="076884CA">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14:paraId="4FBAFB2B">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w:t>
      </w:r>
      <w:r>
        <w:rPr>
          <w:rFonts w:ascii="黑体" w:hAnsi="Times New Roman" w:eastAsia="黑体" w:cs="黑体"/>
          <w:color w:val="000000" w:themeColor="text1"/>
          <w:sz w:val="20"/>
          <w:szCs w:val="20"/>
          <w14:textFill>
            <w14:solidFill>
              <w14:schemeClr w14:val="tx1"/>
            </w14:solidFill>
          </w14:textFill>
        </w:rPr>
        <w:t>代销机构</w:t>
      </w:r>
      <w:r>
        <w:rPr>
          <w:rFonts w:hint="eastAsia" w:ascii="黑体" w:hAnsi="Times New Roman" w:eastAsia="黑体" w:cs="黑体"/>
          <w:color w:val="000000" w:themeColor="text1"/>
          <w:sz w:val="20"/>
          <w:szCs w:val="20"/>
          <w14:textFill>
            <w14:solidFill>
              <w14:schemeClr w14:val="tx1"/>
            </w14:solidFill>
          </w14:textFill>
        </w:rPr>
        <w:t>各营业场所或营业网点咨询。</w:t>
      </w:r>
    </w:p>
    <w:p w14:paraId="53428CE4">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14:paraId="3B23F2BA">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14:paraId="6D23929F">
      <w:pPr>
        <w:snapToGrid w:val="0"/>
        <w:ind w:right="53" w:rightChars="22" w:firstLine="400" w:firstLineChars="200"/>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14:paraId="08BCE1CA">
      <w:pPr>
        <w:snapToGrid w:val="0"/>
        <w:ind w:left="-2" w:leftChars="-1" w:right="53" w:rightChars="22"/>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14:paraId="512EB7F5">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14:paraId="085406FA">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14:paraId="1A9C578D">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14:paraId="07AD1D30">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的非开放日，投资者不得赎回，在开放日，可能因达到本说明书中约定的限制赎回情况，导致投资者在需要资金时无法随时变现，并可能导致投资者丧失其他投资机会。本产品投资资产的流动性风险情况为：【本理财产品投资范围为货币市场类和固定收益类资产，具体品种包括：现金、存款、大额存单、同业存单、货币基金、质押式回购和其他货币市场类资产，以及国债、地方政府债券、中央银行票据、政府机构债券、金融债券、公司信用类债券、在银行间市场和证券交易所市场发行的资产支持证券、非公开定向债务融资工具、债券型证券投资基金和其他固定收益类资产等，上述投资标的中存款、质押式回购及其他交投不活跃品种存在不能提前支取或者不能提前到期的情形；其他资产一般情况下具有良好的流动性，但在特殊情况下，也存在部分债券品种交投不活跃、成交量不足的情形，如果理财产品赎回量较大，可能会影响产品流动性管理】。</w:t>
      </w:r>
    </w:p>
    <w:p w14:paraId="7AD76E92">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35B9D9A4">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14:paraId="35DF3322">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4EB96EED">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14:paraId="3AE15031">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14:paraId="70CE3653">
      <w:pPr>
        <w:snapToGrid w:val="0"/>
        <w:ind w:firstLine="402" w:firstLineChars="200"/>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3206F5C8">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w:t>
      </w:r>
      <w:r>
        <w:rPr>
          <w:rFonts w:hint="eastAsia" w:ascii="黑体" w:eastAsia="黑体"/>
          <w:b/>
          <w:color w:val="000000" w:themeColor="text1"/>
          <w:sz w:val="20"/>
          <w:szCs w:val="20"/>
          <w14:textFill>
            <w14:solidFill>
              <w14:schemeClr w14:val="tx1"/>
            </w14:solidFill>
          </w14:textFill>
        </w:rPr>
        <w:t>信银理财</w:t>
      </w:r>
      <w:r>
        <w:rPr>
          <w:rFonts w:ascii="黑体" w:eastAsia="黑体"/>
          <w:b/>
          <w:color w:val="000000" w:themeColor="text1"/>
          <w:sz w:val="20"/>
          <w:szCs w:val="20"/>
          <w14:textFill>
            <w14:solidFill>
              <w14:schemeClr w14:val="tx1"/>
            </w14:solidFill>
          </w14:textFill>
        </w:rPr>
        <w:t>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14:paraId="500FB539">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14:paraId="05A8350F">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210842C3">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认购/申购失败或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认购/申购时，如果投资者在合作销售机构的资金账户余额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w:t>
      </w:r>
      <w:r>
        <w:rPr>
          <w:rFonts w:ascii="黑体" w:hAnsi="黑体" w:eastAsia="黑体"/>
          <w:b/>
          <w:color w:val="000000" w:themeColor="text1"/>
          <w:sz w:val="20"/>
          <w:szCs w:val="20"/>
          <w14:textFill>
            <w14:solidFill>
              <w14:schemeClr w14:val="tx1"/>
            </w14:solidFill>
          </w14:textFill>
        </w:rPr>
        <w:t>将投资者认购/申购资金划转至信银理财，将导致投资者无法完成认购/申购，因此造成的损失</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不承担责任；在赎回和到期时，</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损失信银理财</w:t>
      </w:r>
      <w:r>
        <w:rPr>
          <w:rFonts w:ascii="黑体" w:hAnsi="黑体" w:eastAsia="黑体"/>
          <w:b/>
          <w:color w:val="000000" w:themeColor="text1"/>
          <w:sz w:val="20"/>
          <w:szCs w:val="20"/>
          <w14:textFill>
            <w14:solidFill>
              <w14:schemeClr w14:val="tx1"/>
            </w14:solidFill>
          </w14:textFill>
        </w:rPr>
        <w:t>不承担任何责任。</w:t>
      </w:r>
    </w:p>
    <w:p w14:paraId="54F60329">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14:paraId="7CE4314E">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59446F60">
      <w:pPr>
        <w:spacing w:line="300" w:lineRule="atLeast"/>
        <w:ind w:left="-2" w:right="36" w:firstLine="422"/>
        <w:rPr>
          <w:rFonts w:ascii="黑体" w:hAnsi="Times New Roman" w:eastAsia="黑体" w:cs="黑体"/>
          <w:b/>
          <w:bCs/>
          <w:color w:val="000000" w:themeColor="text1"/>
          <w:sz w:val="20"/>
          <w:szCs w:val="20"/>
          <w14:textFill>
            <w14:solidFill>
              <w14:schemeClr w14:val="tx1"/>
            </w14:solidFill>
          </w14:textFill>
        </w:rPr>
      </w:pPr>
    </w:p>
    <w:p w14:paraId="3171A166">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释义与定义：</w:t>
      </w:r>
    </w:p>
    <w:p w14:paraId="6F4992A1">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14:paraId="748B1CC0">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14:paraId="17DAF21B">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14:paraId="4586AF21">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14:paraId="5AF95D1A">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2B759FAA">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5．理财产品资产净值</w:t>
      </w:r>
      <w:r>
        <w:rPr>
          <w:rFonts w:ascii="黑体" w:hAnsi="黑体" w:eastAsia="黑体"/>
          <w:color w:val="000000" w:themeColor="text1"/>
          <w:sz w:val="20"/>
          <w:szCs w:val="20"/>
          <w14:textFill>
            <w14:solidFill>
              <w14:schemeClr w14:val="tx1"/>
            </w14:solidFill>
          </w14:textFill>
        </w:rPr>
        <w:t>/资产净值</w:t>
      </w:r>
      <w:r>
        <w:rPr>
          <w:rFonts w:hint="eastAsia" w:ascii="黑体" w:hAnsi="黑体" w:eastAsia="黑体"/>
          <w:color w:val="000000" w:themeColor="text1"/>
          <w:sz w:val="20"/>
          <w:szCs w:val="20"/>
          <w14:textFill>
            <w14:solidFill>
              <w14:schemeClr w14:val="tx1"/>
            </w14:solidFill>
          </w14:textFill>
        </w:rPr>
        <w:t>/净</w:t>
      </w:r>
      <w:r>
        <w:rPr>
          <w:rFonts w:ascii="黑体" w:hAnsi="黑体" w:eastAsia="黑体"/>
          <w:color w:val="000000" w:themeColor="text1"/>
          <w:sz w:val="20"/>
          <w:szCs w:val="20"/>
          <w14:textFill>
            <w14:solidFill>
              <w14:schemeClr w14:val="tx1"/>
            </w14:solidFill>
          </w14:textFill>
        </w:rPr>
        <w:t>资产：资产净值=产品资产总值-产品负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5A7B01D7">
      <w:pPr>
        <w:snapToGrid w:val="0"/>
        <w:ind w:firstLine="400" w:firstLineChars="200"/>
        <w:jc w:val="both"/>
        <w:rPr>
          <w:rFonts w:ascii="黑体" w:hAnsi="Times New Roman"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6．</w:t>
      </w:r>
      <w:r>
        <w:rPr>
          <w:rFonts w:ascii="黑体" w:hAnsi="黑体" w:eastAsia="黑体"/>
          <w:color w:val="000000" w:themeColor="text1"/>
          <w:sz w:val="20"/>
          <w:szCs w:val="20"/>
          <w14:textFill>
            <w14:solidFill>
              <w14:schemeClr w14:val="tx1"/>
            </w14:solidFill>
          </w14:textFill>
        </w:rPr>
        <w:t>理财产品单位净值/单位净值</w:t>
      </w:r>
      <w:r>
        <w:rPr>
          <w:rFonts w:hint="eastAsia" w:ascii="黑体" w:hAnsi="黑体" w:eastAsia="黑体"/>
          <w:color w:val="000000" w:themeColor="text1"/>
          <w:sz w:val="20"/>
          <w:szCs w:val="20"/>
          <w14:textFill>
            <w14:solidFill>
              <w14:schemeClr w14:val="tx1"/>
            </w14:solidFill>
          </w14:textFill>
        </w:rPr>
        <w:t>/份额净值</w:t>
      </w:r>
      <w:r>
        <w:rPr>
          <w:rFonts w:ascii="黑体" w:hAnsi="黑体" w:eastAsia="黑体"/>
          <w:color w:val="000000" w:themeColor="text1"/>
          <w:sz w:val="20"/>
          <w:szCs w:val="20"/>
          <w14:textFill>
            <w14:solidFill>
              <w14:schemeClr w14:val="tx1"/>
            </w14:solidFill>
          </w14:textFill>
        </w:rPr>
        <w:t>：指理财产品份额的单位净值，即每1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=当日理财产品资产净值/当日理财产品存续份额，投资者按该</w:t>
      </w:r>
      <w:r>
        <w:rPr>
          <w:rFonts w:hint="eastAsia" w:ascii="黑体" w:hAnsi="黑体" w:eastAsia="黑体"/>
          <w:color w:val="000000" w:themeColor="text1"/>
          <w:sz w:val="20"/>
          <w:szCs w:val="20"/>
          <w14:textFill>
            <w14:solidFill>
              <w14:schemeClr w14:val="tx1"/>
            </w14:solidFill>
          </w14:textFill>
        </w:rPr>
        <w:t>理财产品单位净值进行理财产品申购、赎回。</w:t>
      </w:r>
      <w:r>
        <w:rPr>
          <w:rFonts w:ascii="黑体" w:hAnsi="Times New Roman" w:eastAsia="黑体"/>
          <w:color w:val="000000" w:themeColor="text1"/>
          <w:sz w:val="20"/>
          <w:szCs w:val="20"/>
          <w14:textFill>
            <w14:solidFill>
              <w14:schemeClr w14:val="tx1"/>
            </w14:solidFill>
          </w14:textFill>
        </w:rPr>
        <w:t> </w:t>
      </w:r>
    </w:p>
    <w:p w14:paraId="3C028114">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7．理财</w:t>
      </w:r>
      <w:r>
        <w:rPr>
          <w:rFonts w:ascii="黑体" w:hAnsi="黑体" w:eastAsia="黑体"/>
          <w:color w:val="000000" w:themeColor="text1"/>
          <w:sz w:val="20"/>
          <w:szCs w:val="20"/>
          <w14:textFill>
            <w14:solidFill>
              <w14:schemeClr w14:val="tx1"/>
            </w14:solidFill>
          </w14:textFill>
        </w:rPr>
        <w:t>产品本金</w:t>
      </w:r>
      <w:r>
        <w:rPr>
          <w:rFonts w:hint="eastAsia" w:ascii="黑体" w:hAnsi="黑体" w:eastAsia="黑体"/>
          <w:color w:val="000000" w:themeColor="text1"/>
          <w:sz w:val="20"/>
          <w:szCs w:val="20"/>
          <w14:textFill>
            <w14:solidFill>
              <w14:schemeClr w14:val="tx1"/>
            </w14:solidFill>
          </w14:textFill>
        </w:rPr>
        <w:t>/投资本金/本金</w:t>
      </w:r>
      <w:r>
        <w:rPr>
          <w:rFonts w:ascii="黑体" w:hAnsi="黑体" w:eastAsia="黑体"/>
          <w:color w:val="000000" w:themeColor="text1"/>
          <w:sz w:val="20"/>
          <w:szCs w:val="20"/>
          <w14:textFill>
            <w14:solidFill>
              <w14:schemeClr w14:val="tx1"/>
            </w14:solidFill>
          </w14:textFill>
        </w:rPr>
        <w:t>：指投资者为认购</w:t>
      </w:r>
      <w:r>
        <w:rPr>
          <w:rFonts w:hint="eastAsia" w:ascii="黑体" w:hAnsi="黑体" w:eastAsia="黑体"/>
          <w:color w:val="000000" w:themeColor="text1"/>
          <w:sz w:val="20"/>
          <w:szCs w:val="20"/>
          <w14:textFill>
            <w14:solidFill>
              <w14:schemeClr w14:val="tx1"/>
            </w14:solidFill>
          </w14:textFill>
        </w:rPr>
        <w:t>/申购</w:t>
      </w:r>
      <w:r>
        <w:rPr>
          <w:rFonts w:ascii="黑体" w:hAnsi="黑体" w:eastAsia="黑体"/>
          <w:color w:val="000000" w:themeColor="text1"/>
          <w:sz w:val="20"/>
          <w:szCs w:val="20"/>
          <w14:textFill>
            <w14:solidFill>
              <w14:schemeClr w14:val="tx1"/>
            </w14:solidFill>
          </w14:textFill>
        </w:rPr>
        <w:t>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w:t>
      </w:r>
      <w:r>
        <w:rPr>
          <w:rFonts w:ascii="黑体" w:hAnsi="黑体" w:eastAsia="黑体"/>
          <w:color w:val="000000" w:themeColor="text1"/>
          <w:sz w:val="20"/>
          <w:szCs w:val="20"/>
          <w14:textFill>
            <w14:solidFill>
              <w14:schemeClr w14:val="tx1"/>
            </w14:solidFill>
          </w14:textFill>
        </w:rPr>
        <w:t>认购费</w:t>
      </w:r>
      <w:r>
        <w:rPr>
          <w:rFonts w:hint="eastAsia" w:ascii="黑体" w:hAnsi="黑体" w:eastAsia="黑体"/>
          <w:color w:val="000000" w:themeColor="text1"/>
          <w:sz w:val="20"/>
          <w:szCs w:val="20"/>
          <w14:textFill>
            <w14:solidFill>
              <w14:schemeClr w14:val="tx1"/>
            </w14:solidFill>
          </w14:textFill>
        </w:rPr>
        <w:t>/申购费</w:t>
      </w:r>
      <w:r>
        <w:rPr>
          <w:rFonts w:ascii="黑体" w:hAnsi="黑体" w:eastAsia="黑体"/>
          <w:color w:val="000000" w:themeColor="text1"/>
          <w:sz w:val="20"/>
          <w:szCs w:val="20"/>
          <w14:textFill>
            <w14:solidFill>
              <w14:schemeClr w14:val="tx1"/>
            </w14:solidFill>
          </w14:textFill>
        </w:rPr>
        <w:t>后即投资者的投资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14:paraId="471EAC4A">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8．理财产品</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/投资</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/收益</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14:paraId="7EC46C6B">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．合作销售机构/代销机构：指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14:paraId="50804765">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14:paraId="643FD7B7">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00436226">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14:paraId="3418F70A">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14:paraId="3CCA0D0E">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14:paraId="2E63B2D2">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14:paraId="41CFE8DF">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r>
        <w:rPr>
          <w:rFonts w:ascii="黑体" w:hAnsi="黑体" w:eastAsia="黑体"/>
          <w:color w:val="000000" w:themeColor="text1"/>
          <w:sz w:val="20"/>
          <w:szCs w:val="20"/>
          <w14:textFill>
            <w14:solidFill>
              <w14:schemeClr w14:val="tx1"/>
            </w14:solidFill>
          </w14:textFill>
        </w:rPr>
        <w:t xml:space="preserve"> </w:t>
      </w:r>
    </w:p>
    <w:p w14:paraId="602590E5">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14:paraId="1C3491E3">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13．摆动定价机制：是指当产品遭遇大额认购或赎回时，通过调整理财产品份额净值的方式，将理财产品调整投资组合的市场冲击成本分配给实际认购、赎回的投资者，从而减少对存量理财产品份额持有人利益的不利影响。</w:t>
      </w:r>
    </w:p>
    <w:p w14:paraId="27CD6C23">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14．流动性受限资产：是指由于法律法规、监管、合同或操作障碍等原因无法以合理价格予以变现的资产，包括到期日在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0EBA36D0">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7个工作日可变现资产</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包括可在交易所、银行间市场正常交易的股票、债券、非金融企业债务融资工具、期货及期权合约以及同业存单，7个工作日内到期或可支取的买入返售、银行存款，7个工作日内能够确认收到的各类应收款项等。</w:t>
      </w:r>
    </w:p>
    <w:p w14:paraId="18D5709A">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16</w:t>
      </w:r>
      <w:r>
        <w:rPr>
          <w:rFonts w:hint="eastAsia" w:ascii="黑体" w:hAnsi="黑体" w:eastAsia="黑体"/>
          <w:color w:val="000000" w:themeColor="text1"/>
          <w:sz w:val="20"/>
          <w:szCs w:val="20"/>
          <w14:textFill>
            <w14:solidFill>
              <w14:schemeClr w14:val="tx1"/>
            </w14:solidFill>
          </w14:textFill>
        </w:rPr>
        <w:t>．定期开放周期：</w:t>
      </w:r>
      <w:r>
        <w:rPr>
          <w:rFonts w:ascii="黑体" w:hAnsi="黑体" w:eastAsia="黑体"/>
          <w:color w:val="000000" w:themeColor="text1"/>
          <w:sz w:val="20"/>
          <w:szCs w:val="20"/>
          <w14:textFill>
            <w14:solidFill>
              <w14:schemeClr w14:val="tx1"/>
            </w14:solidFill>
          </w14:textFill>
        </w:rPr>
        <w:t>指定期开放式理财产品</w:t>
      </w:r>
      <w:r>
        <w:rPr>
          <w:rFonts w:hint="eastAsia" w:ascii="黑体" w:hAnsi="黑体" w:eastAsia="黑体"/>
          <w:color w:val="000000" w:themeColor="text1"/>
          <w:sz w:val="20"/>
          <w:szCs w:val="20"/>
          <w14:textFill>
            <w14:solidFill>
              <w14:schemeClr w14:val="tx1"/>
            </w14:solidFill>
          </w14:textFill>
        </w:rPr>
        <w:t>2个</w:t>
      </w:r>
      <w:r>
        <w:rPr>
          <w:rFonts w:ascii="黑体" w:hAnsi="黑体" w:eastAsia="黑体"/>
          <w:color w:val="000000" w:themeColor="text1"/>
          <w:sz w:val="20"/>
          <w:szCs w:val="20"/>
          <w14:textFill>
            <w14:solidFill>
              <w14:schemeClr w14:val="tx1"/>
            </w14:solidFill>
          </w14:textFill>
        </w:rPr>
        <w:t>开放期的最短间隔天数。</w:t>
      </w:r>
    </w:p>
    <w:p w14:paraId="4F4D8FC6">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17．信银理财电子渠道：指信银理财官方网站（</w:t>
      </w:r>
      <w:r>
        <w:fldChar w:fldCharType="begin"/>
      </w:r>
      <w:r>
        <w:instrText xml:space="preserve"> HYPERLINK "http://www.citic-wealth.com" </w:instrText>
      </w:r>
      <w:r>
        <w:fldChar w:fldCharType="separate"/>
      </w:r>
      <w:r>
        <w:rPr>
          <w:rStyle w:val="10"/>
          <w:rFonts w:ascii="黑体" w:hAnsi="黑体" w:eastAsia="黑体"/>
          <w:sz w:val="20"/>
          <w:szCs w:val="20"/>
        </w:rPr>
        <w:t>http://www.citic-wealth.com</w:t>
      </w:r>
      <w:r>
        <w:rPr>
          <w:rStyle w:val="10"/>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14:paraId="6D9171DF">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18．信银理财直销渠道：指信银理财电子渠道及营业场所。</w:t>
      </w:r>
    </w:p>
    <w:p w14:paraId="7FCA7B22">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19．销售机构：指信银理财及代销机构。</w:t>
      </w:r>
    </w:p>
    <w:p w14:paraId="15E2C2C3">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20．理财产品合同：指本理财产品的《信银理财理财产品说明书》、《信银理财理财产品风险揭示书》和《信银理财理财产品投资协议书》及其不时有效修订与补充。</w:t>
      </w:r>
    </w:p>
    <w:p w14:paraId="37566C9C">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21．销售文件：指本理财产品的理财产品合同及《信银理财理财产品销售总协议》（含附件：客户权益须知专页）（或合作销售机构向投资者提供的理财产品销售协议文本）等文件及其不时有效修订与补充。</w:t>
      </w:r>
    </w:p>
    <w:p w14:paraId="0991783D">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p>
    <w:p w14:paraId="2CBE6E4A">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w:t>
      </w:r>
      <w:r>
        <w:rPr>
          <w:rFonts w:ascii="黑体" w:hAnsi="Times New Roman" w:eastAsia="黑体" w:cs="黑体"/>
          <w:b/>
          <w:bCs/>
          <w:color w:val="000000" w:themeColor="text1"/>
          <w:sz w:val="20"/>
          <w:szCs w:val="20"/>
          <w14:textFill>
            <w14:solidFill>
              <w14:schemeClr w14:val="tx1"/>
            </w14:solidFill>
          </w14:textFill>
        </w:rPr>
        <w:t>对应关系</w:t>
      </w:r>
      <w:r>
        <w:rPr>
          <w:rFonts w:hint="eastAsia" w:ascii="黑体" w:hAnsi="Times New Roman" w:eastAsia="黑体" w:cs="黑体"/>
          <w:b/>
          <w:bCs/>
          <w:color w:val="000000" w:themeColor="text1"/>
          <w:sz w:val="20"/>
          <w:szCs w:val="20"/>
          <w14:textFill>
            <w14:solidFill>
              <w14:schemeClr w14:val="tx1"/>
            </w14:solidFill>
          </w14:textFill>
        </w:rPr>
        <w:t>：</w:t>
      </w:r>
    </w:p>
    <w:p w14:paraId="2099D437">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0"/>
        <w:gridCol w:w="2552"/>
        <w:gridCol w:w="3410"/>
      </w:tblGrid>
      <w:tr w14:paraId="503E4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486F18D2">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14:paraId="69181E22">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3619" w:type="dxa"/>
            <w:vAlign w:val="center"/>
          </w:tcPr>
          <w:p w14:paraId="5D48E321">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14:paraId="65304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0159DC63">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14:paraId="6F687A29">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3619" w:type="dxa"/>
            <w:vAlign w:val="center"/>
          </w:tcPr>
          <w:p w14:paraId="16235994">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14:paraId="49A50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08A0178A">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14:paraId="00B3C441">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3619" w:type="dxa"/>
            <w:vAlign w:val="center"/>
          </w:tcPr>
          <w:p w14:paraId="0B7CB128">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14:paraId="210EA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5A05CAD4">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14:paraId="2B4319CF">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3619" w:type="dxa"/>
            <w:vAlign w:val="center"/>
          </w:tcPr>
          <w:p w14:paraId="4841D82A">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14:paraId="65D50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49ECAB66">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14:paraId="1778445F">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3619" w:type="dxa"/>
            <w:vAlign w:val="center"/>
          </w:tcPr>
          <w:p w14:paraId="7BE39B98">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14:paraId="4859E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3796C3EA">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14:paraId="2DE6C093">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3619" w:type="dxa"/>
            <w:vAlign w:val="center"/>
          </w:tcPr>
          <w:p w14:paraId="087695B5">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14:paraId="3CEA3964">
      <w:pPr>
        <w:snapToGrid w:val="0"/>
        <w:ind w:left="-2" w:leftChars="-1" w:right="53" w:rightChars="22" w:firstLine="422"/>
        <w:jc w:val="both"/>
        <w:rPr>
          <w:color w:val="000000" w:themeColor="text1"/>
          <w14:textFill>
            <w14:solidFill>
              <w14:schemeClr w14:val="tx1"/>
            </w14:solidFill>
          </w14:textFill>
        </w:rPr>
      </w:pPr>
    </w:p>
    <w:p w14:paraId="00A89297">
      <w:pPr>
        <w:snapToGrid w:val="0"/>
        <w:ind w:left="433" w:right="53" w:rightChars="22" w:hanging="435"/>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14:paraId="5E0C557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1．产品</w:t>
      </w:r>
      <w:r>
        <w:rPr>
          <w:rFonts w:ascii="楷体_GB2312" w:eastAsia="楷体_GB2312"/>
          <w:color w:val="000000" w:themeColor="text1"/>
          <w:sz w:val="20"/>
          <w:szCs w:val="20"/>
          <w14:textFill>
            <w14:solidFill>
              <w14:schemeClr w14:val="tx1"/>
            </w14:solidFill>
          </w14:textFill>
        </w:rPr>
        <w:t>投资策略：</w:t>
      </w:r>
    </w:p>
    <w:p w14:paraId="5F04CF0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产品通过综合分析经济形势、货币政策、利率走势、行业状况、信用风险等因素，立足于经济周期的不同阶段自上而下判断利率趋势及行业趋势，并基于内部信用评级体系自下而上分析企业的市场地位、管理水平、发展趋势和财务状况等，以此作为产品投资的重要依据。</w:t>
      </w:r>
    </w:p>
    <w:p w14:paraId="1A3883D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产品拟通过投资存款、债券等资产，以票息收入作为实现产品相对稳定收益的基础</w:t>
      </w:r>
      <w:r>
        <w:rPr>
          <w:rFonts w:ascii="楷体_GB2312" w:eastAsia="楷体_GB2312"/>
          <w:color w:val="000000" w:themeColor="text1"/>
          <w:sz w:val="20"/>
          <w:szCs w:val="20"/>
          <w14:textFill>
            <w14:solidFill>
              <w14:schemeClr w14:val="tx1"/>
            </w14:solidFill>
          </w14:textFill>
        </w:rPr>
        <w:t>。</w:t>
      </w:r>
    </w:p>
    <w:p w14:paraId="05259AF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本理财产品存续期间，投资于以下投资对象：</w:t>
      </w:r>
    </w:p>
    <w:p w14:paraId="0EB74F8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（1）债权类资产</w:t>
      </w:r>
    </w:p>
    <w:p w14:paraId="297388D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a</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货币市场类：现金</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存款、大额</w:t>
      </w:r>
      <w:r>
        <w:rPr>
          <w:rFonts w:ascii="楷体_GB2312" w:eastAsia="楷体_GB2312"/>
          <w:color w:val="000000" w:themeColor="text1"/>
          <w:sz w:val="20"/>
          <w:szCs w:val="20"/>
          <w14:textFill>
            <w14:solidFill>
              <w14:schemeClr w14:val="tx1"/>
            </w14:solidFill>
          </w14:textFill>
        </w:rPr>
        <w:t>存单、同业存单、</w:t>
      </w:r>
      <w:r>
        <w:rPr>
          <w:rFonts w:hint="eastAsia" w:ascii="楷体_GB2312" w:eastAsia="楷体_GB2312"/>
          <w:color w:val="000000" w:themeColor="text1"/>
          <w:sz w:val="20"/>
          <w:szCs w:val="20"/>
          <w14:textFill>
            <w14:solidFill>
              <w14:schemeClr w14:val="tx1"/>
            </w14:solidFill>
          </w14:textFill>
        </w:rPr>
        <w:t>货币基金、质押式回购和其他货币市场类资产；</w:t>
      </w:r>
    </w:p>
    <w:p w14:paraId="5054CDC2">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b.固定收益类：国债</w:t>
      </w:r>
      <w:r>
        <w:rPr>
          <w:rFonts w:ascii="楷体_GB2312" w:eastAsia="楷体_GB2312"/>
          <w:color w:val="000000" w:themeColor="text1"/>
          <w:sz w:val="20"/>
          <w:szCs w:val="20"/>
          <w14:textFill>
            <w14:solidFill>
              <w14:schemeClr w14:val="tx1"/>
            </w14:solidFill>
          </w14:textFill>
        </w:rPr>
        <w:t>、地方政府债券、中央银行票据、政府机构债券、金融债券、公司信用类债券、在银行间市场和证券交易所市场发行的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资产支持证券、非公开定向债务融资工具、债券型</w:t>
      </w:r>
      <w:r>
        <w:rPr>
          <w:rFonts w:ascii="楷体_GB2312" w:eastAsia="楷体_GB2312"/>
          <w:color w:val="000000" w:themeColor="text1"/>
          <w:sz w:val="20"/>
          <w:szCs w:val="20"/>
          <w14:textFill>
            <w14:solidFill>
              <w14:schemeClr w14:val="tx1"/>
            </w14:solidFill>
          </w14:textFill>
        </w:rPr>
        <w:t>证券投资</w:t>
      </w:r>
      <w:r>
        <w:rPr>
          <w:rFonts w:hint="eastAsia" w:ascii="楷体_GB2312" w:eastAsia="楷体_GB2312"/>
          <w:color w:val="000000" w:themeColor="text1"/>
          <w:sz w:val="20"/>
          <w:szCs w:val="20"/>
          <w14:textFill>
            <w14:solidFill>
              <w14:schemeClr w14:val="tx1"/>
            </w14:solidFill>
          </w14:textFill>
        </w:rPr>
        <w:t>基金、</w:t>
      </w:r>
      <w:r>
        <w:rPr>
          <w:rFonts w:ascii="楷体_GB2312" w:eastAsia="楷体_GB2312"/>
          <w:color w:val="000000" w:themeColor="text1"/>
          <w:sz w:val="20"/>
          <w:szCs w:val="20"/>
          <w14:textFill>
            <w14:solidFill>
              <w14:schemeClr w14:val="tx1"/>
            </w14:solidFill>
          </w14:textFill>
        </w:rPr>
        <w:t>非标准化债权类资产</w:t>
      </w:r>
      <w:r>
        <w:rPr>
          <w:rFonts w:hint="eastAsia" w:ascii="楷体_GB2312" w:eastAsia="楷体_GB2312"/>
          <w:color w:val="000000" w:themeColor="text1"/>
          <w:sz w:val="20"/>
          <w:szCs w:val="20"/>
          <w14:textFill>
            <w14:solidFill>
              <w14:schemeClr w14:val="tx1"/>
            </w14:solidFill>
          </w14:textFill>
        </w:rPr>
        <w:t>和其他固定收益类资产；</w:t>
      </w:r>
    </w:p>
    <w:p w14:paraId="606673C6">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Times New Roman" w:hAnsi="Times New Roman" w:eastAsia="楷体_GB2312"/>
          <w:color w:val="000000" w:themeColor="text1"/>
          <w:sz w:val="20"/>
          <w:szCs w:val="20"/>
          <w14:textFill>
            <w14:solidFill>
              <w14:schemeClr w14:val="tx1"/>
            </w14:solidFill>
          </w14:textFill>
        </w:rPr>
        <w:t>权益</w:t>
      </w:r>
      <w:r>
        <w:rPr>
          <w:rFonts w:ascii="Times New Roman" w:hAnsi="Times New Roman" w:eastAsia="楷体_GB2312"/>
          <w:color w:val="000000" w:themeColor="text1"/>
          <w:sz w:val="20"/>
          <w:szCs w:val="20"/>
          <w14:textFill>
            <w14:solidFill>
              <w14:schemeClr w14:val="tx1"/>
            </w14:solidFill>
          </w14:textFill>
        </w:rPr>
        <w:t>类</w:t>
      </w:r>
      <w:r>
        <w:rPr>
          <w:rFonts w:hint="eastAsia" w:ascii="Times New Roman" w:hAnsi="Times New Roman" w:eastAsia="楷体_GB2312"/>
          <w:color w:val="000000" w:themeColor="text1"/>
          <w:sz w:val="20"/>
          <w:szCs w:val="20"/>
          <w14:textFill>
            <w14:solidFill>
              <w14:schemeClr w14:val="tx1"/>
            </w14:solidFill>
          </w14:textFill>
        </w:rPr>
        <w:t>资产</w:t>
      </w:r>
      <w:r>
        <w:rPr>
          <w:rFonts w:ascii="Times New Roman" w:hAnsi="Times New Roman" w:eastAsia="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上市</w:t>
      </w:r>
      <w:r>
        <w:rPr>
          <w:rFonts w:ascii="楷体_GB2312" w:eastAsia="楷体_GB2312" w:cs="楷体_GB2312"/>
          <w:color w:val="000000" w:themeColor="text1"/>
          <w:sz w:val="20"/>
          <w:szCs w:val="20"/>
          <w14:textFill>
            <w14:solidFill>
              <w14:schemeClr w14:val="tx1"/>
            </w14:solidFill>
          </w14:textFill>
        </w:rPr>
        <w:t>交易</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股票以及法律法规允许或监管部门批准的其他具备权益特征的资产和资产组合</w:t>
      </w:r>
      <w:r>
        <w:rPr>
          <w:rFonts w:ascii="Times New Roman" w:hAnsi="Times New Roman" w:eastAsia="楷体_GB2312"/>
          <w:color w:val="000000" w:themeColor="text1"/>
          <w:sz w:val="20"/>
          <w:szCs w:val="20"/>
          <w14:textFill>
            <w14:solidFill>
              <w14:schemeClr w14:val="tx1"/>
            </w14:solidFill>
          </w14:textFill>
        </w:rPr>
        <w:t>。</w:t>
      </w:r>
    </w:p>
    <w:p w14:paraId="55746D23">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商品</w:t>
      </w:r>
      <w:r>
        <w:rPr>
          <w:rFonts w:ascii="Times New Roman" w:hAnsi="Times New Roman" w:eastAsia="楷体_GB2312"/>
          <w:color w:val="000000" w:themeColor="text1"/>
          <w:sz w:val="20"/>
          <w:szCs w:val="20"/>
          <w14:textFill>
            <w14:solidFill>
              <w14:schemeClr w14:val="tx1"/>
            </w14:solidFill>
          </w14:textFill>
        </w:rPr>
        <w:t>及</w:t>
      </w:r>
      <w:r>
        <w:rPr>
          <w:rFonts w:hint="eastAsia" w:ascii="Times New Roman" w:hAnsi="Times New Roman" w:eastAsia="楷体_GB2312"/>
          <w:color w:val="000000" w:themeColor="text1"/>
          <w:sz w:val="20"/>
          <w:szCs w:val="20"/>
          <w14:textFill>
            <w14:solidFill>
              <w14:schemeClr w14:val="tx1"/>
            </w14:solidFill>
          </w14:textFill>
        </w:rPr>
        <w:t>金融</w:t>
      </w:r>
      <w:r>
        <w:rPr>
          <w:rFonts w:ascii="Times New Roman" w:hAnsi="Times New Roman" w:eastAsia="楷体_GB2312"/>
          <w:color w:val="000000" w:themeColor="text1"/>
          <w:sz w:val="20"/>
          <w:szCs w:val="20"/>
          <w14:textFill>
            <w14:solidFill>
              <w14:schemeClr w14:val="tx1"/>
            </w14:solidFill>
          </w14:textFill>
        </w:rPr>
        <w:t>衍生品类资产：</w:t>
      </w:r>
      <w:r>
        <w:rPr>
          <w:rFonts w:hint="eastAsia" w:ascii="Times New Roman" w:hAnsi="Times New Roman" w:eastAsia="楷体_GB2312"/>
          <w:color w:val="000000" w:themeColor="text1"/>
          <w:sz w:val="20"/>
          <w:szCs w:val="20"/>
          <w14:textFill>
            <w14:solidFill>
              <w14:schemeClr w14:val="tx1"/>
            </w14:solidFill>
          </w14:textFill>
        </w:rPr>
        <w:t>商品现货，互换</w:t>
      </w:r>
      <w:r>
        <w:rPr>
          <w:rFonts w:ascii="Times New Roman" w:hAnsi="Times New Roman"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14:paraId="6E8BBB5E">
      <w:pPr>
        <w:spacing w:line="300" w:lineRule="exact"/>
        <w:ind w:firstLine="400" w:firstLineChars="200"/>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各</w:t>
      </w:r>
      <w:r>
        <w:rPr>
          <w:rFonts w:ascii="Times New Roman" w:hAnsi="Times New Roman" w:eastAsia="楷体_GB2312"/>
          <w:color w:val="000000" w:themeColor="text1"/>
          <w:sz w:val="20"/>
          <w:szCs w:val="20"/>
          <w14:textFill>
            <w14:solidFill>
              <w14:schemeClr w14:val="tx1"/>
            </w14:solidFill>
          </w14:textFill>
        </w:rPr>
        <w:t>投资对象投资比例为：</w:t>
      </w: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09"/>
        <w:gridCol w:w="3813"/>
      </w:tblGrid>
      <w:tr w14:paraId="51B88D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019FF552">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资产种类</w:t>
            </w:r>
          </w:p>
        </w:tc>
        <w:tc>
          <w:tcPr>
            <w:tcW w:w="2237" w:type="pct"/>
            <w:vAlign w:val="center"/>
          </w:tcPr>
          <w:p w14:paraId="7092FB1D">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投资比例</w:t>
            </w:r>
          </w:p>
        </w:tc>
      </w:tr>
      <w:tr w14:paraId="371B9D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30251066">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债权类资产</w:t>
            </w:r>
          </w:p>
        </w:tc>
        <w:tc>
          <w:tcPr>
            <w:tcW w:w="2237" w:type="pct"/>
            <w:vAlign w:val="center"/>
          </w:tcPr>
          <w:p w14:paraId="18F2D680">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【100%】</w:t>
            </w:r>
          </w:p>
        </w:tc>
      </w:tr>
      <w:tr w14:paraId="3567E5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39848F1D">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其中</w:t>
            </w:r>
            <w:r>
              <w:rPr>
                <w:rFonts w:ascii="楷体" w:hAnsi="楷体" w:eastAsia="楷体"/>
                <w:color w:val="000000" w:themeColor="text1"/>
                <w:sz w:val="20"/>
                <w:szCs w:val="20"/>
                <w14:textFill>
                  <w14:solidFill>
                    <w14:schemeClr w14:val="tx1"/>
                  </w14:solidFill>
                </w14:textFill>
              </w:rPr>
              <w:t>，非标准化债权类资产</w:t>
            </w:r>
          </w:p>
        </w:tc>
        <w:tc>
          <w:tcPr>
            <w:tcW w:w="2237" w:type="pct"/>
            <w:vAlign w:val="center"/>
          </w:tcPr>
          <w:p w14:paraId="2D73253A">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p>
        </w:tc>
      </w:tr>
      <w:tr w14:paraId="5E1DC3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6DE7F177">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权益类资产</w:t>
            </w:r>
          </w:p>
        </w:tc>
        <w:tc>
          <w:tcPr>
            <w:tcW w:w="2237" w:type="pct"/>
            <w:vAlign w:val="center"/>
          </w:tcPr>
          <w:p w14:paraId="76275611">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0BAA8E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36E148E2">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资产：持仓合约价值</w:t>
            </w:r>
          </w:p>
        </w:tc>
        <w:tc>
          <w:tcPr>
            <w:tcW w:w="2237" w:type="pct"/>
            <w:vAlign w:val="center"/>
          </w:tcPr>
          <w:p w14:paraId="7BB5E1F6">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r>
              <w:rPr>
                <w:rFonts w:hint="eastAsia" w:ascii="楷体" w:hAnsi="楷体" w:eastAsia="楷体"/>
                <w:color w:val="000000" w:themeColor="text1"/>
                <w:sz w:val="20"/>
                <w:szCs w:val="20"/>
                <w14:textFill>
                  <w14:solidFill>
                    <w14:schemeClr w14:val="tx1"/>
                  </w14:solidFill>
                </w14:textFill>
              </w:rPr>
              <w:t>】</w:t>
            </w:r>
          </w:p>
        </w:tc>
      </w:tr>
      <w:tr w14:paraId="7CC73A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29327939">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资产：衍生品账户权益</w:t>
            </w:r>
          </w:p>
        </w:tc>
        <w:tc>
          <w:tcPr>
            <w:tcW w:w="2237" w:type="pct"/>
            <w:vAlign w:val="center"/>
          </w:tcPr>
          <w:p w14:paraId="106138A8">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r>
              <w:rPr>
                <w:rFonts w:hint="eastAsia" w:ascii="楷体" w:hAnsi="楷体" w:eastAsia="楷体"/>
                <w:color w:val="000000" w:themeColor="text1"/>
                <w:sz w:val="20"/>
                <w:szCs w:val="20"/>
                <w14:textFill>
                  <w14:solidFill>
                    <w14:schemeClr w14:val="tx1"/>
                  </w14:solidFill>
                </w14:textFill>
              </w:rPr>
              <w:t>】</w:t>
            </w:r>
          </w:p>
        </w:tc>
      </w:tr>
    </w:tbl>
    <w:p w14:paraId="0214A1CC">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14:paraId="6C8FD278">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可通过信托、证券、基金、期货、保险资产管理机构等依法设立的资产管理产品以及其他符合国家相关政策、法律法规的投资渠道和方式实现对上述投资品种的投资，且可以由资产名义持有人按公允价格转让本产品所投资的全部或部分投资标的。</w:t>
      </w:r>
    </w:p>
    <w:p w14:paraId="648A2ABF">
      <w:pPr>
        <w:spacing w:line="300" w:lineRule="exact"/>
        <w:ind w:firstLine="400" w:firstLineChars="200"/>
        <w:jc w:val="both"/>
        <w:rPr>
          <w:rFonts w:ascii="楷体_GB2312" w:hAnsi="Times New Roman" w:eastAsia="楷体_GB2312"/>
          <w:color w:val="000000" w:themeColor="text1"/>
          <w:sz w:val="20"/>
          <w:szCs w:val="20"/>
          <w14:textFill>
            <w14:solidFill>
              <w14:schemeClr w14:val="tx1"/>
            </w14:solidFill>
          </w14:textFill>
        </w:rPr>
      </w:pPr>
      <w:r>
        <w:rPr>
          <w:rFonts w:hint="eastAsia" w:ascii="楷体_GB2312" w:hAnsi="Times New Roman" w:eastAsia="楷体_GB2312"/>
          <w:color w:val="000000" w:themeColor="text1"/>
          <w:sz w:val="20"/>
          <w:szCs w:val="20"/>
          <w14:textFill>
            <w14:solidFill>
              <w14:schemeClr w14:val="tx1"/>
            </w14:solidFill>
          </w14:textFill>
        </w:rPr>
        <w:t>产品管理人应确保本产品建仓期后投资比例符合前述要求，非因管理人主观因素导致突破前述比例限制的，管理人应在流动性受限资产可出售、可转让或者恢复交易的15个交易日内调整至符合要求，国务院银行业监督管理机构规定的特殊情形除外。</w:t>
      </w:r>
    </w:p>
    <w:p w14:paraId="2396DA8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有权根据市场情况，在不损害投资者利益且根据本说明书约定提前通知投资者的情况下，对本产品的投资范围、投资品种或投资比例进行调整。投资者不接受的，可于最近一期开放日赎回理财产品。除高风险类型的产品超出比例范围投资较低风险资产外，产品管理人应按监管要求提前取得投资者书面同意，并履行登记备案等法律法规以及金融监督管理部门规定的程序。</w:t>
      </w:r>
    </w:p>
    <w:p w14:paraId="6D4AFBAE">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4．</w:t>
      </w:r>
      <w:r>
        <w:rPr>
          <w:rFonts w:hint="eastAsia" w:ascii="楷体_GB2312" w:hAnsi="Times New Roman" w:eastAsia="楷体_GB2312" w:cs="楷体_GB2312"/>
          <w:color w:val="000000" w:themeColor="text1"/>
          <w:sz w:val="20"/>
          <w:szCs w:val="20"/>
          <w14:textFill>
            <w14:solidFill>
              <w14:schemeClr w14:val="tx1"/>
            </w14:solidFill>
          </w14:textFill>
        </w:rPr>
        <w:t>投资限制：</w:t>
      </w:r>
    </w:p>
    <w:p w14:paraId="70A645B5">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（1）本产品总资产不得超过净资产的140%；</w:t>
      </w:r>
    </w:p>
    <w:p w14:paraId="35CD2891">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 xml:space="preserve">（2）产品定期开放周期不低于90天的，在开放日及开放日前7个工作日内持有现金或者到期日在一年以内的国债、中央银行票据和政策性金融债券比例应不低于产品净资产的5%。产品定期开放周期低于90天的，应保证每日日终现金或者到期日在一年以内的国债、中央银行票据和政策性金融债券比例不低于产品净资产的5%; </w:t>
      </w:r>
    </w:p>
    <w:p w14:paraId="1A9A073D">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3）本产品投资单只证券或者单只证券投资基金的市值不得超过产品净资产的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14:paraId="22146A5B">
      <w:pPr>
        <w:spacing w:line="300" w:lineRule="exact"/>
        <w:ind w:firstLine="426" w:firstLineChars="213"/>
        <w:jc w:val="both"/>
        <w:rPr>
          <w:rFonts w:ascii="楷体_GB2312" w:hAnsi="Times New Roman" w:eastAsia="楷体_GB2312" w:cs="楷体_GB2312"/>
          <w:b/>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（4）</w:t>
      </w:r>
      <w:r>
        <w:rPr>
          <w:rFonts w:hint="eastAsia" w:ascii="楷体_GB2312" w:hAnsi="Times New Roman" w:eastAsia="楷体_GB2312" w:cs="楷体_GB2312"/>
          <w:b/>
          <w:color w:val="000000" w:themeColor="text1"/>
          <w:sz w:val="20"/>
          <w:szCs w:val="20"/>
          <w14:textFill>
            <w14:solidFill>
              <w14:schemeClr w14:val="tx1"/>
            </w14:solidFill>
          </w14:textFill>
        </w:rPr>
        <w:t>不得同时出现下述情形:</w:t>
      </w:r>
    </w:p>
    <w:p w14:paraId="0440EB92">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（a）计划投资不存在活跃交易市场，并且需要采用估值技术确定公允价值的资产；</w:t>
      </w:r>
    </w:p>
    <w:p w14:paraId="4999F098">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（b）计划投资上述资产的比例达到产品净资产50%以上。</w:t>
      </w:r>
    </w:p>
    <w:p w14:paraId="31AFC5AB">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b/>
          <w:color w:val="000000" w:themeColor="text1"/>
          <w:sz w:val="20"/>
          <w:szCs w:val="20"/>
          <w14:textFill>
            <w14:solidFill>
              <w14:schemeClr w14:val="tx1"/>
            </w14:solidFill>
          </w14:textFill>
        </w:rPr>
        <w:t>本产品单一投资者持有份额不得超过产品总份额的50%。</w:t>
      </w:r>
      <w:r>
        <w:rPr>
          <w:rFonts w:hint="eastAsia" w:ascii="楷体_GB2312" w:hAnsi="Times New Roman" w:eastAsia="楷体_GB2312" w:cs="楷体_GB2312"/>
          <w:color w:val="000000" w:themeColor="text1"/>
          <w:sz w:val="20"/>
          <w:szCs w:val="20"/>
          <w14:textFill>
            <w14:solidFill>
              <w14:schemeClr w14:val="tx1"/>
            </w14:solidFill>
          </w14:textFill>
        </w:rPr>
        <w:t>在该种情形下，非因管理人主观因素导致突破前款规定比例限制的，在单一投资者持有比例降至50%以下之前，管理人不得再接受该投资者对该理财产品的认购/申购申请。</w:t>
      </w:r>
    </w:p>
    <w:p w14:paraId="3F3F11C7">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6）直接投资于流动性受限资产的市值在开放日不得超过产品资产净值的15%。因证券市场波动、上市公司股票停牌、理财产品规模变动等因素导致理财产品不符合本条规定比例限制的，不得主动新增投资流动性受限资产。</w:t>
      </w:r>
    </w:p>
    <w:p w14:paraId="7199E545">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（7）在开放日前一工作日内，7个工作日可变现资产的可变现价值应当不低于该产品资产净值的10%。</w:t>
      </w:r>
    </w:p>
    <w:p w14:paraId="37FD6A13">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0FDB24DC">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14:paraId="6521CA1C">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p>
    <w:p w14:paraId="7883F1B2">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1"/>
        <w:gridCol w:w="6601"/>
      </w:tblGrid>
      <w:tr w14:paraId="00072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1" w:hRule="atLeast"/>
        </w:trPr>
        <w:tc>
          <w:tcPr>
            <w:tcW w:w="1127" w:type="pct"/>
            <w:vAlign w:val="center"/>
          </w:tcPr>
          <w:p w14:paraId="78DC2269">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873" w:type="pct"/>
            <w:vAlign w:val="center"/>
          </w:tcPr>
          <w:p w14:paraId="302113F3">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【信银理财安盈象固收稳利日开37号理财产品】</w:t>
            </w:r>
          </w:p>
        </w:tc>
      </w:tr>
      <w:tr w14:paraId="3A26C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2DEB7120">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873" w:type="pct"/>
            <w:vAlign w:val="center"/>
          </w:tcPr>
          <w:p w14:paraId="3C5F96BE">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Z7002624000831】</w:t>
            </w:r>
          </w:p>
        </w:tc>
      </w:tr>
      <w:tr w14:paraId="12430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AF52B2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873" w:type="pct"/>
            <w:vAlign w:val="center"/>
          </w:tcPr>
          <w:p w14:paraId="3A84C33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AF245807】</w:t>
            </w:r>
          </w:p>
        </w:tc>
      </w:tr>
      <w:tr w14:paraId="616CA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DC8A439">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873" w:type="pct"/>
            <w:vAlign w:val="center"/>
          </w:tcPr>
          <w:p w14:paraId="15510D0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公募</w:t>
            </w:r>
            <w:r>
              <w:rPr>
                <w:rFonts w:ascii="楷体_GB2312" w:eastAsia="楷体_GB2312" w:cs="楷体_GB2312"/>
                <w:color w:val="000000" w:themeColor="text1"/>
                <w:sz w:val="20"/>
                <w:szCs w:val="20"/>
                <w14:textFill>
                  <w14:solidFill>
                    <w14:schemeClr w14:val="tx1"/>
                  </w14:solidFill>
                </w14:textFill>
              </w:rPr>
              <w:t>、【固定收益类】、开放式</w:t>
            </w:r>
          </w:p>
        </w:tc>
      </w:tr>
      <w:tr w14:paraId="400E3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F71FAF3">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873" w:type="pct"/>
            <w:vAlign w:val="center"/>
          </w:tcPr>
          <w:p w14:paraId="72B4FDB0">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sz w:val="20"/>
                <w:szCs w:val="20"/>
              </w:rPr>
              <w:t>PR</w:t>
            </w:r>
            <w:r>
              <w:rPr>
                <w:rFonts w:hint="eastAsia"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sz w:val="20"/>
                <w:szCs w:val="20"/>
              </w:rPr>
              <w:t>】级（【</w:t>
            </w:r>
            <w:r>
              <w:rPr>
                <w:rFonts w:hint="eastAsia" w:ascii="楷体_GB2312" w:eastAsia="楷体_GB2312" w:cs="楷体_GB2312"/>
                <w:color w:val="000000" w:themeColor="text1"/>
                <w:sz w:val="20"/>
                <w:szCs w:val="20"/>
                <w14:textFill>
                  <w14:solidFill>
                    <w14:schemeClr w14:val="tx1"/>
                  </w14:solidFill>
                </w14:textFill>
              </w:rPr>
              <w:t>稳健</w:t>
            </w:r>
            <w:r>
              <w:rPr>
                <w:rFonts w:hint="eastAsia" w:ascii="楷体_GB2312" w:eastAsia="楷体_GB2312" w:cs="楷体_GB2312"/>
                <w:sz w:val="20"/>
                <w:szCs w:val="20"/>
              </w:rPr>
              <w:t>】</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。本风险分级为信银理财自行评定，仅供参考。</w:t>
            </w:r>
          </w:p>
          <w:p w14:paraId="247538B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产品通过代销机构销售的，代销机构将</w:t>
            </w:r>
            <w:r>
              <w:rPr>
                <w:rFonts w:hint="eastAsia" w:ascii="楷体_GB2312" w:eastAsia="楷体_GB2312" w:cs="楷体_GB2312"/>
                <w:color w:val="000000" w:themeColor="text1"/>
                <w:sz w:val="20"/>
                <w:szCs w:val="20"/>
                <w14:textFill>
                  <w14:solidFill>
                    <w14:schemeClr w14:val="tx1"/>
                  </w14:solidFill>
                </w14:textFill>
              </w:rPr>
              <w:t>对</w:t>
            </w:r>
            <w:r>
              <w:rPr>
                <w:rFonts w:ascii="楷体_GB2312" w:eastAsia="楷体_GB2312" w:cs="楷体_GB2312"/>
                <w:color w:val="000000" w:themeColor="text1"/>
                <w:sz w:val="20"/>
                <w:szCs w:val="20"/>
                <w14:textFill>
                  <w14:solidFill>
                    <w14:schemeClr w14:val="tx1"/>
                  </w14:solidFill>
                </w14:textFill>
              </w:rPr>
              <w:t>理财产品进行风险评级</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对投资者进行风险</w:t>
            </w:r>
            <w:r>
              <w:rPr>
                <w:rFonts w:hint="eastAsia" w:ascii="楷体_GB2312" w:eastAsia="楷体_GB2312" w:cs="楷体_GB2312"/>
                <w:color w:val="000000" w:themeColor="text1"/>
                <w:sz w:val="20"/>
                <w:szCs w:val="20"/>
                <w14:textFill>
                  <w14:solidFill>
                    <w14:schemeClr w14:val="tx1"/>
                  </w14:solidFill>
                </w14:textFill>
              </w:rPr>
              <w:t>承受能力</w:t>
            </w:r>
            <w:r>
              <w:rPr>
                <w:rFonts w:ascii="楷体_GB2312" w:eastAsia="楷体_GB2312" w:cs="楷体_GB2312"/>
                <w:color w:val="000000" w:themeColor="text1"/>
                <w:sz w:val="20"/>
                <w:szCs w:val="20"/>
                <w14:textFill>
                  <w14:solidFill>
                    <w14:schemeClr w14:val="tx1"/>
                  </w14:solidFill>
                </w14:textFill>
              </w:rPr>
              <w:t>测评</w:t>
            </w:r>
            <w:r>
              <w:rPr>
                <w:rFonts w:hint="eastAsia" w:ascii="楷体_GB2312" w:eastAsia="楷体_GB2312" w:cs="楷体_GB2312"/>
                <w:color w:val="000000" w:themeColor="text1"/>
                <w:sz w:val="20"/>
                <w:szCs w:val="20"/>
                <w14:textFill>
                  <w14:solidFill>
                    <w14:schemeClr w14:val="tx1"/>
                  </w14:solidFill>
                </w14:textFill>
              </w:rPr>
              <w:t>，理财产品评级应当以代销机构最终披露的评级结果为准</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代销</w:t>
            </w:r>
            <w:r>
              <w:rPr>
                <w:rFonts w:ascii="楷体_GB2312" w:eastAsia="楷体_GB2312" w:cs="楷体_GB2312"/>
                <w:color w:val="000000" w:themeColor="text1"/>
                <w:sz w:val="20"/>
                <w:szCs w:val="20"/>
                <w14:textFill>
                  <w14:solidFill>
                    <w14:schemeClr w14:val="tx1"/>
                  </w14:solidFill>
                </w14:textFill>
              </w:rPr>
              <w:t>机构对</w:t>
            </w:r>
            <w:r>
              <w:rPr>
                <w:rFonts w:hint="eastAsia" w:ascii="楷体_GB2312" w:eastAsia="楷体_GB2312" w:cs="楷体_GB2312"/>
                <w:color w:val="000000" w:themeColor="text1"/>
                <w:sz w:val="20"/>
                <w:szCs w:val="20"/>
                <w14:textFill>
                  <w14:solidFill>
                    <w14:schemeClr w14:val="tx1"/>
                  </w14:solidFill>
                </w14:textFill>
              </w:rPr>
              <w:t>产品的</w:t>
            </w:r>
            <w:r>
              <w:rPr>
                <w:rFonts w:ascii="楷体_GB2312" w:eastAsia="楷体_GB2312" w:cs="楷体_GB2312"/>
                <w:color w:val="000000" w:themeColor="text1"/>
                <w:sz w:val="20"/>
                <w:szCs w:val="20"/>
                <w14:textFill>
                  <w14:solidFill>
                    <w14:schemeClr w14:val="tx1"/>
                  </w14:solidFill>
                </w14:textFill>
              </w:rPr>
              <w:t>风险</w:t>
            </w:r>
            <w:r>
              <w:rPr>
                <w:rFonts w:hint="eastAsia" w:ascii="楷体_GB2312" w:eastAsia="楷体_GB2312" w:cs="楷体_GB2312"/>
                <w:color w:val="000000" w:themeColor="text1"/>
                <w:sz w:val="20"/>
                <w:szCs w:val="20"/>
                <w14:textFill>
                  <w14:solidFill>
                    <w14:schemeClr w14:val="tx1"/>
                  </w14:solidFill>
                </w14:textFill>
              </w:rPr>
              <w:t>评级</w:t>
            </w:r>
            <w:r>
              <w:rPr>
                <w:rFonts w:ascii="楷体_GB2312" w:eastAsia="楷体_GB2312" w:cs="楷体_GB2312"/>
                <w:color w:val="000000" w:themeColor="text1"/>
                <w:sz w:val="20"/>
                <w:szCs w:val="20"/>
                <w14:textFill>
                  <w14:solidFill>
                    <w14:schemeClr w14:val="tx1"/>
                  </w14:solidFill>
                </w14:textFill>
              </w:rPr>
              <w:t>结果与信银理财不一致的，将采用对应较高风险</w:t>
            </w:r>
            <w:r>
              <w:rPr>
                <w:rFonts w:hint="eastAsia" w:ascii="楷体_GB2312" w:eastAsia="楷体_GB2312" w:cs="楷体_GB2312"/>
                <w:color w:val="000000" w:themeColor="text1"/>
                <w:sz w:val="20"/>
                <w:szCs w:val="20"/>
                <w14:textFill>
                  <w14:solidFill>
                    <w14:schemeClr w14:val="tx1"/>
                  </w14:solidFill>
                </w14:textFill>
              </w:rPr>
              <w:t>等级</w:t>
            </w:r>
            <w:r>
              <w:rPr>
                <w:rFonts w:ascii="楷体_GB2312" w:eastAsia="楷体_GB2312" w:cs="楷体_GB2312"/>
                <w:color w:val="000000" w:themeColor="text1"/>
                <w:sz w:val="20"/>
                <w:szCs w:val="20"/>
                <w14:textFill>
                  <w14:solidFill>
                    <w14:schemeClr w14:val="tx1"/>
                  </w14:solidFill>
                </w14:textFill>
              </w:rPr>
              <w:t>的评级结果。</w:t>
            </w:r>
          </w:p>
        </w:tc>
      </w:tr>
      <w:tr w14:paraId="685D4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8B37E3E">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873" w:type="pct"/>
            <w:vAlign w:val="center"/>
          </w:tcPr>
          <w:p w14:paraId="78FEF72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w:t>
            </w:r>
            <w:r>
              <w:rPr>
                <w:rFonts w:ascii="楷体_GB2312" w:eastAsia="楷体_GB2312" w:cs="楷体_GB2312"/>
                <w:color w:val="000000" w:themeColor="text1"/>
                <w:sz w:val="20"/>
                <w:szCs w:val="20"/>
                <w14:textFill>
                  <w14:solidFill>
                    <w14:schemeClr w14:val="tx1"/>
                  </w14:solidFill>
                </w14:textFill>
              </w:rPr>
              <w:t>/机构】</w:t>
            </w:r>
            <w:r>
              <w:rPr>
                <w:rFonts w:hint="eastAsia" w:ascii="楷体_GB2312" w:eastAsia="楷体_GB2312" w:cs="楷体_GB2312"/>
                <w:color w:val="000000" w:themeColor="text1"/>
                <w:sz w:val="20"/>
                <w:szCs w:val="20"/>
                <w14:textFill>
                  <w14:solidFill>
                    <w14:schemeClr w14:val="tx1"/>
                  </w14:solidFill>
                </w14:textFill>
              </w:rPr>
              <w:t>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适合</w:t>
            </w:r>
            <w:r>
              <w:rPr>
                <w:rFonts w:hint="eastAsia" w:ascii="楷体_GB2312" w:eastAsia="楷体_GB2312" w:cs="Times New Roman"/>
                <w:sz w:val="20"/>
                <w:szCs w:val="20"/>
              </w:rPr>
              <w:t>【稳健型】【平衡型】【进取型】【激进型】</w:t>
            </w:r>
            <w:r>
              <w:rPr>
                <w:rFonts w:hint="eastAsia"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sz w:val="20"/>
                <w:szCs w:val="20"/>
              </w:rPr>
              <w:t>代销机构对产品的发行对象与信银理财不一致的，以代销机构为准。</w:t>
            </w:r>
          </w:p>
        </w:tc>
      </w:tr>
      <w:tr w14:paraId="7F6A4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C89F815">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873" w:type="pct"/>
            <w:vAlign w:val="center"/>
          </w:tcPr>
          <w:p w14:paraId="53FF2CE6">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14:paraId="2C04A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2AA6BEB2">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873" w:type="pct"/>
            <w:vAlign w:val="center"/>
          </w:tcPr>
          <w:p w14:paraId="59EE74D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14:paraId="6EA87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AF6DAAB">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873" w:type="pct"/>
            <w:vAlign w:val="center"/>
          </w:tcPr>
          <w:p w14:paraId="7B2FAA62">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w:t>
            </w:r>
          </w:p>
        </w:tc>
      </w:tr>
      <w:tr w14:paraId="71AE8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27" w:type="pct"/>
            <w:vAlign w:val="center"/>
          </w:tcPr>
          <w:p w14:paraId="67AE620E">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873" w:type="pct"/>
            <w:vAlign w:val="center"/>
          </w:tcPr>
          <w:p w14:paraId="0B52B115">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AF245807B】</w:t>
            </w:r>
          </w:p>
          <w:p w14:paraId="3E16617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AF245807G】</w:t>
            </w:r>
          </w:p>
          <w:p w14:paraId="51172BC4">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M类份额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AF245807M】</w:t>
            </w:r>
          </w:p>
          <w:p w14:paraId="00F6E96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T</w:t>
            </w:r>
            <w:r>
              <w:rPr>
                <w:rFonts w:ascii="楷体_GB2312" w:eastAsia="楷体_GB2312" w:cs="楷体_GB2312"/>
                <w:color w:val="000000" w:themeColor="text1"/>
                <w:sz w:val="20"/>
                <w:szCs w:val="20"/>
                <w14:textFill>
                  <w14:solidFill>
                    <w14:schemeClr w14:val="tx1"/>
                  </w14:solidFill>
                </w14:textFill>
              </w:rPr>
              <w:t>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AF245807T】</w:t>
            </w:r>
          </w:p>
          <w:p w14:paraId="7BA6A6D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X类份额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AF245807X】</w:t>
            </w:r>
          </w:p>
          <w:p w14:paraId="582FF49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27F4B41D">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14:paraId="7CC1A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27" w:type="pct"/>
            <w:vAlign w:val="center"/>
          </w:tcPr>
          <w:p w14:paraId="4C52598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873" w:type="pct"/>
            <w:vAlign w:val="center"/>
          </w:tcPr>
          <w:p w14:paraId="0E415E0C">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指除中国法定节假日和公休日外的其他日。</w:t>
            </w:r>
          </w:p>
        </w:tc>
      </w:tr>
      <w:tr w14:paraId="23AF6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27" w:type="pct"/>
            <w:vAlign w:val="center"/>
          </w:tcPr>
          <w:p w14:paraId="3DBAC20C">
            <w:pPr>
              <w:spacing w:line="300" w:lineRule="exact"/>
              <w:ind w:left="-2" w:leftChars="-1" w:right="36" w:rightChars="15"/>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tc>
        <w:tc>
          <w:tcPr>
            <w:tcW w:w="3873" w:type="pct"/>
            <w:vAlign w:val="center"/>
          </w:tcPr>
          <w:p w14:paraId="40B31269">
            <w:pPr>
              <w:pStyle w:val="18"/>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至【2024】年【</w:t>
            </w:r>
            <w:r>
              <w:rPr>
                <w:rFonts w:ascii="楷体_GB2312" w:eastAsia="楷体_GB2312" w:cs="楷体_GB2312"/>
                <w:color w:val="000000" w:themeColor="text1"/>
                <w:sz w:val="20"/>
                <w:szCs w:val="20"/>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】月【7】日，</w:t>
            </w:r>
            <w:r>
              <w:rPr>
                <w:rFonts w:hint="eastAsia" w:ascii="Times New Roman" w:hAnsi="Times New Roman" w:eastAsia="楷体_GB2312" w:cs="Times New Roman"/>
                <w:color w:val="000000" w:themeColor="text1"/>
                <w:sz w:val="20"/>
                <w:szCs w:val="20"/>
                <w14:textFill>
                  <w14:solidFill>
                    <w14:schemeClr w14:val="tx1"/>
                  </w14:solidFill>
                </w14:textFill>
              </w:rPr>
              <w:t>信银理财有权提前结束募集期并提前成立产品或者延长募集期。</w:t>
            </w:r>
          </w:p>
          <w:p w14:paraId="31FA1DE7">
            <w:pPr>
              <w:pStyle w:val="18"/>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Times New Roman" w:hAnsi="Times New Roman" w:eastAsia="楷体_GB2312" w:cs="Times New Roman"/>
                <w:color w:val="000000" w:themeColor="text1"/>
                <w:sz w:val="20"/>
                <w:szCs w:val="20"/>
                <w14:textFill>
                  <w14:solidFill>
                    <w14:schemeClr w14:val="tx1"/>
                  </w14:solidFill>
                </w14:textFill>
              </w:rPr>
              <w:t>投资者在</w:t>
            </w:r>
            <w:r>
              <w:rPr>
                <w:rFonts w:hint="eastAsia" w:ascii="Times New Roman" w:hAnsi="Times New Roman" w:eastAsia="楷体_GB2312" w:cs="Times New Roman"/>
                <w:color w:val="000000" w:themeColor="text1"/>
                <w:sz w:val="20"/>
                <w:szCs w:val="20"/>
                <w14:textFill>
                  <w14:solidFill>
                    <w14:schemeClr w14:val="tx1"/>
                  </w14:solidFill>
                </w14:textFill>
              </w:rPr>
              <w:t>信银</w:t>
            </w:r>
            <w:r>
              <w:rPr>
                <w:rFonts w:ascii="Times New Roman" w:hAnsi="Times New Roman" w:eastAsia="楷体_GB2312" w:cs="Times New Roman"/>
                <w:color w:val="000000" w:themeColor="text1"/>
                <w:sz w:val="20"/>
                <w:szCs w:val="20"/>
                <w14:textFill>
                  <w14:solidFill>
                    <w14:schemeClr w14:val="tx1"/>
                  </w14:solidFill>
                </w14:textFill>
              </w:rPr>
              <w:t>理财直销渠道购买</w:t>
            </w:r>
            <w:r>
              <w:rPr>
                <w:rFonts w:hint="eastAsia" w:ascii="Times New Roman" w:hAnsi="Times New Roman" w:eastAsia="楷体_GB2312" w:cs="Times New Roman"/>
                <w:color w:val="000000" w:themeColor="text1"/>
                <w:sz w:val="20"/>
                <w:szCs w:val="20"/>
                <w14:textFill>
                  <w14:solidFill>
                    <w14:schemeClr w14:val="tx1"/>
                  </w14:solidFill>
                </w14:textFill>
              </w:rPr>
              <w:t>产品</w:t>
            </w:r>
            <w:r>
              <w:rPr>
                <w:rFonts w:ascii="Times New Roman" w:hAnsi="Times New Roman" w:eastAsia="楷体_GB2312" w:cs="Times New Roman"/>
                <w:color w:val="000000" w:themeColor="text1"/>
                <w:sz w:val="20"/>
                <w:szCs w:val="20"/>
                <w14:textFill>
                  <w14:solidFill>
                    <w14:schemeClr w14:val="tx1"/>
                  </w14:solidFill>
                </w14:textFill>
              </w:rPr>
              <w:t>的，募集期内可以撤单</w:t>
            </w:r>
            <w:r>
              <w:rPr>
                <w:rFonts w:hint="eastAsia" w:ascii="Times New Roman" w:hAnsi="Times New Roman" w:eastAsia="楷体_GB2312" w:cs="Times New Roman"/>
                <w:color w:val="000000" w:themeColor="text1"/>
                <w:sz w:val="20"/>
                <w:szCs w:val="20"/>
                <w14:textFill>
                  <w14:solidFill>
                    <w14:schemeClr w14:val="tx1"/>
                  </w14:solidFill>
                </w14:textFill>
              </w:rPr>
              <w:t>。撤单</w:t>
            </w:r>
            <w:r>
              <w:rPr>
                <w:rFonts w:ascii="Times New Roman" w:hAnsi="Times New Roman" w:eastAsia="楷体_GB2312" w:cs="Times New Roman"/>
                <w:color w:val="000000" w:themeColor="text1"/>
                <w:sz w:val="20"/>
                <w:szCs w:val="20"/>
                <w14:textFill>
                  <w14:solidFill>
                    <w14:schemeClr w14:val="tx1"/>
                  </w14:solidFill>
                </w14:textFill>
              </w:rPr>
              <w:t>具体规则</w:t>
            </w:r>
            <w:r>
              <w:rPr>
                <w:rFonts w:hint="eastAsia" w:ascii="Times New Roman" w:hAnsi="Times New Roman" w:eastAsia="楷体_GB2312" w:cs="Times New Roman"/>
                <w:color w:val="000000" w:themeColor="text1"/>
                <w:sz w:val="20"/>
                <w:szCs w:val="20"/>
                <w14:textFill>
                  <w14:solidFill>
                    <w14:schemeClr w14:val="tx1"/>
                  </w14:solidFill>
                </w14:textFill>
              </w:rPr>
              <w:t>以</w:t>
            </w:r>
            <w:r>
              <w:rPr>
                <w:rFonts w:ascii="Times New Roman" w:hAnsi="Times New Roman" w:eastAsia="楷体_GB2312" w:cs="Times New Roman"/>
                <w:color w:val="000000" w:themeColor="text1"/>
                <w:sz w:val="20"/>
                <w:szCs w:val="20"/>
                <w14:textFill>
                  <w14:solidFill>
                    <w14:schemeClr w14:val="tx1"/>
                  </w14:solidFill>
                </w14:textFill>
              </w:rPr>
              <w:t>信银理财</w:t>
            </w:r>
            <w:r>
              <w:rPr>
                <w:rFonts w:hint="eastAsia" w:ascii="Times New Roman" w:hAnsi="Times New Roman" w:eastAsia="楷体_GB2312" w:cs="Times New Roman"/>
                <w:color w:val="000000" w:themeColor="text1"/>
                <w:sz w:val="20"/>
                <w:szCs w:val="20"/>
                <w14:textFill>
                  <w14:solidFill>
                    <w14:schemeClr w14:val="tx1"/>
                  </w14:solidFill>
                </w14:textFill>
              </w:rPr>
              <w:t>说明</w:t>
            </w:r>
            <w:r>
              <w:rPr>
                <w:rFonts w:ascii="Times New Roman" w:hAnsi="Times New Roman" w:eastAsia="楷体_GB2312" w:cs="Times New Roman"/>
                <w:color w:val="000000" w:themeColor="text1"/>
                <w:sz w:val="20"/>
                <w:szCs w:val="20"/>
                <w14:textFill>
                  <w14:solidFill>
                    <w14:schemeClr w14:val="tx1"/>
                  </w14:solidFill>
                </w14:textFill>
              </w:rPr>
              <w:t>或公布的操作方式为准。</w:t>
            </w:r>
          </w:p>
          <w:p w14:paraId="19E2D16F">
            <w:pPr>
              <w:pStyle w:val="18"/>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w:t>
            </w:r>
            <w:r>
              <w:rPr>
                <w:rFonts w:ascii="Times New Roman" w:hAnsi="Times New Roman" w:eastAsia="楷体_GB2312" w:cs="Times New Roman"/>
                <w:color w:val="000000" w:themeColor="text1"/>
                <w:sz w:val="20"/>
                <w:szCs w:val="20"/>
                <w14:textFill>
                  <w14:solidFill>
                    <w14:schemeClr w14:val="tx1"/>
                  </w14:solidFill>
                </w14:textFill>
              </w:rPr>
              <w:t>代销</w:t>
            </w:r>
            <w:r>
              <w:rPr>
                <w:rFonts w:hint="eastAsia" w:ascii="Times New Roman" w:hAnsi="Times New Roman" w:eastAsia="楷体_GB2312" w:cs="Times New Roman"/>
                <w:color w:val="000000" w:themeColor="text1"/>
                <w:sz w:val="20"/>
                <w:szCs w:val="20"/>
                <w14:textFill>
                  <w14:solidFill>
                    <w14:schemeClr w14:val="tx1"/>
                  </w14:solidFill>
                </w14:textFill>
              </w:rPr>
              <w:t>机构</w:t>
            </w:r>
            <w:r>
              <w:rPr>
                <w:rFonts w:ascii="Times New Roman" w:hAnsi="Times New Roman" w:eastAsia="楷体_GB2312" w:cs="Times New Roman"/>
                <w:color w:val="000000" w:themeColor="text1"/>
                <w:sz w:val="20"/>
                <w:szCs w:val="20"/>
                <w14:textFill>
                  <w14:solidFill>
                    <w14:schemeClr w14:val="tx1"/>
                  </w14:solidFill>
                </w14:textFill>
              </w:rPr>
              <w:t>购买理财产品的，</w:t>
            </w:r>
            <w:r>
              <w:rPr>
                <w:rFonts w:hint="eastAsia" w:ascii="Times New Roman" w:hAnsi="Times New Roman" w:eastAsia="楷体_GB2312" w:cs="Times New Roman"/>
                <w:color w:val="000000" w:themeColor="text1"/>
                <w:sz w:val="20"/>
                <w:szCs w:val="20"/>
                <w14:textFill>
                  <w14:solidFill>
                    <w14:schemeClr w14:val="tx1"/>
                  </w14:solidFill>
                </w14:textFill>
              </w:rPr>
              <w:t>募集期</w:t>
            </w:r>
            <w:r>
              <w:rPr>
                <w:rFonts w:ascii="Times New Roman" w:hAnsi="Times New Roman" w:eastAsia="楷体_GB2312" w:cs="Times New Roman"/>
                <w:color w:val="000000" w:themeColor="text1"/>
                <w:sz w:val="20"/>
                <w:szCs w:val="20"/>
                <w14:textFill>
                  <w14:solidFill>
                    <w14:schemeClr w14:val="tx1"/>
                  </w14:solidFill>
                </w14:textFill>
              </w:rPr>
              <w:t>内是否可以撤单</w:t>
            </w:r>
            <w:r>
              <w:rPr>
                <w:rFonts w:hint="eastAsia" w:ascii="Times New Roman" w:hAnsi="Times New Roman" w:eastAsia="楷体_GB2312" w:cs="Times New Roman"/>
                <w:color w:val="000000" w:themeColor="text1"/>
                <w:sz w:val="20"/>
                <w:szCs w:val="20"/>
                <w14:textFill>
                  <w14:solidFill>
                    <w14:schemeClr w14:val="tx1"/>
                  </w14:solidFill>
                </w14:textFill>
              </w:rPr>
              <w:t>以及</w:t>
            </w:r>
            <w:r>
              <w:rPr>
                <w:rFonts w:ascii="Times New Roman" w:hAnsi="Times New Roman" w:eastAsia="楷体_GB2312" w:cs="Times New Roman"/>
                <w:color w:val="000000" w:themeColor="text1"/>
                <w:sz w:val="20"/>
                <w:szCs w:val="20"/>
                <w14:textFill>
                  <w14:solidFill>
                    <w14:schemeClr w14:val="tx1"/>
                  </w14:solidFill>
                </w14:textFill>
              </w:rPr>
              <w:t>撤单规则，以代销机构说明或公布的操作方式为准。</w:t>
            </w:r>
          </w:p>
          <w:p w14:paraId="01F30B70">
            <w:pPr>
              <w:pStyle w:val="18"/>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”则</w:t>
            </w:r>
            <w:r>
              <w:rPr>
                <w:rFonts w:ascii="Times New Roman" w:hAnsi="Times New Roman" w:eastAsia="楷体_GB2312" w:cs="Times New Roman"/>
                <w:color w:val="000000" w:themeColor="text1"/>
                <w:sz w:val="20"/>
                <w:szCs w:val="20"/>
                <w14:textFill>
                  <w14:solidFill>
                    <w14:schemeClr w14:val="tx1"/>
                  </w14:solidFill>
                </w14:textFill>
              </w:rPr>
              <w:t>意味着</w:t>
            </w:r>
            <w:r>
              <w:rPr>
                <w:rFonts w:hint="eastAsia" w:ascii="Times New Roman" w:hAnsi="Times New Roman" w:eastAsia="楷体_GB2312" w:cs="Times New Roman"/>
                <w:color w:val="000000" w:themeColor="text1"/>
                <w:sz w:val="20"/>
                <w:szCs w:val="20"/>
                <w14:textFill>
                  <w14:solidFill>
                    <w14:schemeClr w14:val="tx1"/>
                  </w14:solidFill>
                </w14:textFill>
              </w:rPr>
              <w:t>投资者有权撤销其已向信银理财或代销机构提交的认购申请。</w:t>
            </w:r>
          </w:p>
          <w:p w14:paraId="30D62DFF">
            <w:pPr>
              <w:pStyle w:val="18"/>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14:paraId="3E295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0CD44BD">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w:t>
            </w:r>
          </w:p>
        </w:tc>
        <w:tc>
          <w:tcPr>
            <w:tcW w:w="3873" w:type="pct"/>
            <w:vAlign w:val="center"/>
          </w:tcPr>
          <w:p w14:paraId="1DD2E1B3">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日</w:t>
            </w:r>
            <w:r>
              <w:rPr>
                <w:rFonts w:hint="eastAsia" w:ascii="Times New Roman" w:hAnsi="Times New Roman" w:eastAsia="楷体_GB2312" w:cs="Times New Roman"/>
                <w:color w:val="000000" w:themeColor="text1"/>
                <w:sz w:val="20"/>
                <w:szCs w:val="20"/>
                <w14:textFill>
                  <w14:solidFill>
                    <w14:schemeClr w14:val="tx1"/>
                  </w14:solidFill>
                </w14:textFill>
              </w:rPr>
              <w:t>（如信银理财调整募集期，则运作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日将相应调整。）</w:t>
            </w:r>
          </w:p>
        </w:tc>
      </w:tr>
      <w:tr w14:paraId="7CB5F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0B905FE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产品建仓期</w:t>
            </w:r>
          </w:p>
        </w:tc>
        <w:tc>
          <w:tcPr>
            <w:tcW w:w="3873" w:type="pct"/>
            <w:vAlign w:val="center"/>
          </w:tcPr>
          <w:p w14:paraId="3CBB68F2">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【2024】年【</w:t>
            </w:r>
            <w:r>
              <w:rPr>
                <w:rFonts w:ascii="楷体_GB2312" w:eastAsia="楷体_GB2312" w:cs="楷体_GB2312"/>
                <w:color w:val="000000" w:themeColor="text1"/>
                <w:sz w:val="20"/>
                <w:szCs w:val="20"/>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】月【</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】日至【2024】年【</w:t>
            </w:r>
            <w:r>
              <w:rPr>
                <w:rFonts w:ascii="楷体_GB2312" w:eastAsia="楷体_GB2312" w:cs="楷体_GB2312"/>
                <w:color w:val="000000" w:themeColor="text1"/>
                <w:sz w:val="20"/>
                <w:szCs w:val="20"/>
                <w14:textFill>
                  <w14:solidFill>
                    <w14:schemeClr w14:val="tx1"/>
                  </w14:solidFill>
                </w14:textFill>
              </w:rPr>
              <w:t>12</w:t>
            </w:r>
            <w:r>
              <w:rPr>
                <w:rFonts w:hint="eastAsia" w:ascii="楷体_GB2312" w:eastAsia="楷体_GB2312" w:cs="楷体_GB2312"/>
                <w:color w:val="000000" w:themeColor="text1"/>
                <w:sz w:val="20"/>
                <w:szCs w:val="20"/>
                <w14:textFill>
                  <w14:solidFill>
                    <w14:schemeClr w14:val="tx1"/>
                  </w14:solidFill>
                </w14:textFill>
              </w:rPr>
              <w:t>】月【</w:t>
            </w: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】日。</w:t>
            </w:r>
          </w:p>
        </w:tc>
      </w:tr>
      <w:tr w14:paraId="0BDE8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40BEFA0">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873" w:type="pct"/>
            <w:vAlign w:val="center"/>
          </w:tcPr>
          <w:p w14:paraId="68F4A158">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无固定期限</w:t>
            </w:r>
          </w:p>
        </w:tc>
      </w:tr>
      <w:tr w14:paraId="5C94D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24E524AD">
            <w:pPr>
              <w:spacing w:line="300" w:lineRule="exact"/>
              <w:ind w:left="-2" w:leftChars="-1" w:right="36" w:rightChars="15"/>
              <w:rPr>
                <w:rFonts w:ascii="Times New Roman"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开放日</w:t>
            </w:r>
          </w:p>
        </w:tc>
        <w:tc>
          <w:tcPr>
            <w:tcW w:w="3873" w:type="pct"/>
            <w:vAlign w:val="center"/>
          </w:tcPr>
          <w:p w14:paraId="55052C02">
            <w:pPr>
              <w:spacing w:line="300" w:lineRule="exact"/>
              <w:ind w:left="-2" w:leftChars="-1" w:right="96" w:rightChars="40"/>
              <w:jc w:val="both"/>
              <w:rPr>
                <w:rFonts w:ascii="楷体_GB2312" w:eastAsia="楷体_GB2312" w:cs="楷体_GB2312"/>
                <w:sz w:val="20"/>
                <w:szCs w:val="20"/>
              </w:rPr>
            </w:pPr>
            <w:r>
              <w:rPr>
                <w:rFonts w:ascii="楷体_GB2312" w:eastAsia="楷体_GB2312" w:cs="楷体_GB2312"/>
                <w:sz w:val="20"/>
                <w:szCs w:val="20"/>
              </w:rPr>
              <w:t>1.</w:t>
            </w:r>
            <w:r>
              <w:rPr>
                <w:rFonts w:hint="eastAsia" w:ascii="楷体_GB2312" w:eastAsia="楷体_GB2312" w:cs="楷体_GB2312"/>
                <w:color w:val="000000" w:themeColor="text1"/>
                <w:sz w:val="20"/>
                <w:szCs w:val="20"/>
                <w14:textFill>
                  <w14:solidFill>
                    <w14:schemeClr w14:val="tx1"/>
                  </w14:solidFill>
                </w14:textFill>
              </w:rPr>
              <w:t xml:space="preserve"> 本产品首个申购开放日为【2024】</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】日，之后</w:t>
            </w:r>
            <w:r>
              <w:rPr>
                <w:rFonts w:ascii="楷体_GB2312" w:eastAsia="楷体_GB2312" w:cs="楷体_GB2312"/>
                <w:color w:val="000000" w:themeColor="text1"/>
                <w:sz w:val="20"/>
                <w:szCs w:val="20"/>
                <w14:textFill>
                  <w14:solidFill>
                    <w14:schemeClr w14:val="tx1"/>
                  </w14:solidFill>
                </w14:textFill>
              </w:rPr>
              <w:t>按</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为周期进行开放，开放日为</w:t>
            </w:r>
            <w:r>
              <w:rPr>
                <w:rFonts w:hint="eastAsia" w:ascii="楷体_GB2312" w:eastAsia="楷体_GB2312" w:cs="楷体_GB2312"/>
                <w:color w:val="000000" w:themeColor="text1"/>
                <w:sz w:val="20"/>
                <w:szCs w:val="20"/>
                <w14:textFill>
                  <w14:solidFill>
                    <w14:schemeClr w14:val="tx1"/>
                  </w14:solidFill>
                </w14:textFill>
              </w:rPr>
              <w:t>【每个工作日】</w:t>
            </w:r>
            <w:r>
              <w:rPr>
                <w:rFonts w:ascii="楷体_GB2312" w:eastAsia="楷体_GB2312" w:cs="楷体_GB2312"/>
                <w:color w:val="000000" w:themeColor="text1"/>
                <w:sz w:val="20"/>
                <w:szCs w:val="20"/>
                <w14:textFill>
                  <w14:solidFill>
                    <w14:schemeClr w14:val="tx1"/>
                  </w14:solidFill>
                </w14:textFill>
              </w:rPr>
              <w:t>（如遇</w:t>
            </w:r>
            <w:r>
              <w:rPr>
                <w:rFonts w:hint="eastAsia" w:ascii="楷体_GB2312" w:eastAsia="楷体_GB2312" w:cs="楷体_GB2312"/>
                <w:color w:val="000000" w:themeColor="text1"/>
                <w:sz w:val="20"/>
                <w:szCs w:val="20"/>
                <w14:textFill>
                  <w14:solidFill>
                    <w14:schemeClr w14:val="tx1"/>
                  </w14:solidFill>
                </w14:textFill>
              </w:rPr>
              <w:t>非工作日</w:t>
            </w:r>
            <w:r>
              <w:rPr>
                <w:rFonts w:ascii="楷体_GB2312" w:eastAsia="楷体_GB2312" w:cs="楷体_GB2312"/>
                <w:color w:val="000000" w:themeColor="text1"/>
                <w:sz w:val="20"/>
                <w:szCs w:val="20"/>
                <w14:textFill>
                  <w14:solidFill>
                    <w14:schemeClr w14:val="tx1"/>
                  </w14:solidFill>
                </w14:textFill>
              </w:rPr>
              <w:t>则顺延至下一工作日）。</w:t>
            </w:r>
            <w:r>
              <w:rPr>
                <w:rFonts w:hint="eastAsia" w:ascii="楷体_GB2312" w:eastAsia="楷体_GB2312" w:cs="楷体_GB2312"/>
                <w:color w:val="000000" w:themeColor="text1"/>
                <w:sz w:val="20"/>
                <w:szCs w:val="20"/>
                <w14:textFill>
                  <w14:solidFill>
                    <w14:schemeClr w14:val="tx1"/>
                  </w14:solidFill>
                </w14:textFill>
              </w:rPr>
              <w:t>本产品首个赎回开放日为【2024】</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之后</w:t>
            </w:r>
            <w:r>
              <w:rPr>
                <w:rFonts w:ascii="楷体_GB2312" w:eastAsia="楷体_GB2312" w:cs="楷体_GB2312"/>
                <w:color w:val="000000" w:themeColor="text1"/>
                <w:sz w:val="20"/>
                <w:szCs w:val="20"/>
                <w14:textFill>
                  <w14:solidFill>
                    <w14:schemeClr w14:val="tx1"/>
                  </w14:solidFill>
                </w14:textFill>
              </w:rPr>
              <w:t>按</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为周期进行开放，开放日为</w:t>
            </w:r>
            <w:r>
              <w:rPr>
                <w:rFonts w:hint="eastAsia" w:ascii="楷体_GB2312" w:eastAsia="楷体_GB2312" w:cs="楷体_GB2312"/>
                <w:color w:val="000000" w:themeColor="text1"/>
                <w:sz w:val="20"/>
                <w:szCs w:val="20"/>
                <w14:textFill>
                  <w14:solidFill>
                    <w14:schemeClr w14:val="tx1"/>
                  </w14:solidFill>
                </w14:textFill>
              </w:rPr>
              <w:t>【每个工作日】</w:t>
            </w:r>
            <w:r>
              <w:rPr>
                <w:rFonts w:ascii="楷体_GB2312" w:eastAsia="楷体_GB2312" w:cs="楷体_GB2312"/>
                <w:color w:val="000000" w:themeColor="text1"/>
                <w:sz w:val="20"/>
                <w:szCs w:val="20"/>
                <w14:textFill>
                  <w14:solidFill>
                    <w14:schemeClr w14:val="tx1"/>
                  </w14:solidFill>
                </w14:textFill>
              </w:rPr>
              <w:t>（如遇</w:t>
            </w:r>
            <w:r>
              <w:rPr>
                <w:rFonts w:hint="eastAsia" w:ascii="楷体_GB2312" w:eastAsia="楷体_GB2312" w:cs="楷体_GB2312"/>
                <w:color w:val="000000" w:themeColor="text1"/>
                <w:sz w:val="20"/>
                <w:szCs w:val="20"/>
                <w14:textFill>
                  <w14:solidFill>
                    <w14:schemeClr w14:val="tx1"/>
                  </w14:solidFill>
                </w14:textFill>
              </w:rPr>
              <w:t>非工作日</w:t>
            </w:r>
            <w:r>
              <w:rPr>
                <w:rFonts w:ascii="楷体_GB2312" w:eastAsia="楷体_GB2312" w:cs="楷体_GB2312"/>
                <w:color w:val="000000" w:themeColor="text1"/>
                <w:sz w:val="20"/>
                <w:szCs w:val="20"/>
                <w14:textFill>
                  <w14:solidFill>
                    <w14:schemeClr w14:val="tx1"/>
                  </w14:solidFill>
                </w14:textFill>
              </w:rPr>
              <w:t>则顺延至下一工作日）。</w:t>
            </w:r>
          </w:p>
          <w:p w14:paraId="3510B24C">
            <w:pPr>
              <w:spacing w:line="300" w:lineRule="exact"/>
              <w:ind w:left="-2" w:leftChars="-1" w:right="96" w:rightChars="40"/>
              <w:rPr>
                <w:rFonts w:ascii="楷体_GB2312" w:eastAsia="楷体_GB2312" w:cs="楷体_GB2312"/>
                <w:color w:val="000000" w:themeColor="text1"/>
                <w:sz w:val="20"/>
                <w:szCs w:val="20"/>
                <w:highlight w:val="yellow"/>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本说明书约定的方式</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 xml:space="preserve">。 </w:t>
            </w:r>
          </w:p>
        </w:tc>
      </w:tr>
      <w:tr w14:paraId="7A206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629E7D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873" w:type="pct"/>
            <w:vAlign w:val="center"/>
          </w:tcPr>
          <w:p w14:paraId="193750B8">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14:paraId="1C72D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8CF949A">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873" w:type="pct"/>
            <w:vAlign w:val="center"/>
          </w:tcPr>
          <w:p w14:paraId="229F1676">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B类份额：【1.70%-2.70%】</w:t>
            </w:r>
          </w:p>
          <w:p w14:paraId="75D8B5CD">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G类份额：【1.75%-2.75%】</w:t>
            </w:r>
          </w:p>
          <w:p w14:paraId="207A9298">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M类份额：【1.60%-2.60%】</w:t>
            </w:r>
          </w:p>
          <w:p w14:paraId="0885F022">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T类份额：【1.65%-2.65%】</w:t>
            </w:r>
          </w:p>
          <w:p w14:paraId="2C3C000D">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X类份额：【1.60%-2.60%】</w:t>
            </w:r>
          </w:p>
          <w:p w14:paraId="4C2D6A3C">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14:paraId="40E18007">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hint="eastAsia" w:ascii="楷体_GB2312" w:eastAsia="楷体_GB2312" w:cs="楷体_GB2312"/>
                <w:color w:val="000000" w:themeColor="text1"/>
                <w:sz w:val="20"/>
                <w:szCs w:val="20"/>
                <w14:textFill>
                  <w14:solidFill>
                    <w14:schemeClr w14:val="tx1"/>
                  </w14:solidFill>
                </w14:textFill>
              </w:rPr>
              <w:t>基准测算依据：【本理财产品为固定收益类产品，主要投向为信用债等资产。根据当前市场利率水平、组合目标久期、可投资债券的静态收益率、债券杠杆操作等因素作为测算依据，扣除相关税费成本之后，综合得出产品的业绩比较基准】。</w:t>
            </w:r>
          </w:p>
          <w:p w14:paraId="25F95527">
            <w:pPr>
              <w:spacing w:line="300" w:lineRule="exact"/>
              <w:ind w:left="-2" w:leftChars="-1" w:right="36" w:rightChars="15"/>
              <w:jc w:val="both"/>
              <w:rPr>
                <w:rFonts w:ascii="楷体_GB2312" w:eastAsia="楷体_GB2312" w:cs="楷体_GB2312"/>
                <w:b/>
                <w:bCs/>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业绩比较基准是基于产品性质、投资策略、过往经验等因素对产品设定的投资目标，不是预期收益率，不代表产品的未来表现和实际收益，不构成对产品收益的承诺，投资须谨慎。</w:t>
            </w:r>
          </w:p>
          <w:p w14:paraId="1B6F6993">
            <w:pPr>
              <w:spacing w:line="300" w:lineRule="exact"/>
              <w:ind w:left="-2" w:leftChars="-1" w:right="36" w:rightChars="15"/>
              <w:jc w:val="both"/>
              <w:rPr>
                <w:rFonts w:ascii="黑体" w:hAnsi="黑体" w:eastAsia="黑体" w:cs="楷体_GB2312"/>
                <w:b/>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14:paraId="4790E375">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个工作日以符合监管规定要求的方式向投资者披露，投资者不接受的，可于最近一个开放日赎回理财产品。</w:t>
            </w:r>
          </w:p>
        </w:tc>
      </w:tr>
      <w:tr w14:paraId="3DF91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D14561F">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873" w:type="pct"/>
            <w:vAlign w:val="center"/>
          </w:tcPr>
          <w:p w14:paraId="411064E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】，申购和赎回交易时间为【8：30-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】（信银理财有权变更交易时间</w:t>
            </w:r>
            <w:r>
              <w:rPr>
                <w:rFonts w:hint="eastAsia" w:ascii="楷体_GB2312" w:eastAsia="楷体_GB2312" w:cs="楷体_GB2312"/>
                <w:color w:val="000000" w:themeColor="text1"/>
                <w:sz w:val="20"/>
                <w:szCs w:val="20"/>
                <w14:textFill>
                  <w14:solidFill>
                    <w14:schemeClr w14:val="tx1"/>
                  </w14:solidFill>
                </w14:textFill>
              </w:rPr>
              <w:t>，请投资者关注管理人及销售机构相关信息披露。</w:t>
            </w:r>
            <w:r>
              <w:rPr>
                <w:rFonts w:ascii="楷体_GB2312" w:eastAsia="楷体_GB2312" w:cs="楷体_GB2312"/>
                <w:color w:val="000000" w:themeColor="text1"/>
                <w:sz w:val="20"/>
                <w:szCs w:val="20"/>
                <w14:textFill>
                  <w14:solidFill>
                    <w14:schemeClr w14:val="tx1"/>
                  </w14:solidFill>
                </w14:textFill>
              </w:rPr>
              <w:t>如果投资者通过信银理财</w:t>
            </w:r>
            <w:r>
              <w:rPr>
                <w:rFonts w:hint="eastAsia" w:ascii="楷体_GB2312" w:eastAsia="楷体_GB2312" w:cs="楷体_GB2312"/>
                <w:color w:val="000000" w:themeColor="text1"/>
                <w:sz w:val="20"/>
                <w:szCs w:val="20"/>
                <w14:textFill>
                  <w14:solidFill>
                    <w14:schemeClr w14:val="tx1"/>
                  </w14:solidFill>
                </w14:textFill>
              </w:rPr>
              <w:t>直销渠道</w:t>
            </w:r>
            <w:r>
              <w:rPr>
                <w:rFonts w:ascii="楷体_GB2312" w:eastAsia="楷体_GB2312" w:cs="楷体_GB2312"/>
                <w:color w:val="000000" w:themeColor="text1"/>
                <w:sz w:val="20"/>
                <w:szCs w:val="20"/>
                <w14:textFill>
                  <w14:solidFill>
                    <w14:schemeClr w14:val="tx1"/>
                  </w14:solidFill>
                </w14:textFill>
              </w:rPr>
              <w:t>购买的，则交易时间以</w:t>
            </w:r>
            <w:r>
              <w:rPr>
                <w:rFonts w:hint="eastAsia" w:ascii="楷体_GB2312" w:eastAsia="楷体_GB2312" w:cs="楷体_GB2312"/>
                <w:color w:val="000000" w:themeColor="text1"/>
                <w:sz w:val="20"/>
                <w:szCs w:val="20"/>
                <w14:textFill>
                  <w14:solidFill>
                    <w14:schemeClr w14:val="tx1"/>
                  </w14:solidFill>
                </w14:textFill>
              </w:rPr>
              <w:t>信银理财直销渠道</w:t>
            </w:r>
            <w:r>
              <w:rPr>
                <w:rFonts w:ascii="楷体_GB2312" w:eastAsia="楷体_GB2312" w:cs="楷体_GB2312"/>
                <w:color w:val="000000" w:themeColor="text1"/>
                <w:sz w:val="20"/>
                <w:szCs w:val="20"/>
                <w14:textFill>
                  <w14:solidFill>
                    <w14:schemeClr w14:val="tx1"/>
                  </w14:solidFill>
                </w14:textFill>
              </w:rPr>
              <w:t>的营业时间和公布的交易时间为准，且必须在【8：30-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】内）；募集</w:t>
            </w:r>
            <w:r>
              <w:rPr>
                <w:rFonts w:hint="eastAsia" w:ascii="楷体_GB2312" w:eastAsia="楷体_GB2312" w:cs="楷体_GB2312"/>
                <w:color w:val="000000" w:themeColor="text1"/>
                <w:sz w:val="20"/>
                <w:szCs w:val="20"/>
                <w14:textFill>
                  <w14:solidFill>
                    <w14:schemeClr w14:val="tx1"/>
                  </w14:solidFill>
                </w14:textFill>
              </w:rPr>
              <w:t>期内，信银理财在认购交易时间内受理投资者的认购申请。投资者通过</w:t>
            </w:r>
            <w:r>
              <w:rPr>
                <w:rFonts w:ascii="楷体_GB2312" w:eastAsia="楷体_GB2312" w:cs="楷体_GB2312"/>
                <w:color w:val="000000" w:themeColor="text1"/>
                <w:sz w:val="20"/>
                <w:szCs w:val="20"/>
                <w14:textFill>
                  <w14:solidFill>
                    <w14:schemeClr w14:val="tx1"/>
                  </w14:solidFill>
                </w14:textFill>
              </w:rPr>
              <w:t>代销机构购买理财产品的，还应按照代销机构对于交易时间以及交易申请的相关规定执行，但认购交易时间必须在【8：30-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】内，申购和赎回交易时间必须在【8：30-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w:t>
            </w:r>
          </w:p>
        </w:tc>
      </w:tr>
      <w:tr w14:paraId="40B52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682A08E0">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873" w:type="pct"/>
            <w:vAlign w:val="center"/>
          </w:tcPr>
          <w:p w14:paraId="049964AF">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产品的计划募集金额下限为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【0</w:t>
            </w:r>
            <w:r>
              <w:rPr>
                <w:rFonts w:hint="eastAsia" w:ascii="楷体_GB2312" w:eastAsia="楷体_GB2312" w:cs="楷体_GB2312"/>
                <w:color w:val="000000" w:themeColor="text1"/>
                <w:sz w:val="20"/>
                <w:szCs w:val="20"/>
                <w14:textFill>
                  <w14:solidFill>
                    <w14:schemeClr w14:val="tx1"/>
                  </w14:solidFill>
                </w14:textFill>
              </w:rPr>
              <w:t>】元。信银理财</w:t>
            </w:r>
            <w:r>
              <w:rPr>
                <w:rFonts w:ascii="楷体_GB2312" w:eastAsia="楷体_GB2312" w:cs="楷体_GB2312"/>
                <w:color w:val="000000" w:themeColor="text1"/>
                <w:sz w:val="20"/>
                <w:szCs w:val="20"/>
                <w14:textFill>
                  <w14:solidFill>
                    <w14:schemeClr w14:val="tx1"/>
                  </w14:solidFill>
                </w14:textFill>
              </w:rPr>
              <w:t>有权根据实际需要对此金额</w:t>
            </w:r>
            <w:r>
              <w:rPr>
                <w:rFonts w:hint="eastAsia" w:ascii="楷体_GB2312" w:eastAsia="楷体_GB2312" w:cs="楷体_GB2312"/>
                <w:color w:val="000000" w:themeColor="text1"/>
                <w:sz w:val="20"/>
                <w:szCs w:val="20"/>
                <w14:textFill>
                  <w14:solidFill>
                    <w14:schemeClr w14:val="tx1"/>
                  </w14:solidFill>
                </w14:textFill>
              </w:rPr>
              <w:t>下</w:t>
            </w:r>
            <w:r>
              <w:rPr>
                <w:rFonts w:ascii="楷体_GB2312" w:eastAsia="楷体_GB2312" w:cs="楷体_GB2312"/>
                <w:color w:val="000000" w:themeColor="text1"/>
                <w:sz w:val="20"/>
                <w:szCs w:val="20"/>
                <w14:textFill>
                  <w14:solidFill>
                    <w14:schemeClr w14:val="tx1"/>
                  </w14:solidFill>
                </w14:textFill>
              </w:rPr>
              <w:t>限进行调整。</w:t>
            </w:r>
          </w:p>
          <w:p w14:paraId="2C11C4B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如果募集期内未达到计划募集金额下限，信银理财有权决定产品不成立，并在宣告产品不成立后【</w:t>
            </w:r>
            <w:r>
              <w:rPr>
                <w:rFonts w:ascii="楷体_GB2312" w:eastAsia="楷体_GB2312" w:cs="楷体_GB2312"/>
                <w:color w:val="000000" w:themeColor="text1"/>
                <w:sz w:val="20"/>
                <w:szCs w:val="20"/>
                <w14:textFill>
                  <w14:solidFill>
                    <w14:schemeClr w14:val="tx1"/>
                  </w14:solidFill>
                </w14:textFill>
              </w:rPr>
              <w:t>2】个工作日内返还投资者资金，同时信银理财保留延长本产品募集期的权利。</w:t>
            </w:r>
            <w:r>
              <w:rPr>
                <w:rFonts w:hint="eastAsia" w:ascii="楷体_GB2312" w:eastAsia="楷体_GB2312" w:cs="楷体_GB2312"/>
                <w:color w:val="000000" w:themeColor="text1"/>
                <w:sz w:val="20"/>
                <w:szCs w:val="20"/>
                <w14:textFill>
                  <w14:solidFill>
                    <w14:schemeClr w14:val="tx1"/>
                  </w14:solidFill>
                </w14:textFill>
              </w:rPr>
              <w:t>届时信银理财将按照本说明书约定的方式告知投资者。</w:t>
            </w:r>
          </w:p>
        </w:tc>
      </w:tr>
      <w:tr w14:paraId="4FE2C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6E45A5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873" w:type="pct"/>
            <w:vAlign w:val="center"/>
          </w:tcPr>
          <w:p w14:paraId="316A238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本产品投资与收益币种为【人民币</w:t>
            </w:r>
            <w:r>
              <w:rPr>
                <w:rFonts w:ascii="楷体_GB2312" w:eastAsia="楷体_GB2312" w:cs="楷体_GB2312"/>
                <w:color w:val="000000" w:themeColor="text1"/>
                <w:sz w:val="20"/>
                <w:szCs w:val="20"/>
                <w14:textFill>
                  <w14:solidFill>
                    <w14:schemeClr w14:val="tx1"/>
                  </w14:solidFill>
                </w14:textFill>
              </w:rPr>
              <w:t>】</w:t>
            </w:r>
          </w:p>
        </w:tc>
      </w:tr>
      <w:tr w14:paraId="39D28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2DE827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认/申购起点</w:t>
            </w:r>
          </w:p>
        </w:tc>
        <w:tc>
          <w:tcPr>
            <w:tcW w:w="3873" w:type="pct"/>
            <w:vAlign w:val="center"/>
          </w:tcPr>
          <w:p w14:paraId="41079C94">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14:paraId="148A9EC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14:paraId="52577B1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M类份额：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14:paraId="011A98C6">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T类份额：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14:paraId="106EFEBF">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X类份额：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14:paraId="24FACDA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5E0A061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代销机构对产品的认/申购起点及追加认/申购金额的要求与信银理财不一致的，以代销机构为准，但不得低于上述对应金额。</w:t>
            </w:r>
          </w:p>
          <w:p w14:paraId="6D3F493F">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客户持有理财产品份额时进行申购，不视为首次申购，按追加申购处理。客户全额赎回不再持有理财产品份额后再次申购，视同首次申购处理。</w:t>
            </w:r>
          </w:p>
        </w:tc>
      </w:tr>
      <w:tr w14:paraId="157FB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20A957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投资者持仓份额比例限制</w:t>
            </w:r>
          </w:p>
        </w:tc>
        <w:tc>
          <w:tcPr>
            <w:tcW w:w="3873" w:type="pct"/>
            <w:vAlign w:val="center"/>
          </w:tcPr>
          <w:p w14:paraId="1B1526D7">
            <w:pPr>
              <w:spacing w:line="300" w:lineRule="exact"/>
              <w:ind w:left="-2"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单一</w:t>
            </w:r>
            <w:r>
              <w:rPr>
                <w:rFonts w:ascii="楷体_GB2312" w:eastAsia="楷体_GB2312" w:cs="楷体_GB2312"/>
                <w:color w:val="000000" w:themeColor="text1"/>
                <w:sz w:val="20"/>
                <w:szCs w:val="20"/>
                <w14:textFill>
                  <w14:solidFill>
                    <w14:schemeClr w14:val="tx1"/>
                  </w14:solidFill>
                </w14:textFill>
              </w:rPr>
              <w:t>投资者持有份额</w:t>
            </w:r>
            <w:r>
              <w:rPr>
                <w:rFonts w:hint="eastAsia" w:ascii="楷体_GB2312" w:eastAsia="楷体_GB2312" w:cs="楷体_GB2312"/>
                <w:color w:val="000000" w:themeColor="text1"/>
                <w:sz w:val="20"/>
                <w:szCs w:val="20"/>
                <w14:textFill>
                  <w14:solidFill>
                    <w14:schemeClr w14:val="tx1"/>
                  </w14:solidFill>
                </w14:textFill>
              </w:rPr>
              <w:t>不得</w:t>
            </w:r>
            <w:r>
              <w:rPr>
                <w:rFonts w:ascii="楷体_GB2312" w:eastAsia="楷体_GB2312" w:cs="楷体_GB2312"/>
                <w:color w:val="000000" w:themeColor="text1"/>
                <w:sz w:val="20"/>
                <w:szCs w:val="20"/>
                <w14:textFill>
                  <w14:solidFill>
                    <w14:schemeClr w14:val="tx1"/>
                  </w14:solidFill>
                </w14:textFill>
              </w:rPr>
              <w:t>超过产品总份额的50%</w:t>
            </w:r>
            <w:r>
              <w:rPr>
                <w:rFonts w:hint="eastAsia" w:ascii="楷体_GB2312" w:eastAsia="楷体_GB2312" w:cs="楷体_GB2312"/>
                <w:color w:val="000000" w:themeColor="text1"/>
                <w:sz w:val="20"/>
                <w:szCs w:val="20"/>
                <w14:textFill>
                  <w14:solidFill>
                    <w14:schemeClr w14:val="tx1"/>
                  </w14:solidFill>
                </w14:textFill>
              </w:rPr>
              <w:t>。投资者提出认购</w:t>
            </w:r>
            <w:r>
              <w:rPr>
                <w:rFonts w:ascii="楷体_GB2312" w:eastAsia="楷体_GB2312" w:cs="楷体_GB2312"/>
                <w:color w:val="000000" w:themeColor="text1"/>
                <w:sz w:val="20"/>
                <w:szCs w:val="20"/>
                <w14:textFill>
                  <w14:solidFill>
                    <w14:schemeClr w14:val="tx1"/>
                  </w14:solidFill>
                </w14:textFill>
              </w:rPr>
              <w:t>/申购申请时，如认/申购后投资者持有份额超过产品总份额的50%，信银理财将不接受超过单个投资者持仓份额比例限制的申请。</w:t>
            </w:r>
          </w:p>
        </w:tc>
      </w:tr>
      <w:tr w14:paraId="4F437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D777C0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w:t>
            </w:r>
            <w:r>
              <w:rPr>
                <w:rFonts w:hint="eastAsia" w:ascii="Times New Roman" w:eastAsia="楷体_GB2312" w:cs="楷体_GB2312"/>
                <w:color w:val="000000" w:themeColor="text1"/>
                <w:sz w:val="20"/>
                <w:szCs w:val="20"/>
                <w14:textFill>
                  <w14:solidFill>
                    <w14:schemeClr w14:val="tx1"/>
                  </w14:solidFill>
                </w14:textFill>
              </w:rPr>
              <w:t>下限</w:t>
            </w:r>
          </w:p>
        </w:tc>
        <w:tc>
          <w:tcPr>
            <w:tcW w:w="3873" w:type="pct"/>
            <w:vAlign w:val="center"/>
          </w:tcPr>
          <w:p w14:paraId="30CF06B9">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B</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7213F997">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G</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7B58AB36">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M</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5C570164">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T</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10DD4959">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X</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2599E23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32E9D2A9">
            <w:pPr>
              <w:spacing w:line="300" w:lineRule="exact"/>
              <w:ind w:left="-2" w:leftChars="-1" w:right="36" w:rightChars="15"/>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有权根据实际需要对此</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下限进行调</w:t>
            </w:r>
            <w:r>
              <w:rPr>
                <w:rFonts w:hint="eastAsia" w:ascii="楷体_GB2312" w:eastAsia="楷体_GB2312" w:cs="楷体_GB2312"/>
                <w:color w:val="000000" w:themeColor="text1"/>
                <w:sz w:val="20"/>
                <w:szCs w:val="20"/>
                <w14:textFill>
                  <w14:solidFill>
                    <w14:schemeClr w14:val="tx1"/>
                  </w14:solidFill>
                </w14:textFill>
              </w:rPr>
              <w:t>整。</w:t>
            </w:r>
          </w:p>
        </w:tc>
      </w:tr>
      <w:tr w14:paraId="34B21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6A47CA35">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873" w:type="pct"/>
            <w:vAlign w:val="center"/>
          </w:tcPr>
          <w:p w14:paraId="5F254AC3">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14:paraId="7C63D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2E23796C">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873" w:type="pct"/>
            <w:vAlign w:val="center"/>
          </w:tcPr>
          <w:p w14:paraId="545943BE">
            <w:pPr>
              <w:pStyle w:val="18"/>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单位净值为单位产品份额的净值，该净值为扣除相关税费后的净值。相关税费包含固定管理费、销售服务费、托管费、本理财产品运营过程中产生的增值税及附加税费等。</w:t>
            </w:r>
          </w:p>
          <w:p w14:paraId="21F5ED5E">
            <w:pPr>
              <w:pStyle w:val="18"/>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本产品按照单位净值进行申购</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。单位净值按照【四舍五入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保留至小数点后【4】位。</w:t>
            </w:r>
          </w:p>
          <w:p w14:paraId="729FED69">
            <w:pPr>
              <w:pStyle w:val="18"/>
              <w:numPr>
                <w:ilvl w:val="0"/>
                <w:numId w:val="2"/>
              </w:numPr>
              <w:spacing w:line="300" w:lineRule="exact"/>
              <w:ind w:right="29" w:rightChars="12"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本产品到期后，管理人将在到期日后【5】个工作日内披露份额最终单位净值。</w:t>
            </w:r>
          </w:p>
        </w:tc>
      </w:tr>
      <w:tr w14:paraId="3CF2E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CA92CE8">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873" w:type="pct"/>
            <w:vAlign w:val="center"/>
          </w:tcPr>
          <w:p w14:paraId="212C85B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投资者可通过信银理财直销渠道认购本产品。</w:t>
            </w:r>
          </w:p>
          <w:p w14:paraId="11418149">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w:t>
            </w:r>
            <w:r>
              <w:rPr>
                <w:rFonts w:ascii="楷体_GB2312" w:eastAsia="楷体_GB2312" w:cs="楷体_GB2312"/>
                <w:color w:val="000000" w:themeColor="text1"/>
                <w:sz w:val="20"/>
                <w:szCs w:val="20"/>
                <w14:textFill>
                  <w14:solidFill>
                    <w14:schemeClr w14:val="tx1"/>
                  </w14:solidFill>
                </w14:textFill>
              </w:rPr>
              <w:t>通过代销机构销售，投资者可通过代销机构规定的渠道</w:t>
            </w:r>
            <w:r>
              <w:rPr>
                <w:rFonts w:hint="eastAsia" w:ascii="楷体_GB2312" w:eastAsia="楷体_GB2312" w:cs="楷体_GB2312"/>
                <w:color w:val="000000" w:themeColor="text1"/>
                <w:sz w:val="20"/>
                <w:szCs w:val="20"/>
                <w14:textFill>
                  <w14:solidFill>
                    <w14:schemeClr w14:val="tx1"/>
                  </w14:solidFill>
                </w14:textFill>
              </w:rPr>
              <w:t>认购本产品。</w:t>
            </w:r>
          </w:p>
          <w:p w14:paraId="44138C1C">
            <w:pPr>
              <w:spacing w:line="300" w:lineRule="exact"/>
              <w:ind w:right="36" w:rightChars="15"/>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26761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EEC3F0D">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和赎回渠道</w:t>
            </w:r>
          </w:p>
        </w:tc>
        <w:tc>
          <w:tcPr>
            <w:tcW w:w="3873" w:type="pct"/>
            <w:vAlign w:val="center"/>
          </w:tcPr>
          <w:p w14:paraId="583BC6A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可通过</w:t>
            </w:r>
            <w:r>
              <w:rPr>
                <w:rFonts w:hint="eastAsia" w:ascii="楷体_GB2312" w:eastAsia="楷体_GB2312" w:cs="楷体_GB2312"/>
                <w:color w:val="000000" w:themeColor="text1"/>
                <w:sz w:val="20"/>
                <w:szCs w:val="20"/>
                <w14:textFill>
                  <w14:solidFill>
                    <w14:schemeClr w14:val="tx1"/>
                  </w14:solidFill>
                </w14:textFill>
              </w:rPr>
              <w:t>信银理财直销</w:t>
            </w:r>
            <w:r>
              <w:rPr>
                <w:rFonts w:ascii="楷体_GB2312" w:eastAsia="楷体_GB2312" w:cs="楷体_GB2312"/>
                <w:color w:val="000000" w:themeColor="text1"/>
                <w:sz w:val="20"/>
                <w:szCs w:val="20"/>
                <w14:textFill>
                  <w14:solidFill>
                    <w14:schemeClr w14:val="tx1"/>
                  </w14:solidFill>
                </w14:textFill>
              </w:rPr>
              <w:t>渠道申购</w:t>
            </w:r>
            <w:r>
              <w:rPr>
                <w:rFonts w:hint="eastAsia" w:ascii="楷体_GB2312" w:eastAsia="楷体_GB2312" w:cs="楷体_GB2312"/>
                <w:color w:val="000000" w:themeColor="text1"/>
                <w:sz w:val="20"/>
                <w:szCs w:val="20"/>
                <w14:textFill>
                  <w14:solidFill>
                    <w14:schemeClr w14:val="tx1"/>
                  </w14:solidFill>
                </w14:textFill>
              </w:rPr>
              <w:t>及</w:t>
            </w:r>
            <w:r>
              <w:rPr>
                <w:rFonts w:ascii="楷体_GB2312" w:eastAsia="楷体_GB2312" w:cs="楷体_GB2312"/>
                <w:color w:val="000000" w:themeColor="text1"/>
                <w:sz w:val="20"/>
                <w:szCs w:val="20"/>
                <w14:textFill>
                  <w14:solidFill>
                    <w14:schemeClr w14:val="tx1"/>
                  </w14:solidFill>
                </w14:textFill>
              </w:rPr>
              <w:t>赎回本产品。</w:t>
            </w:r>
          </w:p>
          <w:p w14:paraId="6CB799E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w:t>
            </w:r>
            <w:r>
              <w:rPr>
                <w:rFonts w:ascii="楷体_GB2312" w:eastAsia="楷体_GB2312" w:cs="楷体_GB2312"/>
                <w:color w:val="000000" w:themeColor="text1"/>
                <w:sz w:val="20"/>
                <w:szCs w:val="20"/>
                <w14:textFill>
                  <w14:solidFill>
                    <w14:schemeClr w14:val="tx1"/>
                  </w14:solidFill>
                </w14:textFill>
              </w:rPr>
              <w:t>通过代销机构销售，投资者可通过代销机构规定的渠道</w:t>
            </w: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w:t>
            </w:r>
            <w:r>
              <w:rPr>
                <w:rFonts w:hint="eastAsia" w:ascii="楷体_GB2312" w:eastAsia="楷体_GB2312" w:cs="楷体_GB2312"/>
                <w:color w:val="000000" w:themeColor="text1"/>
                <w:sz w:val="20"/>
                <w:szCs w:val="20"/>
                <w14:textFill>
                  <w14:solidFill>
                    <w14:schemeClr w14:val="tx1"/>
                  </w14:solidFill>
                </w14:textFill>
              </w:rPr>
              <w:t>本产品。</w:t>
            </w:r>
          </w:p>
          <w:p w14:paraId="08405128">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1FDCB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F22906B">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873" w:type="pct"/>
            <w:vAlign w:val="center"/>
          </w:tcPr>
          <w:p w14:paraId="0C0B12C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14:paraId="5A00A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1AD865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873" w:type="pct"/>
            <w:vAlign w:val="center"/>
          </w:tcPr>
          <w:p w14:paraId="30F98C3E">
            <w:pPr>
              <w:snapToGrid w:val="0"/>
              <w:spacing w:line="300" w:lineRule="exact"/>
              <w:ind w:left="-2" w:leftChars="-1" w:right="53" w:rightChars="22"/>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，以及按照国家规定可以列入的其他费用</w:t>
            </w:r>
            <w:r>
              <w:rPr>
                <w:rFonts w:hint="eastAsia" w:ascii="楷体_GB2312" w:eastAsia="楷体_GB2312" w:cs="楷体_GB2312"/>
                <w:b/>
                <w:color w:val="000000" w:themeColor="text1"/>
                <w:sz w:val="20"/>
                <w:szCs w:val="20"/>
                <w14:textFill>
                  <w14:solidFill>
                    <w14:schemeClr w14:val="tx1"/>
                  </w14:solidFill>
                </w14:textFill>
              </w:rPr>
              <w:t>，按照实际发生时列支</w:t>
            </w:r>
            <w:r>
              <w:rPr>
                <w:rFonts w:ascii="楷体_GB2312" w:eastAsia="楷体_GB2312" w:cs="楷体_GB2312"/>
                <w:b/>
                <w:color w:val="000000" w:themeColor="text1"/>
                <w:sz w:val="20"/>
                <w:szCs w:val="20"/>
                <w14:textFill>
                  <w14:solidFill>
                    <w14:schemeClr w14:val="tx1"/>
                  </w14:solidFill>
                </w14:textFill>
              </w:rPr>
              <w:t>。管理人因管理、运营理财产品发生的税费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282C9A95">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1．认购费：</w:t>
            </w:r>
            <w:r>
              <w:rPr>
                <w:rFonts w:ascii="楷体_GB2312" w:eastAsia="楷体_GB2312" w:cs="楷体_GB2312"/>
                <w:b/>
                <w:sz w:val="20"/>
                <w:szCs w:val="20"/>
              </w:rPr>
              <w:t>B类份额不收取认购费，G类份额不收取认购费</w:t>
            </w:r>
            <w:r>
              <w:rPr>
                <w:rFonts w:hint="eastAsia" w:ascii="楷体_GB2312" w:eastAsia="楷体_GB2312" w:cs="楷体_GB2312"/>
                <w:b/>
                <w:sz w:val="20"/>
                <w:szCs w:val="20"/>
              </w:rPr>
              <w:t>，</w:t>
            </w:r>
            <w:r>
              <w:rPr>
                <w:rFonts w:ascii="楷体_GB2312" w:eastAsia="楷体_GB2312" w:cs="楷体_GB2312"/>
                <w:b/>
                <w:sz w:val="20"/>
                <w:szCs w:val="20"/>
              </w:rPr>
              <w:t>M类份额不收取认购费，T类份额不收取认购费</w:t>
            </w:r>
            <w:r>
              <w:rPr>
                <w:rFonts w:hint="eastAsia" w:ascii="楷体_GB2312" w:eastAsia="楷体_GB2312" w:cs="楷体_GB2312"/>
                <w:b/>
                <w:sz w:val="20"/>
                <w:szCs w:val="20"/>
              </w:rPr>
              <w:t>，</w:t>
            </w:r>
            <w:r>
              <w:rPr>
                <w:rFonts w:ascii="楷体_GB2312" w:eastAsia="楷体_GB2312" w:cs="楷体_GB2312"/>
                <w:b/>
                <w:sz w:val="20"/>
                <w:szCs w:val="20"/>
              </w:rPr>
              <w:t>X类份额不收取认购费</w:t>
            </w:r>
            <w:r>
              <w:rPr>
                <w:rFonts w:hint="eastAsia" w:ascii="楷体_GB2312" w:eastAsia="楷体_GB2312" w:cs="楷体_GB2312"/>
                <w:b/>
                <w:sz w:val="20"/>
                <w:szCs w:val="20"/>
              </w:rPr>
              <w:t>。</w:t>
            </w:r>
          </w:p>
          <w:p w14:paraId="5233084A">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2．申购费：</w:t>
            </w:r>
            <w:r>
              <w:rPr>
                <w:rFonts w:ascii="楷体_GB2312" w:eastAsia="楷体_GB2312" w:cs="楷体_GB2312"/>
                <w:b/>
                <w:sz w:val="20"/>
                <w:szCs w:val="20"/>
              </w:rPr>
              <w:t>B类份额不收取申购费，G类份额不收取申购费</w:t>
            </w:r>
            <w:r>
              <w:rPr>
                <w:rFonts w:hint="eastAsia" w:ascii="楷体_GB2312" w:eastAsia="楷体_GB2312" w:cs="楷体_GB2312"/>
                <w:b/>
                <w:sz w:val="20"/>
                <w:szCs w:val="20"/>
              </w:rPr>
              <w:t>，</w:t>
            </w:r>
            <w:r>
              <w:rPr>
                <w:rFonts w:ascii="楷体_GB2312" w:eastAsia="楷体_GB2312" w:cs="楷体_GB2312"/>
                <w:b/>
                <w:sz w:val="20"/>
                <w:szCs w:val="20"/>
              </w:rPr>
              <w:t>M类份额不收取申购费，T类份额不收取申购费</w:t>
            </w:r>
            <w:r>
              <w:rPr>
                <w:rFonts w:hint="eastAsia" w:ascii="楷体_GB2312" w:eastAsia="楷体_GB2312" w:cs="楷体_GB2312"/>
                <w:b/>
                <w:sz w:val="20"/>
                <w:szCs w:val="20"/>
              </w:rPr>
              <w:t>，</w:t>
            </w:r>
            <w:r>
              <w:rPr>
                <w:rFonts w:ascii="楷体_GB2312" w:eastAsia="楷体_GB2312" w:cs="楷体_GB2312"/>
                <w:b/>
                <w:sz w:val="20"/>
                <w:szCs w:val="20"/>
              </w:rPr>
              <w:t>X类份额不收取申购费</w:t>
            </w:r>
            <w:r>
              <w:rPr>
                <w:rFonts w:ascii="楷体_GB2312" w:eastAsia="楷体_GB2312" w:cs="楷体_GB2312"/>
                <w:b/>
                <w:color w:val="000000" w:themeColor="text1"/>
                <w:sz w:val="20"/>
                <w:szCs w:val="20"/>
                <w14:textFill>
                  <w14:solidFill>
                    <w14:schemeClr w14:val="tx1"/>
                  </w14:solidFill>
                </w14:textFill>
              </w:rPr>
              <w:t>。</w:t>
            </w:r>
          </w:p>
          <w:p w14:paraId="0AD1E7A3">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3．赎回费：</w:t>
            </w:r>
            <w:r>
              <w:rPr>
                <w:rFonts w:ascii="楷体_GB2312" w:eastAsia="楷体_GB2312" w:cs="楷体_GB2312"/>
                <w:b/>
                <w:sz w:val="20"/>
                <w:szCs w:val="20"/>
              </w:rPr>
              <w:t>B类份额不收取赎回费，G类份额不收取赎回费</w:t>
            </w:r>
            <w:r>
              <w:rPr>
                <w:rFonts w:hint="eastAsia" w:ascii="楷体_GB2312" w:eastAsia="楷体_GB2312" w:cs="楷体_GB2312"/>
                <w:b/>
                <w:sz w:val="20"/>
                <w:szCs w:val="20"/>
              </w:rPr>
              <w:t>，</w:t>
            </w:r>
            <w:r>
              <w:rPr>
                <w:rFonts w:ascii="楷体_GB2312" w:eastAsia="楷体_GB2312" w:cs="楷体_GB2312"/>
                <w:b/>
                <w:sz w:val="20"/>
                <w:szCs w:val="20"/>
              </w:rPr>
              <w:t>M类份额不收取赎回费，T类份额不收取赎回费</w:t>
            </w:r>
            <w:r>
              <w:rPr>
                <w:rFonts w:hint="eastAsia" w:ascii="楷体_GB2312" w:eastAsia="楷体_GB2312" w:cs="楷体_GB2312"/>
                <w:b/>
                <w:sz w:val="20"/>
                <w:szCs w:val="20"/>
              </w:rPr>
              <w:t>，</w:t>
            </w:r>
            <w:r>
              <w:rPr>
                <w:rFonts w:ascii="楷体_GB2312" w:eastAsia="楷体_GB2312" w:cs="楷体_GB2312"/>
                <w:b/>
                <w:sz w:val="20"/>
                <w:szCs w:val="20"/>
              </w:rPr>
              <w:t>X类份额不收取赎回费</w:t>
            </w:r>
            <w:r>
              <w:rPr>
                <w:rFonts w:ascii="楷体_GB2312" w:eastAsia="楷体_GB2312" w:cs="楷体_GB2312"/>
                <w:b/>
                <w:color w:val="000000" w:themeColor="text1"/>
                <w:sz w:val="20"/>
                <w:szCs w:val="20"/>
                <w14:textFill>
                  <w14:solidFill>
                    <w14:schemeClr w14:val="tx1"/>
                  </w14:solidFill>
                </w14:textFill>
              </w:rPr>
              <w:t>。</w:t>
            </w:r>
          </w:p>
          <w:p w14:paraId="31B00925">
            <w:pPr>
              <w:snapToGrid w:val="0"/>
              <w:spacing w:line="300" w:lineRule="exact"/>
              <w:ind w:right="96" w:rightChars="4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4．销售服务费：</w:t>
            </w:r>
            <w:r>
              <w:rPr>
                <w:rFonts w:ascii="楷体_GB2312" w:eastAsia="楷体_GB2312" w:cs="楷体_GB2312"/>
                <w:b/>
                <w:sz w:val="20"/>
                <w:szCs w:val="20"/>
              </w:rPr>
              <w:t>B类份额费率【0.30%】/年，G类份额费率【0.30%】/年</w:t>
            </w:r>
            <w:r>
              <w:rPr>
                <w:rFonts w:hint="eastAsia" w:ascii="楷体_GB2312" w:eastAsia="楷体_GB2312" w:cs="楷体_GB2312"/>
                <w:b/>
                <w:sz w:val="20"/>
                <w:szCs w:val="20"/>
              </w:rPr>
              <w:t>，</w:t>
            </w:r>
            <w:r>
              <w:rPr>
                <w:rFonts w:ascii="楷体_GB2312" w:eastAsia="楷体_GB2312" w:cs="楷体_GB2312"/>
                <w:b/>
                <w:sz w:val="20"/>
                <w:szCs w:val="20"/>
              </w:rPr>
              <w:t>M类份额费率【0.30%】/年，T类份额费率【0.30%】/年</w:t>
            </w:r>
            <w:r>
              <w:rPr>
                <w:rFonts w:hint="eastAsia" w:ascii="楷体_GB2312" w:eastAsia="楷体_GB2312" w:cs="楷体_GB2312"/>
                <w:b/>
                <w:sz w:val="20"/>
                <w:szCs w:val="20"/>
              </w:rPr>
              <w:t>，</w:t>
            </w:r>
            <w:r>
              <w:rPr>
                <w:rFonts w:ascii="楷体_GB2312" w:eastAsia="楷体_GB2312" w:cs="楷体_GB2312"/>
                <w:b/>
                <w:sz w:val="20"/>
                <w:szCs w:val="20"/>
              </w:rPr>
              <w:t>X类份额费率【0.30%】/年</w:t>
            </w:r>
            <w:r>
              <w:rPr>
                <w:rFonts w:ascii="楷体_GB2312" w:eastAsia="楷体_GB2312" w:cs="楷体_GB2312"/>
                <w:b/>
                <w:color w:val="000000" w:themeColor="text1"/>
                <w:sz w:val="20"/>
                <w:szCs w:val="20"/>
                <w14:textFill>
                  <w14:solidFill>
                    <w14:schemeClr w14:val="tx1"/>
                  </w14:solidFill>
                </w14:textFill>
              </w:rPr>
              <w:t>。</w:t>
            </w:r>
          </w:p>
          <w:p w14:paraId="495B9B5F">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5．托管费：费率【</w:t>
            </w:r>
            <w:r>
              <w:rPr>
                <w:rFonts w:ascii="楷体_GB2312" w:eastAsia="楷体_GB2312" w:cs="楷体_GB2312"/>
                <w:b/>
                <w:sz w:val="20"/>
                <w:szCs w:val="20"/>
              </w:rPr>
              <w:t>0.03%</w:t>
            </w:r>
            <w:r>
              <w:rPr>
                <w:rFonts w:ascii="楷体_GB2312" w:eastAsia="楷体_GB2312" w:cs="楷体_GB2312"/>
                <w:b/>
                <w:color w:val="000000" w:themeColor="text1"/>
                <w:sz w:val="20"/>
                <w:szCs w:val="20"/>
                <w14:textFill>
                  <w14:solidFill>
                    <w14:schemeClr w14:val="tx1"/>
                  </w14:solidFill>
                </w14:textFill>
              </w:rPr>
              <w:t xml:space="preserve">】/年。 </w:t>
            </w:r>
          </w:p>
          <w:p w14:paraId="5A645790">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6．固定管理费：费率【</w:t>
            </w:r>
            <w:r>
              <w:rPr>
                <w:rFonts w:ascii="楷体_GB2312" w:eastAsia="楷体_GB2312" w:cs="楷体_GB2312"/>
                <w:b/>
                <w:sz w:val="20"/>
                <w:szCs w:val="20"/>
              </w:rPr>
              <w:t>0.30%</w:t>
            </w:r>
            <w:r>
              <w:rPr>
                <w:rFonts w:ascii="楷体_GB2312" w:eastAsia="楷体_GB2312" w:cs="楷体_GB2312"/>
                <w:b/>
                <w:color w:val="000000" w:themeColor="text1"/>
                <w:sz w:val="20"/>
                <w:szCs w:val="20"/>
                <w14:textFill>
                  <w14:solidFill>
                    <w14:schemeClr w14:val="tx1"/>
                  </w14:solidFill>
                </w14:textFill>
              </w:rPr>
              <w:t>】/年。</w:t>
            </w:r>
          </w:p>
          <w:p w14:paraId="56801729">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7．浮动管理费：</w:t>
            </w:r>
          </w:p>
          <w:p w14:paraId="0B0576A9">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B类份额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769C45CA">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G类份额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4B9C0AB3">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M类份额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r>
              <w:rPr>
                <w:rFonts w:hint="eastAsia" w:ascii="楷体_GB2312" w:eastAsia="楷体_GB2312" w:cs="楷体_GB2312"/>
                <w:b/>
                <w:color w:val="000000" w:themeColor="text1"/>
                <w:sz w:val="20"/>
                <w:szCs w:val="20"/>
                <w14:textFill>
                  <w14:solidFill>
                    <w14:schemeClr w14:val="tx1"/>
                  </w14:solidFill>
                </w14:textFill>
              </w:rPr>
              <w:t>。</w:t>
            </w:r>
          </w:p>
          <w:p w14:paraId="3C53437A">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T类份额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55F36CA8">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X类份额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r>
              <w:rPr>
                <w:rFonts w:hint="eastAsia" w:ascii="楷体_GB2312" w:eastAsia="楷体_GB2312" w:cs="楷体_GB2312"/>
                <w:b/>
                <w:color w:val="000000" w:themeColor="text1"/>
                <w:sz w:val="20"/>
                <w:szCs w:val="20"/>
                <w14:textFill>
                  <w14:solidFill>
                    <w14:schemeClr w14:val="tx1"/>
                  </w14:solidFill>
                </w14:textFill>
              </w:rPr>
              <w:t>。</w:t>
            </w:r>
          </w:p>
          <w:p w14:paraId="1C1ECA84">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p>
          <w:p w14:paraId="531A9AE0">
            <w:pPr>
              <w:snapToGrid w:val="0"/>
              <w:spacing w:line="300" w:lineRule="exact"/>
              <w:ind w:right="53" w:rightChars="22"/>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以上</w:t>
            </w:r>
            <w:r>
              <w:rPr>
                <w:rFonts w:ascii="楷体_GB2312" w:eastAsia="楷体_GB2312" w:cs="楷体_GB2312"/>
                <w:b/>
                <w:color w:val="000000" w:themeColor="text1"/>
                <w:sz w:val="20"/>
                <w:szCs w:val="20"/>
                <w14:textFill>
                  <w14:solidFill>
                    <w14:schemeClr w14:val="tx1"/>
                  </w14:solidFill>
                </w14:textFill>
              </w:rPr>
              <w:t>1-7</w:t>
            </w:r>
            <w:r>
              <w:rPr>
                <w:rFonts w:hint="eastAsia" w:ascii="楷体_GB2312" w:eastAsia="楷体_GB2312" w:cs="楷体_GB2312"/>
                <w:b/>
                <w:color w:val="000000" w:themeColor="text1"/>
                <w:sz w:val="20"/>
                <w:szCs w:val="20"/>
                <w14:textFill>
                  <w14:solidFill>
                    <w14:schemeClr w14:val="tx1"/>
                  </w14:solidFill>
                </w14:textFill>
              </w:rPr>
              <w:t>项费用</w:t>
            </w:r>
            <w:r>
              <w:rPr>
                <w:rFonts w:ascii="楷体_GB2312" w:eastAsia="楷体_GB2312" w:cs="楷体_GB2312"/>
                <w:b/>
                <w:color w:val="000000" w:themeColor="text1"/>
                <w:sz w:val="20"/>
                <w:szCs w:val="20"/>
                <w14:textFill>
                  <w14:solidFill>
                    <w14:schemeClr w14:val="tx1"/>
                  </w14:solidFill>
                </w14:textFill>
              </w:rPr>
              <w:t>金额均</w:t>
            </w:r>
            <w:r>
              <w:rPr>
                <w:rFonts w:hint="eastAsia" w:ascii="楷体_GB2312" w:eastAsia="楷体_GB2312" w:cs="楷体_GB2312"/>
                <w:b/>
                <w:color w:val="000000" w:themeColor="text1"/>
                <w:sz w:val="20"/>
                <w:szCs w:val="20"/>
                <w14:textFill>
                  <w14:solidFill>
                    <w14:schemeClr w14:val="tx1"/>
                  </w14:solidFill>
                </w14:textFill>
              </w:rPr>
              <w:t>四舍五入</w:t>
            </w:r>
            <w:r>
              <w:rPr>
                <w:rFonts w:ascii="楷体_GB2312" w:eastAsia="楷体_GB2312" w:cs="楷体_GB2312"/>
                <w:b/>
                <w:color w:val="000000" w:themeColor="text1"/>
                <w:sz w:val="20"/>
                <w:szCs w:val="20"/>
                <w14:textFill>
                  <w14:solidFill>
                    <w14:schemeClr w14:val="tx1"/>
                  </w14:solidFill>
                </w14:textFill>
              </w:rPr>
              <w:t>保留小数点后</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2】位。</w:t>
            </w:r>
          </w:p>
          <w:p w14:paraId="62718D61">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具体请参见本说明书“</w:t>
            </w:r>
            <w:r>
              <w:rPr>
                <w:rFonts w:hint="eastAsia" w:ascii="黑体" w:eastAsia="黑体" w:cs="黑体"/>
                <w:b/>
                <w:color w:val="000000" w:themeColor="text1"/>
                <w:sz w:val="20"/>
                <w:szCs w:val="20"/>
                <w14:textFill>
                  <w14:solidFill>
                    <w14:schemeClr w14:val="tx1"/>
                  </w14:solidFill>
                </w14:textFill>
              </w:rPr>
              <w:t>九、理财产品的费用</w:t>
            </w:r>
            <w:r>
              <w:rPr>
                <w:rFonts w:ascii="楷体_GB2312" w:eastAsia="楷体_GB2312" w:cs="楷体_GB2312"/>
                <w:b/>
                <w:color w:val="000000" w:themeColor="text1"/>
                <w:sz w:val="20"/>
                <w:szCs w:val="20"/>
                <w14:textFill>
                  <w14:solidFill>
                    <w14:schemeClr w14:val="tx1"/>
                  </w14:solidFill>
                </w14:textFill>
              </w:rPr>
              <w:t>”部分。</w:t>
            </w:r>
          </w:p>
          <w:p w14:paraId="21850106">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3949A9B7">
            <w:pPr>
              <w:snapToGrid w:val="0"/>
              <w:spacing w:line="300" w:lineRule="exact"/>
              <w:ind w:right="53" w:rightChars="22"/>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14:paraId="2611E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65D624AD">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w:t>
            </w:r>
            <w:r>
              <w:rPr>
                <w:rFonts w:ascii="Times New Roman" w:eastAsia="楷体_GB2312" w:cs="楷体_GB2312"/>
                <w:color w:val="000000" w:themeColor="text1"/>
                <w:sz w:val="20"/>
                <w:szCs w:val="20"/>
                <w14:textFill>
                  <w14:solidFill>
                    <w14:schemeClr w14:val="tx1"/>
                  </w14:solidFill>
                </w14:textFill>
              </w:rPr>
              <w:t>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873" w:type="pct"/>
            <w:vAlign w:val="center"/>
          </w:tcPr>
          <w:p w14:paraId="6349ECE4">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p>
        </w:tc>
      </w:tr>
      <w:tr w14:paraId="35A94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AC117DA">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873" w:type="pct"/>
            <w:vAlign w:val="center"/>
          </w:tcPr>
          <w:p w14:paraId="1CA06813">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B</w:t>
            </w:r>
            <w:r>
              <w:rPr>
                <w:rFonts w:hint="eastAsia" w:ascii="楷体_GB2312" w:eastAsia="楷体_GB2312" w:cs="楷体_GB2312"/>
                <w:color w:val="000000" w:themeColor="text1"/>
                <w:sz w:val="20"/>
                <w:szCs w:val="20"/>
                <w14:textFill>
                  <w14:solidFill>
                    <w14:schemeClr w14:val="tx1"/>
                  </w14:solidFill>
                </w14:textFill>
              </w:rPr>
              <w:t>类份额（份额代码【</w:t>
            </w:r>
            <w:r>
              <w:rPr>
                <w:rFonts w:ascii="楷体_GB2312" w:eastAsia="楷体_GB2312" w:cs="楷体_GB2312"/>
                <w:color w:val="000000" w:themeColor="text1"/>
                <w:sz w:val="20"/>
                <w:szCs w:val="20"/>
                <w14:textFill>
                  <w14:solidFill>
                    <w14:schemeClr w14:val="tx1"/>
                  </w14:solidFill>
                </w14:textFill>
              </w:rPr>
              <w:t>AF245807B】）</w:t>
            </w:r>
            <w:r>
              <w:rPr>
                <w:rFonts w:hint="eastAsia" w:ascii="楷体_GB2312" w:eastAsia="楷体_GB2312" w:cs="楷体_GB2312"/>
                <w:sz w:val="20"/>
                <w:szCs w:val="20"/>
              </w:rPr>
              <w:t>合作</w:t>
            </w:r>
            <w:r>
              <w:rPr>
                <w:rFonts w:ascii="楷体_GB2312" w:eastAsia="楷体_GB2312" w:cs="楷体_GB2312"/>
                <w:sz w:val="20"/>
                <w:szCs w:val="20"/>
              </w:rPr>
              <w:t>销售机构信息：</w:t>
            </w:r>
          </w:p>
          <w:p w14:paraId="1F2A12A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1.企业名称：【浙江新昌农村商业银行股份有限公司】</w:t>
            </w:r>
          </w:p>
          <w:p w14:paraId="350B781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统一社会信用代码：【913306007707448740】</w:t>
            </w:r>
          </w:p>
          <w:p w14:paraId="73A2DF3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住所：【浙江省新昌县七星街道七星路18号】</w:t>
            </w:r>
          </w:p>
          <w:p w14:paraId="572388C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B80A62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2.企业名称：【浙江杭州余杭农村商业银行股份有限公司】</w:t>
            </w:r>
          </w:p>
          <w:p w14:paraId="4768093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统一社会信用代码：【9133010014387221XY】</w:t>
            </w:r>
          </w:p>
          <w:p w14:paraId="390B64E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住所：【浙江省杭州市临平区南苑街道南大街72号】</w:t>
            </w:r>
          </w:p>
          <w:p w14:paraId="6651BF4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C7A57D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3.企业名称：【浙江德清农村商业银行股份有限公司】</w:t>
            </w:r>
          </w:p>
          <w:p w14:paraId="5A577CB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统一社会信用代码：【9133050076962455XQ】</w:t>
            </w:r>
          </w:p>
          <w:p w14:paraId="33B7CB1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住所：【浙江省德清县武康街道沈长圩街50号】</w:t>
            </w:r>
          </w:p>
          <w:p w14:paraId="56FEE4F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3090DF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4.企业名称：【浙江瑞安农村商业银行股份有限公司】</w:t>
            </w:r>
          </w:p>
          <w:p w14:paraId="0B43E3E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统一社会信用代码：【91330300773121154L】</w:t>
            </w:r>
          </w:p>
          <w:p w14:paraId="2D90C4D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住所：【瑞安市安阳街道万松东路148号】</w:t>
            </w:r>
          </w:p>
          <w:p w14:paraId="25197C0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3023F6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5.企业名称：【浙江富阳农村商业银行股份有限公司】</w:t>
            </w:r>
          </w:p>
          <w:p w14:paraId="3018AA3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统一社会信用代码：【91330100YA3600224E】</w:t>
            </w:r>
          </w:p>
          <w:p w14:paraId="62E8D87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住所：【浙江省杭州市富阳区鹿山街道依江路501号第1幢】</w:t>
            </w:r>
          </w:p>
          <w:p w14:paraId="18AC8D0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592766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6.企业名称：【浙江金华成泰农村商业银行股份有限公司】</w:t>
            </w:r>
          </w:p>
          <w:p w14:paraId="5EFF0F4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统一社会信用代码：【91330700685598446M】</w:t>
            </w:r>
          </w:p>
          <w:p w14:paraId="1E1FDDF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住所：【浙江省金华市八一南街123号】</w:t>
            </w:r>
          </w:p>
          <w:p w14:paraId="3E45E27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15AEA3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7.企业名称：【浙江永康农村商业银行股份有限公司】</w:t>
            </w:r>
          </w:p>
          <w:p w14:paraId="0CBE9E1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统一社会信用代码：【91330700563336405G】</w:t>
            </w:r>
          </w:p>
          <w:p w14:paraId="600BD69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住所：【浙江省金华市永康市九铃东路3259号】</w:t>
            </w:r>
          </w:p>
          <w:p w14:paraId="6034183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B83158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8.企业名称：【浙江东阳农村商业银行股份有限公司】</w:t>
            </w:r>
          </w:p>
          <w:p w14:paraId="52BD988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统一社会信用代码：【91330700147546390Q】</w:t>
            </w:r>
          </w:p>
          <w:p w14:paraId="1F68332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住所：【东阳市双岘路18号】</w:t>
            </w:r>
          </w:p>
          <w:p w14:paraId="5E0D5F8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471A1A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9.企业名称：【浙江浦江农村商业银行股份有限公司】</w:t>
            </w:r>
          </w:p>
          <w:p w14:paraId="545F63E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统一社会信用代码：【913307261476928819】</w:t>
            </w:r>
          </w:p>
          <w:p w14:paraId="6D1C330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住所：【浙江省浦江县人民东路90号】</w:t>
            </w:r>
          </w:p>
          <w:p w14:paraId="10D3571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82F952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10.企业名称：【浙江衢州柯城农村商业银行股份有限公司】</w:t>
            </w:r>
          </w:p>
          <w:p w14:paraId="0132899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统一社会信用代码：【913308001477477826】</w:t>
            </w:r>
          </w:p>
          <w:p w14:paraId="35047D2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住所：【浙江省上街92号】</w:t>
            </w:r>
          </w:p>
          <w:p w14:paraId="786E8F6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8B80EB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11.企业名称：【浙江衢州衢江农村商业银行股份有限公司】</w:t>
            </w:r>
          </w:p>
          <w:p w14:paraId="1223160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统一社会信用代码：【91330800147752813B】</w:t>
            </w:r>
          </w:p>
          <w:p w14:paraId="0BD2C0F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住所：【浙江省衢州市衢江区樟潭街道信安东路37号】</w:t>
            </w:r>
          </w:p>
          <w:p w14:paraId="76FF09A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5B9DA6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12.企业名称：【浙江龙游农村商业银行股份有限公司】</w:t>
            </w:r>
          </w:p>
          <w:p w14:paraId="7DA5C9F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统一社会信用代码：【91330825769632509M】</w:t>
            </w:r>
          </w:p>
          <w:p w14:paraId="7E4BB31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住所：【浙江省衢州市龙游县龙洲街道荣昌大道683、685、687号】</w:t>
            </w:r>
          </w:p>
          <w:p w14:paraId="261F72F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3785B1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13.企业名称：【浙江江山农村商业银行股份有限公司】</w:t>
            </w:r>
          </w:p>
          <w:p w14:paraId="0374744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统一社会信用代码：【913308001478831865】</w:t>
            </w:r>
          </w:p>
          <w:p w14:paraId="5C85314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住所：【浙江省江山市双塔街道江滨路188号】</w:t>
            </w:r>
          </w:p>
          <w:p w14:paraId="5182375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D6E2E8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14.企业名称：【浙江常山农村商业银行股份有限公司】</w:t>
            </w:r>
          </w:p>
          <w:p w14:paraId="5DDDAE7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统一社会信用代码：【91330822147845315H】</w:t>
            </w:r>
          </w:p>
          <w:p w14:paraId="1B507A0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住所：【浙江省衢州市常山县天马街道人民路125号】</w:t>
            </w:r>
          </w:p>
          <w:p w14:paraId="3FE8A5B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C44F4B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15.企业名称：【浙江开化农村商业银行股份有限公司】</w:t>
            </w:r>
          </w:p>
          <w:p w14:paraId="469ECE4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统一社会信用代码：【913308241479259480】</w:t>
            </w:r>
          </w:p>
          <w:p w14:paraId="6D3A27A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住所：【浙江省衢州市开化县华埠镇永吉二路8号】</w:t>
            </w:r>
          </w:p>
          <w:p w14:paraId="60C375B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9C5BBE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16.企业名称：【浙江丽水莲都农村商业银行股份有限公司】</w:t>
            </w:r>
          </w:p>
          <w:p w14:paraId="6A7012F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统一社会信用代码：【91331100148440061D】</w:t>
            </w:r>
          </w:p>
          <w:p w14:paraId="7EA0C42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住所：【浙江丽水市解放街438号】</w:t>
            </w:r>
          </w:p>
          <w:p w14:paraId="34488ED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85E3B9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17.企业名称：【浙江青田农村商业银行股份有限公司】</w:t>
            </w:r>
          </w:p>
          <w:p w14:paraId="243D440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统一社会信用代码：【913311007757320399】</w:t>
            </w:r>
          </w:p>
          <w:p w14:paraId="27774D8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住所：【浙江省青田县鹤城街道鹤城东路180号】</w:t>
            </w:r>
          </w:p>
          <w:p w14:paraId="317A616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016A46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18.企业名称：【浙江龙泉农村商业银行股份有限公司】</w:t>
            </w:r>
          </w:p>
          <w:p w14:paraId="0D4F2A1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统一社会信用代码：【91331181148543853J】</w:t>
            </w:r>
          </w:p>
          <w:p w14:paraId="4DB3709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住所：【浙江省丽水市龙泉市中山东路101号】</w:t>
            </w:r>
          </w:p>
          <w:p w14:paraId="59B36F2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27DC94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19.企业名称：【浙江遂昌农村商业银行股份有限公司】</w:t>
            </w:r>
          </w:p>
          <w:p w14:paraId="39571FA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统一社会信用代码：【91331123148661817E】</w:t>
            </w:r>
          </w:p>
          <w:p w14:paraId="478B543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住所：【浙江省丽水市遂昌县妙高街道溪边路100号】</w:t>
            </w:r>
          </w:p>
          <w:p w14:paraId="22784AF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6A878F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20.企业名称：【浙江松阳农村商业银行股份有限公司】</w:t>
            </w:r>
          </w:p>
          <w:p w14:paraId="6058C45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统一社会信用代码：【91331124148632856X】</w:t>
            </w:r>
          </w:p>
          <w:p w14:paraId="24627DB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住所：【浙江省丽水市松阳县水南街道要津南路71号】</w:t>
            </w:r>
          </w:p>
          <w:p w14:paraId="7C52354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F6CA50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21.企业名称：【浙江景宁农村商业银行股份有限公司】</w:t>
            </w:r>
          </w:p>
          <w:p w14:paraId="61DB837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统一社会信用代码：【91331127704796094T】</w:t>
            </w:r>
          </w:p>
          <w:p w14:paraId="3499CE9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住所：【浙江省丽水市景宁畲族自治县红星街道人民中路201号】</w:t>
            </w:r>
          </w:p>
          <w:p w14:paraId="22532E5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E75222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22.企业名称：【浙江台州椒江农村商业银行股份有限公司】</w:t>
            </w:r>
          </w:p>
          <w:p w14:paraId="01A14A5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统一社会信用代码：【913310021482768636】</w:t>
            </w:r>
          </w:p>
          <w:p w14:paraId="57422F1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住所：【浙江省台州市椒江区工人东路322号】</w:t>
            </w:r>
          </w:p>
          <w:p w14:paraId="7F68A08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97865F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23.企业名称：【浙江台州黄岩农村商业银行股份有限公司】</w:t>
            </w:r>
          </w:p>
          <w:p w14:paraId="6A589D8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统一社会信用代码：【91331003770736460B】</w:t>
            </w:r>
          </w:p>
          <w:p w14:paraId="399DEDD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住所：【浙江省台州市黄岩区洞天路88号】</w:t>
            </w:r>
          </w:p>
          <w:p w14:paraId="46477D9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19C5AA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24.企业名称：【浙江台州路桥农村商业银行股份有限公司】</w:t>
            </w:r>
          </w:p>
          <w:p w14:paraId="6318AC5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统一社会信用代码：【91331004771942717H】</w:t>
            </w:r>
          </w:p>
          <w:p w14:paraId="05E042D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住所：【浙江省台州市路桥区西路桥大道328号】</w:t>
            </w:r>
          </w:p>
          <w:p w14:paraId="46BCEDC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8D74EF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25.企业名称：【浙江温岭农村商业银行股份有限公司】</w:t>
            </w:r>
          </w:p>
          <w:p w14:paraId="4F8E0C6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统一社会信用代码：【913310001489096329】</w:t>
            </w:r>
          </w:p>
          <w:p w14:paraId="7AF61CD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住所：【浙江省台州市温岭市城东街道下保路100号】</w:t>
            </w:r>
          </w:p>
          <w:p w14:paraId="0A72704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8906B5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26.企业名称：【浙江天台农村商业银行股份有限公司】</w:t>
            </w:r>
          </w:p>
          <w:p w14:paraId="0F331F4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统一社会信用代码：【91331000148073695C】</w:t>
            </w:r>
          </w:p>
          <w:p w14:paraId="43AA0F7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住所：【浙江省天台县赤城街道飞鹤路358号】</w:t>
            </w:r>
          </w:p>
          <w:p w14:paraId="64D1F3B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D376AC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27.企业名称：【浙江三门农村商业银行股份有限公司】</w:t>
            </w:r>
          </w:p>
          <w:p w14:paraId="35E48BA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统一社会信用代码：【91331022774367359X】</w:t>
            </w:r>
          </w:p>
          <w:p w14:paraId="4D313DE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住所：【浙江省三门县海游街道上洋路68号】</w:t>
            </w:r>
          </w:p>
          <w:p w14:paraId="50EF21D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2AA2A1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28.企业名称：【浙江舟山定海海洋农村商业银行股份有限公司】</w:t>
            </w:r>
          </w:p>
          <w:p w14:paraId="3439F67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统一社会信用代码：【91330900148740320U】</w:t>
            </w:r>
          </w:p>
          <w:p w14:paraId="028A8FA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住所：【浙江省舟山市定海区环城东路81号】</w:t>
            </w:r>
          </w:p>
          <w:p w14:paraId="6D6EDD3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F74DC6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29.企业名称：【浙江舟山普陀农村商业银行股份有限公司】</w:t>
            </w:r>
          </w:p>
          <w:p w14:paraId="5A1F047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统一社会信用代码：【913309006831072360】</w:t>
            </w:r>
          </w:p>
          <w:p w14:paraId="641E4C4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住所：【浙江省舟山市普陀区东港街道麒麟街225号（自贸试验区内）】</w:t>
            </w:r>
          </w:p>
          <w:p w14:paraId="11045C1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BF4A0D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30.企业名称：【湖州吴兴农村商业银行股份有限公司】</w:t>
            </w:r>
          </w:p>
          <w:p w14:paraId="61BE2E0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统一社会信用代码：【913305007782713708】</w:t>
            </w:r>
          </w:p>
          <w:p w14:paraId="22C5F0E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住所：【浙江省湖州市东街55号】</w:t>
            </w:r>
          </w:p>
          <w:p w14:paraId="5A016CF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AE7344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31.企业名称：【浙江临安农村商业银行股份有限公司】</w:t>
            </w:r>
          </w:p>
          <w:p w14:paraId="2854098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统一社会信用代码：【913301851437582064】</w:t>
            </w:r>
          </w:p>
          <w:p w14:paraId="24B156E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住所：【浙江省杭州市临安区锦城街道城中街442号】</w:t>
            </w:r>
          </w:p>
          <w:p w14:paraId="72C371B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E4BACD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32.企业名称：【浙江淳安农村商业银行股份有限公司】</w:t>
            </w:r>
          </w:p>
          <w:p w14:paraId="062FA11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统一社会信用代码：【9133012714400940XB】</w:t>
            </w:r>
          </w:p>
          <w:p w14:paraId="15B3C94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住所：【浙江省杭州市淳安县千岛湖镇环湖北路369号】</w:t>
            </w:r>
          </w:p>
          <w:p w14:paraId="6FC2E5D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E6CA19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33.企业名称：【宁波北仑农村商业银行股份有限公司】</w:t>
            </w:r>
          </w:p>
          <w:p w14:paraId="548DE63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统一社会信用代码：【91330206144292356K】</w:t>
            </w:r>
          </w:p>
          <w:p w14:paraId="5988DDC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住所：【浙江省宁波市北仑区新碶宝山路69号（凤凰国际商务广场）1幢69号、63号（凤凰国际商务广场）1幢（2-26层）】</w:t>
            </w:r>
          </w:p>
          <w:p w14:paraId="2D1DE0D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73D44E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34.企业名称：【宁波奉化农村商业银行股份有限公司】</w:t>
            </w:r>
          </w:p>
          <w:p w14:paraId="13D1713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统一社会信用代码：【913302001448601066】</w:t>
            </w:r>
          </w:p>
          <w:p w14:paraId="543B473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住所：【浙江省宁波市奉化区锦屏街道中山路27号】</w:t>
            </w:r>
          </w:p>
          <w:p w14:paraId="3FAED9A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796251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35.企业名称：【宁波镇海农村商业银行股份有限公司】</w:t>
            </w:r>
          </w:p>
          <w:p w14:paraId="0FD0581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统一社会信用代码：【91330200717212676J】</w:t>
            </w:r>
          </w:p>
          <w:p w14:paraId="049662C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住所：【宁波市镇海区骆驼街道镇海大道中段788号】</w:t>
            </w:r>
          </w:p>
          <w:p w14:paraId="5784593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F1B612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36.企业名称：【宁波宁海农村商业银行股份有限公司】</w:t>
            </w:r>
          </w:p>
          <w:p w14:paraId="3426BD6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统一社会信用代码：【91330200144938786M】</w:t>
            </w:r>
          </w:p>
          <w:p w14:paraId="2D0BE30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住所：【宁海县跃龙街道学勉路1号（金融中心）】</w:t>
            </w:r>
          </w:p>
          <w:p w14:paraId="67D3CCE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C4E842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37.企业名称：【宁波甬城农村商业银行股份有限公司】</w:t>
            </w:r>
          </w:p>
          <w:p w14:paraId="0761B6F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统一社会信用代码：【91330205704848042N】</w:t>
            </w:r>
          </w:p>
          <w:p w14:paraId="208E1BB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住所：【浙江省宁波市江北区育才路15、17号】</w:t>
            </w:r>
          </w:p>
          <w:p w14:paraId="3414ABD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C88674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38.企业名称：【浙江永嘉农村商业银行股份有限公司】</w:t>
            </w:r>
          </w:p>
          <w:p w14:paraId="20912E7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统一社会信用代码：【91330300693852088P】</w:t>
            </w:r>
          </w:p>
          <w:p w14:paraId="520CE16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住所：【浙江省温州市永嘉县瓯北街道阳光大道3918号101室、201室、301室、401室、501室、1101室、1801室、2201室】</w:t>
            </w:r>
          </w:p>
          <w:p w14:paraId="55BDF9F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B5596B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39.企业名称：【浙江平阳农村商业银行股份有限公司】</w:t>
            </w:r>
          </w:p>
          <w:p w14:paraId="6A8759A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统一社会信用代码：【91330300778260532C】</w:t>
            </w:r>
          </w:p>
          <w:p w14:paraId="4AE17DC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住所：【浙江省平阳县鳌江镇车站大道999号】</w:t>
            </w:r>
          </w:p>
          <w:p w14:paraId="4519104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D332EE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40.企业名称：【浙江嘉善农村商业银行股份有限公司】</w:t>
            </w:r>
          </w:p>
          <w:p w14:paraId="59224EA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统一社会信用代码：【91330400146600914H】</w:t>
            </w:r>
          </w:p>
          <w:p w14:paraId="0F47411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住所：【浙江省嘉兴市嘉善县罗星街道车站南路999号】</w:t>
            </w:r>
          </w:p>
          <w:p w14:paraId="6ED11D6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E175E2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41.企业名称：【浙江平湖农村商业银行股份有限公司】</w:t>
            </w:r>
          </w:p>
          <w:p w14:paraId="334EA8A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统一社会信用代码：【913304821466775403】</w:t>
            </w:r>
          </w:p>
          <w:p w14:paraId="3223442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住所：【浙江省平湖市当湖街道胜利路518号】</w:t>
            </w:r>
          </w:p>
          <w:p w14:paraId="64EDB76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68FD8A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42.企业名称：【浙江海宁农村商业银行股份有限公司】</w:t>
            </w:r>
          </w:p>
          <w:p w14:paraId="24BB0CF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统一社会信用代码：【91330400146707324M】</w:t>
            </w:r>
          </w:p>
          <w:p w14:paraId="56B0F0C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住所：【浙江省海宁市海洲街道钱江西路278号】</w:t>
            </w:r>
          </w:p>
          <w:p w14:paraId="210E41D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4ECC94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43.企业名称：【浙江海盐农村商业银行股份有限公司】</w:t>
            </w:r>
          </w:p>
          <w:p w14:paraId="01C7EC4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统一社会信用代码：【91330424254846268L】</w:t>
            </w:r>
          </w:p>
          <w:p w14:paraId="178AC3A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住所：【浙江省海盐县武原街道枣园西路176号】</w:t>
            </w:r>
          </w:p>
          <w:p w14:paraId="6E178AE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EA8A3B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44.企业名称：【浙江桐乡农村商业银行股份有限公司】</w:t>
            </w:r>
          </w:p>
          <w:p w14:paraId="4C372B7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统一社会信用代码：【91330483146852863F】</w:t>
            </w:r>
          </w:p>
          <w:p w14:paraId="24ED539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住所：【浙江省嘉兴市桐乡市梧桐街道校场东路59号】</w:t>
            </w:r>
          </w:p>
          <w:p w14:paraId="2B6B6DF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CD53FA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45.企业名称：【浙江安吉农村商业银行股份有限公司】</w:t>
            </w:r>
          </w:p>
          <w:p w14:paraId="46D3D36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统一社会信用代码：【91330500680700499G】</w:t>
            </w:r>
          </w:p>
          <w:p w14:paraId="3BCF566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住所：【浙江省湖州市安吉县昌硕街道昌硕东路1号】</w:t>
            </w:r>
          </w:p>
          <w:p w14:paraId="5A83B50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4A265A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46.企业名称：【浙江南浔农村商业银行股份有限公司】</w:t>
            </w:r>
          </w:p>
          <w:p w14:paraId="0386482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统一社会信用代码：【913305001470196549】</w:t>
            </w:r>
          </w:p>
          <w:p w14:paraId="2AB8117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住所：【浙江省湖州市南浔区南浔镇人瑞路1188号】</w:t>
            </w:r>
          </w:p>
          <w:p w14:paraId="17D0B87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F9BFDE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47.企业名称：【浙江上虞农村商业银行股份有限公司】</w:t>
            </w:r>
          </w:p>
          <w:p w14:paraId="52C2094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统一社会信用代码：【91330600146116161G】</w:t>
            </w:r>
          </w:p>
          <w:p w14:paraId="17C5B16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住所：【浙江省百官街道德盛路55号】</w:t>
            </w:r>
          </w:p>
          <w:p w14:paraId="1BF95FE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1CCC2D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48.企业名称：【浙江缙云农村商业银行股份有限公司】</w:t>
            </w:r>
          </w:p>
          <w:p w14:paraId="6638631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统一社会信用代码：【913311227047843259】</w:t>
            </w:r>
          </w:p>
          <w:p w14:paraId="6CDA615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住所：【浙江省丽水市缙云县五云镇新区仙都路68号】</w:t>
            </w:r>
          </w:p>
          <w:p w14:paraId="53C1F86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862D03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49.企业名称：【浙江义乌农村商业银行股份有限公司】</w:t>
            </w:r>
          </w:p>
          <w:p w14:paraId="04F12C4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统一社会信用代码：【91330782609786576E】</w:t>
            </w:r>
          </w:p>
          <w:p w14:paraId="3A6E150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住所：【浙江省义乌市福田街道城北路677号】</w:t>
            </w:r>
          </w:p>
          <w:p w14:paraId="12AC4FF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A1648B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50.企业名称：【浙江兰溪农村商业银行股份有限公司】</w:t>
            </w:r>
          </w:p>
          <w:p w14:paraId="435BE48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统一社会信用代码：【91330781147387545R】</w:t>
            </w:r>
          </w:p>
          <w:p w14:paraId="5C27CFE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住所：【浙江省兰溪市兰江街道丹溪大道18号】</w:t>
            </w:r>
          </w:p>
          <w:p w14:paraId="6EA6613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0AC512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51.企业名称：【浙江长兴农村商业银行股份有限公司】</w:t>
            </w:r>
          </w:p>
          <w:p w14:paraId="4CBD4D3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统一社会信用代码：【91330522147148640A】</w:t>
            </w:r>
          </w:p>
          <w:p w14:paraId="3A75CD0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住所：【浙江省湖州市长兴县太湖街道明珠路1298号】</w:t>
            </w:r>
          </w:p>
          <w:p w14:paraId="0597A51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C29F8F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52.企业名称：【浙江绍兴恒信农村商业银行股份有限公司】</w:t>
            </w:r>
          </w:p>
          <w:p w14:paraId="61EA3BC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统一社会信用代码：【9133060271252980XJ】</w:t>
            </w:r>
          </w:p>
          <w:p w14:paraId="77C7490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住所：【浙江省绍兴市中兴中路159号】</w:t>
            </w:r>
          </w:p>
          <w:p w14:paraId="2D25C34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8D5FDC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53.企业名称：【浙江武义农村商业银行股份有限公司】</w:t>
            </w:r>
          </w:p>
          <w:p w14:paraId="17E511B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统一社会信用代码：【91330723552860156J】</w:t>
            </w:r>
          </w:p>
          <w:p w14:paraId="514B9B4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住所：【浙江省武义县城武阳中路37号】</w:t>
            </w:r>
          </w:p>
          <w:p w14:paraId="272153A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B42CC2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54.企业名称：【浙江岱山农村商业银行股份有限公司】</w:t>
            </w:r>
          </w:p>
          <w:p w14:paraId="6BCD03C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统一社会信用代码：【91330921778250107N】</w:t>
            </w:r>
          </w:p>
          <w:p w14:paraId="0E77DCA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住所：【浙江省舟山市岱山县高亭镇衢山大道1009号】</w:t>
            </w:r>
          </w:p>
          <w:p w14:paraId="4846180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5B2DF3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55.企业名称：【浙江仙居农村商业银行股份有限公司】</w:t>
            </w:r>
          </w:p>
          <w:p w14:paraId="1ACAF60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统一社会信用代码：【91331024148032965W】</w:t>
            </w:r>
          </w:p>
          <w:p w14:paraId="260C820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住所：【浙江省仙居县南峰街道穿城中路21号】</w:t>
            </w:r>
          </w:p>
          <w:p w14:paraId="33AB7F1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FAC2B8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56.企业名称：【浙江玉环农村商业银行股份有限公司】</w:t>
            </w:r>
          </w:p>
          <w:p w14:paraId="6DF37FF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统一社会信用代码：【91331021704702414T】</w:t>
            </w:r>
          </w:p>
          <w:p w14:paraId="41350D2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住所：【浙江省玉环市玉城街道珠港大道26号】</w:t>
            </w:r>
          </w:p>
          <w:p w14:paraId="05F2500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D318E8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57.企业名称：【浙江诸暨农村商业银行股份有限公司】</w:t>
            </w:r>
          </w:p>
          <w:p w14:paraId="26068B7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统一社会信用代码：【91330600146217704F】</w:t>
            </w:r>
          </w:p>
          <w:p w14:paraId="0558453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住所：【浙江省诸暨市暨阳街道大桥东路2号】</w:t>
            </w:r>
          </w:p>
          <w:p w14:paraId="0A3CB86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AB5F83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58.企业名称：【浙江临海农村商业银行股份有限公司】</w:t>
            </w:r>
          </w:p>
          <w:p w14:paraId="293D2C4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统一社会信用代码：【91331000147999461D】</w:t>
            </w:r>
          </w:p>
          <w:p w14:paraId="2AA014F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住所：【浙江省台州市临海市大洋街道河阳路299号】</w:t>
            </w:r>
          </w:p>
          <w:p w14:paraId="4C2F610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21707D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59.企业名称：【浙江建德农村商业银行股份有限公司】</w:t>
            </w:r>
          </w:p>
          <w:p w14:paraId="59FAA10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统一社会信用代码：【9133018270429246XA】</w:t>
            </w:r>
          </w:p>
          <w:p w14:paraId="454CFC1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住所：【浙江省建德市新安江街道江滨中路176号】</w:t>
            </w:r>
          </w:p>
          <w:p w14:paraId="70B22F1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D851AC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60.企业名称：【浙江文成农村商业银行股份有限公司】</w:t>
            </w:r>
          </w:p>
          <w:p w14:paraId="4D69471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统一社会信用代码：【91330328145827746X】</w:t>
            </w:r>
          </w:p>
          <w:p w14:paraId="77F0587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住所：【浙江省温州市文成县大峃镇伯温路6号】</w:t>
            </w:r>
          </w:p>
          <w:p w14:paraId="4D39591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C72FCB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61.企业名称：【浙江萧山农村商业银行股份有限公司】</w:t>
            </w:r>
          </w:p>
          <w:p w14:paraId="0B6DFE4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统一社会信用代码：【91330100143568234F】</w:t>
            </w:r>
          </w:p>
          <w:p w14:paraId="11F5F28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住所：【浙江省杭州市萧山区人民路258号】</w:t>
            </w:r>
          </w:p>
          <w:p w14:paraId="07108E8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957E67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62.企业名称：【浙江乐清农村商业银行股份有限公司】</w:t>
            </w:r>
          </w:p>
          <w:p w14:paraId="53428F6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统一社会信用代码：【91330300712576278B】</w:t>
            </w:r>
          </w:p>
          <w:p w14:paraId="4846EF0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住所：【乐清市城南街道伯乐西路99号】</w:t>
            </w:r>
          </w:p>
          <w:p w14:paraId="3D26C8C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9D0AB4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63.企业名称：【宁波余姚农村商业银行股份有限公司】</w:t>
            </w:r>
          </w:p>
          <w:p w14:paraId="26A00AD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统一社会信用代码：【91330281768530578N】</w:t>
            </w:r>
          </w:p>
          <w:p w14:paraId="6BDF099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住所：【余姚市新建路69号】</w:t>
            </w:r>
          </w:p>
          <w:p w14:paraId="2896DDA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1AC558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64.企业名称：【浙江桐庐农村商业银行股份有限公司】</w:t>
            </w:r>
          </w:p>
          <w:p w14:paraId="3D71B64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统一社会信用代码：【913301228436000474】</w:t>
            </w:r>
          </w:p>
          <w:p w14:paraId="0AFB930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住所：【浙江省杭州市桐庐县城迎春南路278号】</w:t>
            </w:r>
          </w:p>
          <w:p w14:paraId="79A86DB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D10235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65.企业名称：【杭州联合农村商业银行股份有限公司】</w:t>
            </w:r>
          </w:p>
          <w:p w14:paraId="563E346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统一社会信用代码：【91330100773585469H】</w:t>
            </w:r>
          </w:p>
          <w:p w14:paraId="1EB300E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住所：【浙江省杭州市上城区建国中路99号】</w:t>
            </w:r>
          </w:p>
          <w:p w14:paraId="452DA16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5B9933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66.企业名称：【浙江温州鹿城农村商业银行股份有限公司】</w:t>
            </w:r>
          </w:p>
          <w:p w14:paraId="4AD1DBF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统一社会信用代码：【91330300777212117L】</w:t>
            </w:r>
          </w:p>
          <w:p w14:paraId="51F5DD1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住所：【浙江省温州市鹿城区会展路1500号富银大厦】</w:t>
            </w:r>
          </w:p>
          <w:p w14:paraId="54C9A6C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A94E09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67.企业名称：【浙江绍兴瑞丰农村商业银行股份有限公司】</w:t>
            </w:r>
          </w:p>
          <w:p w14:paraId="3AF9D98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统一社会信用代码：【91330600145965997H】</w:t>
            </w:r>
          </w:p>
          <w:p w14:paraId="73A94C2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住所：【浙江省绍兴市柯桥区柯桥笛扬路1363号】</w:t>
            </w:r>
          </w:p>
          <w:p w14:paraId="3D9FB03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331131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68.企业名称：【浙江禾城农村商业银行股份有限公司】</w:t>
            </w:r>
          </w:p>
          <w:p w14:paraId="363BB9C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统一社会信用代码：【91330400146466356E】</w:t>
            </w:r>
          </w:p>
          <w:p w14:paraId="59CE3B8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住所：【浙江省嘉兴市经济技术开发区文昌路 1229 号】</w:t>
            </w:r>
          </w:p>
          <w:p w14:paraId="011BB2D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CFDA96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69.企业名称：【浙江泰顺农村商业银行股份有限公司】</w:t>
            </w:r>
          </w:p>
          <w:p w14:paraId="37E6181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统一社会信用代码：【913303297043793629】</w:t>
            </w:r>
          </w:p>
          <w:p w14:paraId="46904F0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住所：【浙江省温州市泰顺县罗阳镇新城区文祥大道181号】</w:t>
            </w:r>
          </w:p>
          <w:p w14:paraId="2A924F3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790649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70.企业名称：【浙江嵊州农村商业银行股份有限公司】</w:t>
            </w:r>
          </w:p>
          <w:p w14:paraId="2A45C52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统一社会信用代码：【91330683146384641Y】</w:t>
            </w:r>
          </w:p>
          <w:p w14:paraId="7466D7F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住所：【浙江省嵊州市剡湖街道官河路398号】</w:t>
            </w:r>
          </w:p>
          <w:p w14:paraId="52B67B0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BA14B3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71.企业名称：【浙江庆元农村商业银行股份有限公司】</w:t>
            </w:r>
          </w:p>
          <w:p w14:paraId="077B27A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统一社会信用代码：【91331126609962015U】</w:t>
            </w:r>
          </w:p>
          <w:p w14:paraId="5F68BF9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住所：【浙江省丽水市庆元县濛洲街道云鹤路3号】</w:t>
            </w:r>
          </w:p>
          <w:p w14:paraId="07779BD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42E987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72.企业名称：【浙江温州瓯海农村商业银行股份有限公司】</w:t>
            </w:r>
          </w:p>
          <w:p w14:paraId="4569264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统一社会信用代码：【91330300776489333D】</w:t>
            </w:r>
          </w:p>
          <w:p w14:paraId="5EDC0BE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住所：【浙江省温州市瓯海区瓯海大道989号】</w:t>
            </w:r>
          </w:p>
          <w:p w14:paraId="05E592E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7AF6A8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73.企业名称：【浙江云和农村商业银行股份有限公司】</w:t>
            </w:r>
          </w:p>
          <w:p w14:paraId="6A719AE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统一社会信用代码：【9133112514848825XE】</w:t>
            </w:r>
          </w:p>
          <w:p w14:paraId="5BF2C15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住所：【浙江省丽水市云和县浮云街道新建路72号】</w:t>
            </w:r>
          </w:p>
          <w:p w14:paraId="523F8E2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295533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74.企业名称：【宁波慈溪农村商业银行股份有限公司】</w:t>
            </w:r>
          </w:p>
          <w:p w14:paraId="615B1BE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统一社会信用代码：【91330200144756720Q】</w:t>
            </w:r>
          </w:p>
          <w:p w14:paraId="6531E27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住所：【浙江省慈溪市浒山街道南城路25号、59号5-6楼】</w:t>
            </w:r>
          </w:p>
          <w:p w14:paraId="1755206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285CC9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75.企业名称：【浙江温州龙湾农村商业银行股份有限公司 】</w:t>
            </w:r>
          </w:p>
          <w:p w14:paraId="4EA81DF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统一社会信用代码：【913303007772078015】</w:t>
            </w:r>
          </w:p>
          <w:p w14:paraId="44F9315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住所：【浙江省温州市龙湾区永中街道永宁西路555号】</w:t>
            </w:r>
          </w:p>
          <w:p w14:paraId="519E272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90ACCA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76.企业名称：【浙江苍南农村商业银行股份有限公司】</w:t>
            </w:r>
          </w:p>
          <w:p w14:paraId="3BF09A4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统一社会信用代码：【913303007043722167】</w:t>
            </w:r>
          </w:p>
          <w:p w14:paraId="1B6A085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住所：【浙江省苍南县灵溪镇人民大道425号】</w:t>
            </w:r>
          </w:p>
          <w:p w14:paraId="24F2DC5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6C0556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77.企业名称：【浙江嵊泗农村商业银行股份有限公司】</w:t>
            </w:r>
          </w:p>
          <w:p w14:paraId="0011A6C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统一社会信用代码：【9133092270466354XL】</w:t>
            </w:r>
          </w:p>
          <w:p w14:paraId="4610050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住所：【浙江省嵊泗县菜园镇沙河路110号】</w:t>
            </w:r>
          </w:p>
          <w:p w14:paraId="6332D1A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客户服务热线：【400-88-96596】</w:t>
            </w:r>
          </w:p>
          <w:p w14:paraId="4FC6B7B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78.企业名称：【广发银行股份有限公司】</w:t>
            </w:r>
          </w:p>
          <w:p w14:paraId="76FE1CD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统一社会信用代码：【91440000190336428Q】</w:t>
            </w:r>
          </w:p>
          <w:p w14:paraId="3738962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住所：【广州市越秀区东风东路713号】</w:t>
            </w:r>
          </w:p>
          <w:p w14:paraId="135DC4A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客户服务热线：【400-830-8003】</w:t>
            </w:r>
          </w:p>
          <w:p w14:paraId="0BAAC03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79.企业名称：【郑州银行股份有限公司】</w:t>
            </w:r>
          </w:p>
          <w:p w14:paraId="69960CB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统一社会信用代码：【914100001699995779】</w:t>
            </w:r>
          </w:p>
          <w:p w14:paraId="628BC9E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住所：【郑州市郑东新区商务外环路22号】</w:t>
            </w:r>
          </w:p>
          <w:p w14:paraId="1B522B8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客户服务热线：【95097】</w:t>
            </w:r>
          </w:p>
          <w:p w14:paraId="6B1159A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80.企业名称：【宁波鄞州农村商业银行股份有限公司】</w:t>
            </w:r>
          </w:p>
          <w:p w14:paraId="3E1CF12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统一社会信用代码：【91330212144417235R】</w:t>
            </w:r>
          </w:p>
          <w:p w14:paraId="6B747DC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住所：【浙江省宁波市鄞州区民惠西路 88 号】</w:t>
            </w:r>
          </w:p>
          <w:p w14:paraId="34CD1C0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客户服务热线：【956058】</w:t>
            </w:r>
          </w:p>
          <w:p w14:paraId="50B03B3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81.企业名称：【江苏如东农村商业银行股份有限公司】</w:t>
            </w:r>
          </w:p>
          <w:p w14:paraId="769A7FB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统一社会信用代码：【91320600050214904J】</w:t>
            </w:r>
          </w:p>
          <w:p w14:paraId="2E3C475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住所：【江苏省如东县掘港镇钟山路66号】</w:t>
            </w:r>
          </w:p>
          <w:p w14:paraId="518AFBE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客户服务热线：【0513-96008】</w:t>
            </w:r>
          </w:p>
          <w:p w14:paraId="4B7CFF4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82.企业名称：【江苏响水农村商业银行股份有限公司】</w:t>
            </w:r>
          </w:p>
          <w:p w14:paraId="6EEC965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统一社会信用代码：【91320900703856446L】</w:t>
            </w:r>
          </w:p>
          <w:p w14:paraId="216C89E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住所：【江苏省盐城市响水县双园路84号】</w:t>
            </w:r>
          </w:p>
          <w:p w14:paraId="1CF01F7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客户服务热线：【96008】</w:t>
            </w:r>
          </w:p>
          <w:p w14:paraId="367C7FD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83.企业名称：【江苏姜堰农村商业银行股份有限公司】</w:t>
            </w:r>
          </w:p>
          <w:p w14:paraId="5573FF9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统一社会信用代码：【913212001419478711】</w:t>
            </w:r>
          </w:p>
          <w:p w14:paraId="480BFB7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住所：【泰州市姜堰区姜堰大道128号】</w:t>
            </w:r>
          </w:p>
          <w:p w14:paraId="147F23A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客户服务热线：【96008】</w:t>
            </w:r>
          </w:p>
          <w:p w14:paraId="6F6256A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84.企业名称：【江苏靖江农村商业银行股份有限公司】</w:t>
            </w:r>
          </w:p>
          <w:p w14:paraId="5E2F59D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统一社会信用代码：【913212001411273988】</w:t>
            </w:r>
          </w:p>
          <w:p w14:paraId="1D74AC5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住所：【江苏省靖江市南环西路12号】</w:t>
            </w:r>
          </w:p>
          <w:p w14:paraId="02E11DF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客户服务热线：【96008】</w:t>
            </w:r>
          </w:p>
          <w:p w14:paraId="3516187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85.企业名称：【江苏盐城农村商业银行股份有限公司】</w:t>
            </w:r>
          </w:p>
          <w:p w14:paraId="09C12C3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统一社会信用代码：【91320900140326096G】</w:t>
            </w:r>
          </w:p>
          <w:p w14:paraId="5CB2B2C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住所：【江苏省盐城市盐南高新区新都西路8号】</w:t>
            </w:r>
          </w:p>
          <w:p w14:paraId="73A1782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客户服务热线：【0515-88880000】</w:t>
            </w:r>
          </w:p>
          <w:p w14:paraId="1183156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86.企业名称：【江苏镇江农村商业银行股份有限公司】</w:t>
            </w:r>
          </w:p>
          <w:p w14:paraId="7A9A824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统一社会信用代码：【913211005691909538】</w:t>
            </w:r>
          </w:p>
          <w:p w14:paraId="4F8329B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住所：【江苏省镇江市润州区长江路97号】</w:t>
            </w:r>
          </w:p>
          <w:p w14:paraId="3A33A42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客户服务热线：【0513-96008】</w:t>
            </w:r>
          </w:p>
          <w:p w14:paraId="75F3E8B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87.企业名称：【江苏句容农村商业银行股份有限公司】</w:t>
            </w:r>
          </w:p>
          <w:p w14:paraId="60C5C8B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统一社会信用代码：【91321100576724933U】</w:t>
            </w:r>
          </w:p>
          <w:p w14:paraId="0B0B21D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住所：【江苏省句容市福地东路66号】</w:t>
            </w:r>
          </w:p>
          <w:p w14:paraId="08F525B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客户服务热线：【0511-96008】</w:t>
            </w:r>
          </w:p>
          <w:p w14:paraId="1C7C5E0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88.企业名称：【江苏海安农村商业银行股份有限公司】</w:t>
            </w:r>
          </w:p>
          <w:p w14:paraId="5BDDDAF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统一社会信用代码：【91320600569143372H】</w:t>
            </w:r>
          </w:p>
          <w:p w14:paraId="08B31A5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住所：【江苏省海安市长江中路 88 号(东楼)】</w:t>
            </w:r>
          </w:p>
          <w:p w14:paraId="1A4D53B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客户服务热线：【96008】</w:t>
            </w:r>
          </w:p>
          <w:p w14:paraId="698FCA7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89.企业名称：【江苏扬州农村商业银行股份有限公司】</w:t>
            </w:r>
          </w:p>
          <w:p w14:paraId="5725EFA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统一社会信用代码：【9132100014073476XX】</w:t>
            </w:r>
          </w:p>
          <w:p w14:paraId="0EAAB23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住所：【江苏省扬州市同泰路107号】</w:t>
            </w:r>
          </w:p>
          <w:p w14:paraId="4BE2239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客户服务热线：【96008】</w:t>
            </w:r>
          </w:p>
          <w:p w14:paraId="5EEB31F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lang w:val="en-US" w:eastAsia="zh-CN"/>
              </w:rPr>
              <w:t>90</w:t>
            </w:r>
            <w:r>
              <w:rPr>
                <w:rFonts w:ascii="楷体_GB2312" w:eastAsia="楷体_GB2312" w:cs="楷体_GB2312"/>
                <w:sz w:val="20"/>
                <w:szCs w:val="20"/>
              </w:rPr>
              <w:t>.</w:t>
            </w:r>
            <w:r>
              <w:rPr>
                <w:rFonts w:hint="eastAsia" w:ascii="楷体_GB2312" w:eastAsia="楷体_GB2312" w:cs="楷体_GB2312"/>
                <w:sz w:val="20"/>
                <w:szCs w:val="20"/>
              </w:rPr>
              <w:t>企业名称：【上海银行股份有限公司】</w:t>
            </w:r>
          </w:p>
          <w:p w14:paraId="7FE7A4B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91310000132257510M】</w:t>
            </w:r>
          </w:p>
          <w:p w14:paraId="74A618B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住所：【中国（上海）自由贸易试验区银城中路</w:t>
            </w:r>
            <w:r>
              <w:rPr>
                <w:rFonts w:ascii="楷体_GB2312" w:eastAsia="楷体_GB2312" w:cs="楷体_GB2312"/>
                <w:sz w:val="20"/>
                <w:szCs w:val="20"/>
              </w:rPr>
              <w:t>168号】</w:t>
            </w:r>
          </w:p>
          <w:p w14:paraId="230E9BB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95594】</w:t>
            </w:r>
          </w:p>
          <w:p w14:paraId="6DCED1F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lang w:val="en-US" w:eastAsia="zh-CN"/>
              </w:rPr>
              <w:t>91</w:t>
            </w:r>
            <w:r>
              <w:rPr>
                <w:rFonts w:ascii="楷体_GB2312" w:eastAsia="楷体_GB2312" w:cs="楷体_GB2312"/>
                <w:sz w:val="20"/>
                <w:szCs w:val="20"/>
              </w:rPr>
              <w:t>.</w:t>
            </w:r>
            <w:r>
              <w:rPr>
                <w:rFonts w:hint="eastAsia" w:ascii="楷体_GB2312" w:eastAsia="楷体_GB2312" w:cs="楷体_GB2312"/>
                <w:sz w:val="20"/>
                <w:szCs w:val="20"/>
              </w:rPr>
              <w:t>企业名称：【张家口银行股份有限公司】</w:t>
            </w:r>
          </w:p>
          <w:p w14:paraId="325AF2D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91130000106181065L】</w:t>
            </w:r>
          </w:p>
          <w:p w14:paraId="6622D56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住所：【河北省张家口市桥东区胜利北路</w:t>
            </w:r>
            <w:r>
              <w:rPr>
                <w:rFonts w:ascii="楷体_GB2312" w:eastAsia="楷体_GB2312" w:cs="楷体_GB2312"/>
                <w:sz w:val="20"/>
                <w:szCs w:val="20"/>
              </w:rPr>
              <w:t>51号】</w:t>
            </w:r>
          </w:p>
          <w:p w14:paraId="6162C70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400-6896368】</w:t>
            </w:r>
          </w:p>
          <w:p w14:paraId="6E91F19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lang w:val="en-US" w:eastAsia="zh-CN"/>
              </w:rPr>
              <w:t>92</w:t>
            </w:r>
            <w:r>
              <w:rPr>
                <w:rFonts w:ascii="楷体_GB2312" w:eastAsia="楷体_GB2312" w:cs="楷体_GB2312"/>
                <w:sz w:val="20"/>
                <w:szCs w:val="20"/>
              </w:rPr>
              <w:t>.</w:t>
            </w:r>
            <w:r>
              <w:rPr>
                <w:rFonts w:hint="eastAsia" w:ascii="楷体_GB2312" w:eastAsia="楷体_GB2312" w:cs="楷体_GB2312"/>
                <w:sz w:val="20"/>
                <w:szCs w:val="20"/>
              </w:rPr>
              <w:t>企业名称：【杭州联合农村商业银行股份有限公司】</w:t>
            </w:r>
          </w:p>
          <w:p w14:paraId="6FEE962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91330100773585469H】</w:t>
            </w:r>
          </w:p>
          <w:p w14:paraId="2F02737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住所：【浙江省杭州市上城区建国中路</w:t>
            </w:r>
            <w:r>
              <w:rPr>
                <w:rFonts w:ascii="楷体_GB2312" w:eastAsia="楷体_GB2312" w:cs="楷体_GB2312"/>
                <w:sz w:val="20"/>
                <w:szCs w:val="20"/>
              </w:rPr>
              <w:t>99号】</w:t>
            </w:r>
          </w:p>
          <w:p w14:paraId="0C1553D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14:paraId="55D6323B">
            <w:pPr>
              <w:spacing w:line="300" w:lineRule="atLeast"/>
              <w:ind w:left="-2" w:right="31"/>
              <w:rPr>
                <w:rFonts w:ascii="楷体_GB2312" w:eastAsia="楷体_GB2312" w:cs="楷体_GB2312"/>
                <w:sz w:val="20"/>
                <w:szCs w:val="20"/>
              </w:rPr>
            </w:pPr>
          </w:p>
          <w:p w14:paraId="3FDA85D1">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G</w:t>
            </w:r>
            <w:r>
              <w:rPr>
                <w:rFonts w:hint="eastAsia" w:ascii="楷体_GB2312" w:eastAsia="楷体_GB2312" w:cs="楷体_GB2312"/>
                <w:color w:val="000000" w:themeColor="text1"/>
                <w:sz w:val="20"/>
                <w:szCs w:val="20"/>
                <w14:textFill>
                  <w14:solidFill>
                    <w14:schemeClr w14:val="tx1"/>
                  </w14:solidFill>
                </w14:textFill>
              </w:rPr>
              <w:t>类份额（份额代码【</w:t>
            </w:r>
            <w:r>
              <w:rPr>
                <w:rFonts w:ascii="楷体_GB2312" w:eastAsia="楷体_GB2312" w:cs="楷体_GB2312"/>
                <w:color w:val="000000" w:themeColor="text1"/>
                <w:sz w:val="20"/>
                <w:szCs w:val="20"/>
                <w14:textFill>
                  <w14:solidFill>
                    <w14:schemeClr w14:val="tx1"/>
                  </w14:solidFill>
                </w14:textFill>
              </w:rPr>
              <w:t>AF245807G】）</w:t>
            </w:r>
            <w:r>
              <w:rPr>
                <w:rFonts w:hint="eastAsia" w:ascii="楷体_GB2312" w:eastAsia="楷体_GB2312" w:cs="楷体_GB2312"/>
                <w:sz w:val="20"/>
                <w:szCs w:val="20"/>
              </w:rPr>
              <w:t>合作</w:t>
            </w:r>
            <w:r>
              <w:rPr>
                <w:rFonts w:ascii="楷体_GB2312" w:eastAsia="楷体_GB2312" w:cs="楷体_GB2312"/>
                <w:sz w:val="20"/>
                <w:szCs w:val="20"/>
              </w:rPr>
              <w:t>销售机构信息：</w:t>
            </w:r>
          </w:p>
          <w:p w14:paraId="5366B47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1.企业名称：【信银理财有限责任公司】</w:t>
            </w:r>
          </w:p>
          <w:p w14:paraId="26260FD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14:paraId="1D3AD0C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14:paraId="746806B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14:paraId="1907EA66">
            <w:pPr>
              <w:spacing w:line="300" w:lineRule="atLeast"/>
              <w:ind w:left="-2" w:right="31"/>
              <w:rPr>
                <w:rFonts w:ascii="楷体_GB2312" w:eastAsia="楷体_GB2312" w:cs="楷体_GB2312"/>
                <w:sz w:val="20"/>
                <w:szCs w:val="20"/>
              </w:rPr>
            </w:pPr>
            <w:r>
              <w:rPr>
                <w:rFonts w:ascii="楷体_GB2312" w:eastAsia="楷体_GB2312" w:cs="楷体_GB2312"/>
                <w:sz w:val="20"/>
                <w:szCs w:val="20"/>
              </w:rPr>
              <w:t>2.企业名称：【杭州联合农村商业银行股份有限公司】</w:t>
            </w:r>
          </w:p>
          <w:p w14:paraId="5FB80B5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91330100773585469H】</w:t>
            </w:r>
          </w:p>
          <w:p w14:paraId="329802F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住所：【浙江省杭州市上城区建国中路</w:t>
            </w:r>
            <w:r>
              <w:rPr>
                <w:rFonts w:ascii="楷体_GB2312" w:eastAsia="楷体_GB2312" w:cs="楷体_GB2312"/>
                <w:sz w:val="20"/>
                <w:szCs w:val="20"/>
              </w:rPr>
              <w:t>99号】</w:t>
            </w:r>
          </w:p>
          <w:p w14:paraId="387A18D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14:paraId="51B106EE">
            <w:pPr>
              <w:spacing w:line="300" w:lineRule="atLeast"/>
              <w:ind w:left="-2" w:right="31"/>
              <w:rPr>
                <w:rFonts w:ascii="楷体_GB2312" w:eastAsia="楷体_GB2312" w:cs="楷体_GB2312"/>
                <w:sz w:val="20"/>
                <w:szCs w:val="20"/>
              </w:rPr>
            </w:pPr>
          </w:p>
          <w:p w14:paraId="7B6D32D8">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M</w:t>
            </w:r>
            <w:r>
              <w:rPr>
                <w:rFonts w:hint="eastAsia" w:ascii="楷体_GB2312" w:eastAsia="楷体_GB2312" w:cs="楷体_GB2312"/>
                <w:color w:val="000000" w:themeColor="text1"/>
                <w:sz w:val="20"/>
                <w:szCs w:val="20"/>
                <w14:textFill>
                  <w14:solidFill>
                    <w14:schemeClr w14:val="tx1"/>
                  </w14:solidFill>
                </w14:textFill>
              </w:rPr>
              <w:t>类份额（份额代码【</w:t>
            </w:r>
            <w:r>
              <w:rPr>
                <w:rFonts w:ascii="楷体_GB2312" w:eastAsia="楷体_GB2312" w:cs="楷体_GB2312"/>
                <w:color w:val="000000" w:themeColor="text1"/>
                <w:sz w:val="20"/>
                <w:szCs w:val="20"/>
                <w14:textFill>
                  <w14:solidFill>
                    <w14:schemeClr w14:val="tx1"/>
                  </w14:solidFill>
                </w14:textFill>
              </w:rPr>
              <w:t>AF245807M】）</w:t>
            </w:r>
            <w:r>
              <w:rPr>
                <w:rFonts w:hint="eastAsia" w:ascii="楷体_GB2312" w:eastAsia="楷体_GB2312" w:cs="楷体_GB2312"/>
                <w:sz w:val="20"/>
                <w:szCs w:val="20"/>
              </w:rPr>
              <w:t>合作</w:t>
            </w:r>
            <w:r>
              <w:rPr>
                <w:rFonts w:ascii="楷体_GB2312" w:eastAsia="楷体_GB2312" w:cs="楷体_GB2312"/>
                <w:sz w:val="20"/>
                <w:szCs w:val="20"/>
              </w:rPr>
              <w:t>销售机构信息：</w:t>
            </w:r>
          </w:p>
          <w:p w14:paraId="27446FC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1.企业名称：【信银理财有限责任公司】</w:t>
            </w:r>
          </w:p>
          <w:p w14:paraId="0781AB2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14:paraId="1490641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14:paraId="1411B82A">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14:paraId="3771BFB2">
            <w:pPr>
              <w:spacing w:line="300" w:lineRule="atLeast"/>
              <w:ind w:right="31"/>
              <w:rPr>
                <w:rFonts w:ascii="楷体_GB2312" w:eastAsia="楷体_GB2312" w:cs="楷体_GB2312"/>
                <w:sz w:val="20"/>
                <w:szCs w:val="20"/>
              </w:rPr>
            </w:pPr>
            <w:r>
              <w:rPr>
                <w:rFonts w:ascii="楷体_GB2312" w:eastAsia="楷体_GB2312" w:cs="楷体_GB2312"/>
                <w:sz w:val="20"/>
                <w:szCs w:val="20"/>
              </w:rPr>
              <w:t>2.企业名称：【杭州联合农村商业银行股份有限公司】</w:t>
            </w:r>
          </w:p>
          <w:p w14:paraId="21D3E2C3">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91330100773585469H】</w:t>
            </w:r>
          </w:p>
          <w:p w14:paraId="58AF172C">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住所：【浙江省杭州市上城区建国中路</w:t>
            </w:r>
            <w:r>
              <w:rPr>
                <w:rFonts w:ascii="楷体_GB2312" w:eastAsia="楷体_GB2312" w:cs="楷体_GB2312"/>
                <w:sz w:val="20"/>
                <w:szCs w:val="20"/>
              </w:rPr>
              <w:t>99号】</w:t>
            </w:r>
          </w:p>
          <w:p w14:paraId="1862D333">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14:paraId="663C60DE">
            <w:pPr>
              <w:spacing w:line="300" w:lineRule="atLeast"/>
              <w:ind w:right="31"/>
              <w:rPr>
                <w:rFonts w:ascii="楷体_GB2312" w:eastAsia="楷体_GB2312" w:cs="楷体_GB2312"/>
                <w:sz w:val="20"/>
                <w:szCs w:val="20"/>
              </w:rPr>
            </w:pPr>
          </w:p>
          <w:p w14:paraId="5870704C">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T</w:t>
            </w:r>
            <w:r>
              <w:rPr>
                <w:rFonts w:hint="eastAsia" w:ascii="楷体_GB2312" w:eastAsia="楷体_GB2312" w:cs="楷体_GB2312"/>
                <w:color w:val="000000" w:themeColor="text1"/>
                <w:sz w:val="20"/>
                <w:szCs w:val="20"/>
                <w14:textFill>
                  <w14:solidFill>
                    <w14:schemeClr w14:val="tx1"/>
                  </w14:solidFill>
                </w14:textFill>
              </w:rPr>
              <w:t>类份额（份额代码【</w:t>
            </w:r>
            <w:r>
              <w:rPr>
                <w:rFonts w:ascii="楷体_GB2312" w:eastAsia="楷体_GB2312" w:cs="楷体_GB2312"/>
                <w:color w:val="000000" w:themeColor="text1"/>
                <w:sz w:val="20"/>
                <w:szCs w:val="20"/>
                <w14:textFill>
                  <w14:solidFill>
                    <w14:schemeClr w14:val="tx1"/>
                  </w14:solidFill>
                </w14:textFill>
              </w:rPr>
              <w:t>AF245807T】）</w:t>
            </w:r>
            <w:r>
              <w:rPr>
                <w:rFonts w:hint="eastAsia" w:ascii="楷体_GB2312" w:eastAsia="楷体_GB2312" w:cs="楷体_GB2312"/>
                <w:sz w:val="20"/>
                <w:szCs w:val="20"/>
              </w:rPr>
              <w:t>合作</w:t>
            </w:r>
            <w:r>
              <w:rPr>
                <w:rFonts w:ascii="楷体_GB2312" w:eastAsia="楷体_GB2312" w:cs="楷体_GB2312"/>
                <w:sz w:val="20"/>
                <w:szCs w:val="20"/>
              </w:rPr>
              <w:t>销售机构信息：</w:t>
            </w:r>
          </w:p>
          <w:p w14:paraId="6A720F8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1.企业名称：【浙江新昌农村商业银行股份有限公司】</w:t>
            </w:r>
          </w:p>
          <w:p w14:paraId="12A2581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统一社会信用代码：【913306007707448740】</w:t>
            </w:r>
          </w:p>
          <w:p w14:paraId="1B9BA73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住所：【浙江省新昌县七星街道七星路18号】</w:t>
            </w:r>
          </w:p>
          <w:p w14:paraId="77ADA9E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0E7EC3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2.企业名称：【浙江杭州余杭农村商业银行股份有限公司】</w:t>
            </w:r>
          </w:p>
          <w:p w14:paraId="38E6735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统一社会信用代码：【9133010014387221XY】</w:t>
            </w:r>
          </w:p>
          <w:p w14:paraId="69A1FB1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住所：【浙江省杭州市临平区南苑街道南大街72号】</w:t>
            </w:r>
          </w:p>
          <w:p w14:paraId="383F809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77FC1D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3.企业名称：【浙江德清农村商业银行股份有限公司】</w:t>
            </w:r>
          </w:p>
          <w:p w14:paraId="6959323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统一社会信用代码：【9133050076962455XQ】</w:t>
            </w:r>
          </w:p>
          <w:p w14:paraId="2E3A13B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住所：【浙江省德清县武康街道沈长圩街50号】</w:t>
            </w:r>
          </w:p>
          <w:p w14:paraId="1085C93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89316E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4.企业名称：【浙江瑞安农村商业银行股份有限公司】</w:t>
            </w:r>
          </w:p>
          <w:p w14:paraId="10B9399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统一社会信用代码：【91330300773121154L】</w:t>
            </w:r>
          </w:p>
          <w:p w14:paraId="3BC1196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住所：【瑞安市安阳街道万松东路148号】</w:t>
            </w:r>
          </w:p>
          <w:p w14:paraId="16CF1E9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C06226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5.企业名称：【浙江富阳农村商业银行股份有限公司】</w:t>
            </w:r>
          </w:p>
          <w:p w14:paraId="4806568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统一社会信用代码：【91330100YA3600224E】</w:t>
            </w:r>
          </w:p>
          <w:p w14:paraId="1266532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住所：【浙江省杭州市富阳区鹿山街道依江路501号第1幢】</w:t>
            </w:r>
          </w:p>
          <w:p w14:paraId="4F124F3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6EF679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6.企业名称：【浙江金华成泰农村商业银行股份有限公司】</w:t>
            </w:r>
          </w:p>
          <w:p w14:paraId="7FAE0C1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统一社会信用代码：【91330700685598446M】</w:t>
            </w:r>
          </w:p>
          <w:p w14:paraId="6376450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住所：【浙江省金华市八一南街123号】</w:t>
            </w:r>
          </w:p>
          <w:p w14:paraId="5FABB24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3BC620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7.企业名称：【浙江永康农村商业银行股份有限公司】</w:t>
            </w:r>
          </w:p>
          <w:p w14:paraId="56D071E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统一社会信用代码：【91330700563336405G】</w:t>
            </w:r>
          </w:p>
          <w:p w14:paraId="09F162C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住所：【浙江省金华市永康市九铃东路3259号】</w:t>
            </w:r>
          </w:p>
          <w:p w14:paraId="5BF9766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FBE8EA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8.企业名称：【浙江东阳农村商业银行股份有限公司】</w:t>
            </w:r>
          </w:p>
          <w:p w14:paraId="5F796AD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统一社会信用代码：【91330700147546390Q】</w:t>
            </w:r>
          </w:p>
          <w:p w14:paraId="3C182F4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住所：【东阳市双岘路18号】</w:t>
            </w:r>
          </w:p>
          <w:p w14:paraId="0E775A2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15BAFD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9.企业名称：【浙江浦江农村商业银行股份有限公司】</w:t>
            </w:r>
          </w:p>
          <w:p w14:paraId="15DCA17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统一社会信用代码：【913307261476928819】</w:t>
            </w:r>
          </w:p>
          <w:p w14:paraId="05D3DD6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住所：【浙江省浦江县人民东路90号】</w:t>
            </w:r>
          </w:p>
          <w:p w14:paraId="167BE7A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70B646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10.企业名称：【浙江衢州柯城农村商业银行股份有限公司】</w:t>
            </w:r>
          </w:p>
          <w:p w14:paraId="5FC21FF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统一社会信用代码：【913308001477477826】</w:t>
            </w:r>
          </w:p>
          <w:p w14:paraId="0717ABD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住所：【浙江省上街92号】</w:t>
            </w:r>
          </w:p>
          <w:p w14:paraId="56C6648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6D9B29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11.企业名称：【浙江衢州衢江农村商业银行股份有限公司】</w:t>
            </w:r>
          </w:p>
          <w:p w14:paraId="409A950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统一社会信用代码：【91330800147752813B】</w:t>
            </w:r>
          </w:p>
          <w:p w14:paraId="454C693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住所：【浙江省衢州市衢江区樟潭街道信安东路37号】</w:t>
            </w:r>
          </w:p>
          <w:p w14:paraId="6FE6784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A34AD0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12.企业名称：【浙江龙游农村商业银行股份有限公司】</w:t>
            </w:r>
          </w:p>
          <w:p w14:paraId="30D8013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统一社会信用代码：【91330825769632509M】</w:t>
            </w:r>
          </w:p>
          <w:p w14:paraId="079CE9B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住所：【浙江省衢州市龙游县龙洲街道荣昌大道683、685、687号】</w:t>
            </w:r>
          </w:p>
          <w:p w14:paraId="193AB19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6A68D8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13.企业名称：【浙江江山农村商业银行股份有限公司】</w:t>
            </w:r>
          </w:p>
          <w:p w14:paraId="65FE3FF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统一社会信用代码：【913308001478831865】</w:t>
            </w:r>
          </w:p>
          <w:p w14:paraId="036EE96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住所：【浙江省江山市双塔街道江滨路188号】</w:t>
            </w:r>
          </w:p>
          <w:p w14:paraId="4C06CF5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760275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14.企业名称：【浙江常山农村商业银行股份有限公司】</w:t>
            </w:r>
          </w:p>
          <w:p w14:paraId="5BEC674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统一社会信用代码：【91330822147845315H】</w:t>
            </w:r>
          </w:p>
          <w:p w14:paraId="0EE17D8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住所：【浙江省衢州市常山县天马街道人民路125号】</w:t>
            </w:r>
          </w:p>
          <w:p w14:paraId="290C5F1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69C995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15.企业名称：【浙江开化农村商业银行股份有限公司】</w:t>
            </w:r>
          </w:p>
          <w:p w14:paraId="0624E61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统一社会信用代码：【913308241479259480】</w:t>
            </w:r>
          </w:p>
          <w:p w14:paraId="09C667E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住所：【浙江省衢州市开化县华埠镇永吉二路8号】</w:t>
            </w:r>
          </w:p>
          <w:p w14:paraId="23B0A48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7D6B93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16.企业名称：【浙江丽水莲都农村商业银行股份有限公司】</w:t>
            </w:r>
          </w:p>
          <w:p w14:paraId="0DF5E86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统一社会信用代码：【91331100148440061D】</w:t>
            </w:r>
          </w:p>
          <w:p w14:paraId="67E190C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住所：【浙江丽水市解放街438号】</w:t>
            </w:r>
          </w:p>
          <w:p w14:paraId="74E29F8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FA2B19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17.企业名称：【浙江青田农村商业银行股份有限公司】</w:t>
            </w:r>
          </w:p>
          <w:p w14:paraId="1B1414A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统一社会信用代码：【913311007757320399】</w:t>
            </w:r>
          </w:p>
          <w:p w14:paraId="7ECFECC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住所：【浙江省青田县鹤城街道鹤城东路180号】</w:t>
            </w:r>
          </w:p>
          <w:p w14:paraId="1BD1590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1A3D29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18.企业名称：【浙江龙泉农村商业银行股份有限公司】</w:t>
            </w:r>
          </w:p>
          <w:p w14:paraId="44FC76E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统一社会信用代码：【91331181148543853J】</w:t>
            </w:r>
          </w:p>
          <w:p w14:paraId="6F197C6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住所：【浙江省丽水市龙泉市中山东路101号】</w:t>
            </w:r>
          </w:p>
          <w:p w14:paraId="6867E67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0EC7C9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19.企业名称：【浙江遂昌农村商业银行股份有限公司】</w:t>
            </w:r>
          </w:p>
          <w:p w14:paraId="085255A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统一社会信用代码：【91331123148661817E】</w:t>
            </w:r>
          </w:p>
          <w:p w14:paraId="6E5A3B9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住所：【浙江省丽水市遂昌县妙高街道溪边路100号】</w:t>
            </w:r>
          </w:p>
          <w:p w14:paraId="1A207CC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29F1B0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20.企业名称：【浙江松阳农村商业银行股份有限公司】</w:t>
            </w:r>
          </w:p>
          <w:p w14:paraId="21249A0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统一社会信用代码：【91331124148632856X】</w:t>
            </w:r>
          </w:p>
          <w:p w14:paraId="76F52F9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住所：【浙江省丽水市松阳县水南街道要津南路71号】</w:t>
            </w:r>
          </w:p>
          <w:p w14:paraId="29C0B7A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96C5F5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21.企业名称：【浙江景宁农村商业银行股份有限公司】</w:t>
            </w:r>
          </w:p>
          <w:p w14:paraId="65EFD29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统一社会信用代码：【91331127704796094T】</w:t>
            </w:r>
          </w:p>
          <w:p w14:paraId="28E57CC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住所：【浙江省丽水市景宁畲族自治县红星街道人民中路201号】</w:t>
            </w:r>
          </w:p>
          <w:p w14:paraId="1B3A17B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AD1600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22.企业名称：【浙江台州椒江农村商业银行股份有限公司】</w:t>
            </w:r>
          </w:p>
          <w:p w14:paraId="7FE97A9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统一社会信用代码：【913310021482768636】</w:t>
            </w:r>
          </w:p>
          <w:p w14:paraId="4E9FF5B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住所：【浙江省台州市椒江区工人东路322号】</w:t>
            </w:r>
          </w:p>
          <w:p w14:paraId="10A3B80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F07071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23.企业名称：【浙江台州黄岩农村商业银行股份有限公司】</w:t>
            </w:r>
          </w:p>
          <w:p w14:paraId="76FC4FB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统一社会信用代码：【91331003770736460B】</w:t>
            </w:r>
          </w:p>
          <w:p w14:paraId="5D928B2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住所：【浙江省台州市黄岩区洞天路88号】</w:t>
            </w:r>
          </w:p>
          <w:p w14:paraId="7A8EB46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4F7A5F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24.企业名称：【浙江台州路桥农村商业银行股份有限公司】</w:t>
            </w:r>
          </w:p>
          <w:p w14:paraId="43C068B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统一社会信用代码：【91331004771942717H】</w:t>
            </w:r>
          </w:p>
          <w:p w14:paraId="42ADBA0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住所：【浙江省台州市路桥区西路桥大道328号】</w:t>
            </w:r>
          </w:p>
          <w:p w14:paraId="5E6AA1B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0D98EE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25.企业名称：【浙江温岭农村商业银行股份有限公司】</w:t>
            </w:r>
          </w:p>
          <w:p w14:paraId="6B6BDF4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统一社会信用代码：【913310001489096329】</w:t>
            </w:r>
          </w:p>
          <w:p w14:paraId="2F2CF44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住所：【浙江省台州市温岭市城东街道下保路100号】</w:t>
            </w:r>
          </w:p>
          <w:p w14:paraId="3FEF997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A66954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26.企业名称：【浙江天台农村商业银行股份有限公司】</w:t>
            </w:r>
          </w:p>
          <w:p w14:paraId="4FF8F9B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统一社会信用代码：【91331000148073695C】</w:t>
            </w:r>
          </w:p>
          <w:p w14:paraId="104141A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住所：【浙江省天台县赤城街道飞鹤路358号】</w:t>
            </w:r>
          </w:p>
          <w:p w14:paraId="778B26C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81EE43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27.企业名称：【浙江三门农村商业银行股份有限公司】</w:t>
            </w:r>
          </w:p>
          <w:p w14:paraId="61DAF1E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统一社会信用代码：【91331022774367359X】</w:t>
            </w:r>
          </w:p>
          <w:p w14:paraId="773401F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住所：【浙江省三门县海游街道上洋路68号】</w:t>
            </w:r>
          </w:p>
          <w:p w14:paraId="1F9DA47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98C042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28.企业名称：【浙江舟山定海海洋农村商业银行股份有限公司】</w:t>
            </w:r>
          </w:p>
          <w:p w14:paraId="74F800D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统一社会信用代码：【91330900148740320U】</w:t>
            </w:r>
          </w:p>
          <w:p w14:paraId="181847E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住所：【浙江省舟山市定海区环城东路81号】</w:t>
            </w:r>
          </w:p>
          <w:p w14:paraId="7377308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4508EB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29.企业名称：【浙江舟山普陀农村商业银行股份有限公司】</w:t>
            </w:r>
          </w:p>
          <w:p w14:paraId="1EDF582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统一社会信用代码：【913309006831072360】</w:t>
            </w:r>
          </w:p>
          <w:p w14:paraId="12BA0C8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住所：【浙江省舟山市普陀区东港街道麒麟街225号（自贸试验区内）】</w:t>
            </w:r>
          </w:p>
          <w:p w14:paraId="0381E6B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9141C9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30.企业名称：【湖州吴兴农村商业银行股份有限公司】</w:t>
            </w:r>
          </w:p>
          <w:p w14:paraId="032F031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统一社会信用代码：【913305007782713708】</w:t>
            </w:r>
          </w:p>
          <w:p w14:paraId="40A2E9D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住所：【浙江省湖州市东街55号】</w:t>
            </w:r>
          </w:p>
          <w:p w14:paraId="2279B32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3A3113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31.企业名称：【浙江临安农村商业银行股份有限公司】</w:t>
            </w:r>
          </w:p>
          <w:p w14:paraId="0F130AF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统一社会信用代码：【913301851437582064】</w:t>
            </w:r>
          </w:p>
          <w:p w14:paraId="15968BB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住所：【浙江省杭州市临安区锦城街道城中街442号】</w:t>
            </w:r>
          </w:p>
          <w:p w14:paraId="015AC0B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3F390E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32.企业名称：【浙江淳安农村商业银行股份有限公司】</w:t>
            </w:r>
          </w:p>
          <w:p w14:paraId="0F34DD7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统一社会信用代码：【9133012714400940XB】</w:t>
            </w:r>
          </w:p>
          <w:p w14:paraId="58D22BA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住所：【浙江省杭州市淳安县千岛湖镇环湖北路369号】</w:t>
            </w:r>
          </w:p>
          <w:p w14:paraId="4891A19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E65934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33.企业名称：【宁波北仑农村商业银行股份有限公司】</w:t>
            </w:r>
          </w:p>
          <w:p w14:paraId="606BDF7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统一社会信用代码：【91330206144292356K】</w:t>
            </w:r>
          </w:p>
          <w:p w14:paraId="77A7C0C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住所：【浙江省宁波市北仑区新碶宝山路69号（凤凰国际商务广场）1幢69号、63号（凤凰国际商务广场）1幢（2-26层）】</w:t>
            </w:r>
          </w:p>
          <w:p w14:paraId="654B7D4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D75871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34.企业名称：【宁波奉化农村商业银行股份有限公司】</w:t>
            </w:r>
          </w:p>
          <w:p w14:paraId="7782957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统一社会信用代码：【913302001448601066】</w:t>
            </w:r>
          </w:p>
          <w:p w14:paraId="17C9FF5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住所：【浙江省宁波市奉化区锦屏街道中山路27号】</w:t>
            </w:r>
          </w:p>
          <w:p w14:paraId="4EB2848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85237F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35.企业名称：【宁波镇海农村商业银行股份有限公司】</w:t>
            </w:r>
          </w:p>
          <w:p w14:paraId="6BB8490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统一社会信用代码：【91330200717212676J】</w:t>
            </w:r>
          </w:p>
          <w:p w14:paraId="5547920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住所：【宁波市镇海区骆驼街道镇海大道中段788号】</w:t>
            </w:r>
          </w:p>
          <w:p w14:paraId="4B0BD51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AAE8FF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36.企业名称：【宁波宁海农村商业银行股份有限公司】</w:t>
            </w:r>
          </w:p>
          <w:p w14:paraId="13DB117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统一社会信用代码：【91330200144938786M】</w:t>
            </w:r>
          </w:p>
          <w:p w14:paraId="6B00A4E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住所：【宁海县跃龙街道学勉路1号（金融中心）】</w:t>
            </w:r>
          </w:p>
          <w:p w14:paraId="6D585D0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48AEF7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37.企业名称：【宁波甬城农村商业银行股份有限公司】</w:t>
            </w:r>
          </w:p>
          <w:p w14:paraId="465BB63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统一社会信用代码：【91330205704848042N】</w:t>
            </w:r>
          </w:p>
          <w:p w14:paraId="05BA062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住所：【浙江省宁波市江北区育才路15、17号】</w:t>
            </w:r>
          </w:p>
          <w:p w14:paraId="6A1F643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8579C4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38.企业名称：【浙江永嘉农村商业银行股份有限公司】</w:t>
            </w:r>
          </w:p>
          <w:p w14:paraId="0676581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统一社会信用代码：【91330300693852088P】</w:t>
            </w:r>
          </w:p>
          <w:p w14:paraId="3A18925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住所：【浙江省温州市永嘉县瓯北街道阳光大道3918号101室、201室、301室、401室、501室、1101室、1801室、2201室】</w:t>
            </w:r>
          </w:p>
          <w:p w14:paraId="449133C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90A296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39.企业名称：【浙江平阳农村商业银行股份有限公司】</w:t>
            </w:r>
          </w:p>
          <w:p w14:paraId="39CB7CD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统一社会信用代码：【91330300778260532C】</w:t>
            </w:r>
          </w:p>
          <w:p w14:paraId="4C7B503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住所：【浙江省平阳县鳌江镇车站大道999号】</w:t>
            </w:r>
          </w:p>
          <w:p w14:paraId="50D92F0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3DFD4B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40.企业名称：【浙江嘉善农村商业银行股份有限公司】</w:t>
            </w:r>
          </w:p>
          <w:p w14:paraId="06812AC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统一社会信用代码：【91330400146600914H】</w:t>
            </w:r>
          </w:p>
          <w:p w14:paraId="4FBCB1D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住所：【浙江省嘉兴市嘉善县罗星街道车站南路999号】</w:t>
            </w:r>
          </w:p>
          <w:p w14:paraId="329BD16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AC5997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41.企业名称：【浙江平湖农村商业银行股份有限公司】</w:t>
            </w:r>
          </w:p>
          <w:p w14:paraId="60BD4C2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统一社会信用代码：【913304821466775403】</w:t>
            </w:r>
          </w:p>
          <w:p w14:paraId="34D5791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住所：【浙江省平湖市当湖街道胜利路518号】</w:t>
            </w:r>
          </w:p>
          <w:p w14:paraId="243063C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A040BE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42.企业名称：【浙江海宁农村商业银行股份有限公司】</w:t>
            </w:r>
          </w:p>
          <w:p w14:paraId="7054C02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统一社会信用代码：【91330400146707324M】</w:t>
            </w:r>
          </w:p>
          <w:p w14:paraId="2FA4932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住所：【浙江省海宁市海洲街道钱江西路278号】</w:t>
            </w:r>
          </w:p>
          <w:p w14:paraId="0BC7118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83A1E7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43.企业名称：【浙江海盐农村商业银行股份有限公司】</w:t>
            </w:r>
          </w:p>
          <w:p w14:paraId="6EC302F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统一社会信用代码：【91330424254846268L】</w:t>
            </w:r>
          </w:p>
          <w:p w14:paraId="79EA217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住所：【浙江省海盐县武原街道枣园西路176号】</w:t>
            </w:r>
          </w:p>
          <w:p w14:paraId="59136BA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19B907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44.企业名称：【浙江桐乡农村商业银行股份有限公司】</w:t>
            </w:r>
          </w:p>
          <w:p w14:paraId="39ED086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统一社会信用代码：【91330483146852863F】</w:t>
            </w:r>
          </w:p>
          <w:p w14:paraId="47CB7DF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住所：【浙江省嘉兴市桐乡市梧桐街道校场东路59号】</w:t>
            </w:r>
          </w:p>
          <w:p w14:paraId="1F85A38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839056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45.企业名称：【浙江安吉农村商业银行股份有限公司】</w:t>
            </w:r>
          </w:p>
          <w:p w14:paraId="4335F90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统一社会信用代码：【91330500680700499G】</w:t>
            </w:r>
          </w:p>
          <w:p w14:paraId="76C9A02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住所：【浙江省湖州市安吉县昌硕街道昌硕东路1号】</w:t>
            </w:r>
          </w:p>
          <w:p w14:paraId="06EEFCF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5EA968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46.企业名称：【浙江南浔农村商业银行股份有限公司】</w:t>
            </w:r>
          </w:p>
          <w:p w14:paraId="097C405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统一社会信用代码：【913305001470196549】</w:t>
            </w:r>
          </w:p>
          <w:p w14:paraId="4E78E80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住所：【浙江省湖州市南浔区南浔镇人瑞路1188号】</w:t>
            </w:r>
          </w:p>
          <w:p w14:paraId="4C1A870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DDD073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47.企业名称：【浙江上虞农村商业银行股份有限公司】</w:t>
            </w:r>
          </w:p>
          <w:p w14:paraId="40F6DF8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统一社会信用代码：【91330600146116161G】</w:t>
            </w:r>
          </w:p>
          <w:p w14:paraId="2FBC6E2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住所：【浙江省百官街道德盛路55号】</w:t>
            </w:r>
          </w:p>
          <w:p w14:paraId="6CB158E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23762B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48.企业名称：【浙江缙云农村商业银行股份有限公司】</w:t>
            </w:r>
          </w:p>
          <w:p w14:paraId="3FAB9DD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统一社会信用代码：【913311227047843259】</w:t>
            </w:r>
          </w:p>
          <w:p w14:paraId="2341B38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住所：【浙江省丽水市缙云县五云镇新区仙都路68号】</w:t>
            </w:r>
          </w:p>
          <w:p w14:paraId="026FE1B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699A5E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49.企业名称：【浙江义乌农村商业银行股份有限公司】</w:t>
            </w:r>
          </w:p>
          <w:p w14:paraId="519AF99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统一社会信用代码：【91330782609786576E】</w:t>
            </w:r>
          </w:p>
          <w:p w14:paraId="432A532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住所：【浙江省义乌市福田街道城北路677号】</w:t>
            </w:r>
          </w:p>
          <w:p w14:paraId="67CCC13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82C3C5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50.企业名称：【浙江兰溪农村商业银行股份有限公司】</w:t>
            </w:r>
          </w:p>
          <w:p w14:paraId="59535F6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统一社会信用代码：【91330781147387545R】</w:t>
            </w:r>
          </w:p>
          <w:p w14:paraId="6E3980B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住所：【浙江省兰溪市兰江街道丹溪大道18号】</w:t>
            </w:r>
          </w:p>
          <w:p w14:paraId="7CF8130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8D3077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51.企业名称：【浙江长兴农村商业银行股份有限公司】</w:t>
            </w:r>
          </w:p>
          <w:p w14:paraId="4C60CFA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统一社会信用代码：【91330522147148640A】</w:t>
            </w:r>
          </w:p>
          <w:p w14:paraId="6FA0F6E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住所：【浙江省湖州市长兴县太湖街道明珠路1298号】</w:t>
            </w:r>
          </w:p>
          <w:p w14:paraId="73F142B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23611F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52.企业名称：【浙江绍兴恒信农村商业银行股份有限公司】</w:t>
            </w:r>
          </w:p>
          <w:p w14:paraId="767CAB0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统一社会信用代码：【9133060271252980XJ】</w:t>
            </w:r>
          </w:p>
          <w:p w14:paraId="53BE65C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住所：【浙江省绍兴市中兴中路159号】</w:t>
            </w:r>
          </w:p>
          <w:p w14:paraId="3FDC001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0DF502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53.企业名称：【浙江武义农村商业银行股份有限公司】</w:t>
            </w:r>
          </w:p>
          <w:p w14:paraId="06ED445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统一社会信用代码：【91330723552860156J】</w:t>
            </w:r>
          </w:p>
          <w:p w14:paraId="48E55E9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住所：【浙江省武义县城武阳中路37号】</w:t>
            </w:r>
          </w:p>
          <w:p w14:paraId="6DA38E6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D9A15A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54.企业名称：【浙江岱山农村商业银行股份有限公司】</w:t>
            </w:r>
          </w:p>
          <w:p w14:paraId="50FB176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统一社会信用代码：【91330921778250107N】</w:t>
            </w:r>
          </w:p>
          <w:p w14:paraId="7ADC20E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住所：【浙江省舟山市岱山县高亭镇衢山大道1009号】</w:t>
            </w:r>
          </w:p>
          <w:p w14:paraId="738593A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CE6D0F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55.企业名称：【浙江仙居农村商业银行股份有限公司】</w:t>
            </w:r>
          </w:p>
          <w:p w14:paraId="5BD3C0F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统一社会信用代码：【91331024148032965W】</w:t>
            </w:r>
          </w:p>
          <w:p w14:paraId="7DBFA3E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住所：【浙江省仙居县南峰街道穿城中路21号】</w:t>
            </w:r>
          </w:p>
          <w:p w14:paraId="6D40C3A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E8263C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56.企业名称：【浙江玉环农村商业银行股份有限公司】</w:t>
            </w:r>
          </w:p>
          <w:p w14:paraId="48F0B08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统一社会信用代码：【91331021704702414T】</w:t>
            </w:r>
          </w:p>
          <w:p w14:paraId="650032F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住所：【浙江省玉环市玉城街道珠港大道26号】</w:t>
            </w:r>
          </w:p>
          <w:p w14:paraId="0357319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DC0FEE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57.企业名称：【浙江诸暨农村商业银行股份有限公司】</w:t>
            </w:r>
          </w:p>
          <w:p w14:paraId="4D88C85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统一社会信用代码：【91330600146217704F】</w:t>
            </w:r>
          </w:p>
          <w:p w14:paraId="4E7F8B3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住所：【浙江省诸暨市暨阳街道大桥东路2号】</w:t>
            </w:r>
          </w:p>
          <w:p w14:paraId="267F0A8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8A66E1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58.企业名称：【浙江临海农村商业银行股份有限公司】</w:t>
            </w:r>
          </w:p>
          <w:p w14:paraId="55A3B7E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统一社会信用代码：【91331000147999461D】</w:t>
            </w:r>
          </w:p>
          <w:p w14:paraId="61E1A65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住所：【浙江省台州市临海市大洋街道河阳路299号】</w:t>
            </w:r>
          </w:p>
          <w:p w14:paraId="30C24E9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4F9BEC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59.企业名称：【浙江建德农村商业银行股份有限公司】</w:t>
            </w:r>
          </w:p>
          <w:p w14:paraId="2E21C21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统一社会信用代码：【9133018270429246XA】</w:t>
            </w:r>
          </w:p>
          <w:p w14:paraId="6086BF4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住所：【浙江省建德市新安江街道江滨中路176号】</w:t>
            </w:r>
          </w:p>
          <w:p w14:paraId="276808D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0422E4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60.企业名称：【浙江文成农村商业银行股份有限公司】</w:t>
            </w:r>
          </w:p>
          <w:p w14:paraId="5B93324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统一社会信用代码：【91330328145827746X】</w:t>
            </w:r>
          </w:p>
          <w:p w14:paraId="749825F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住所：【浙江省温州市文成县大峃镇伯温路6号】</w:t>
            </w:r>
          </w:p>
          <w:p w14:paraId="2F12FDE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DDEB88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61.企业名称：【浙江萧山农村商业银行股份有限公司】</w:t>
            </w:r>
          </w:p>
          <w:p w14:paraId="75952F2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统一社会信用代码：【91330100143568234F】</w:t>
            </w:r>
          </w:p>
          <w:p w14:paraId="2A61EF6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住所：【浙江省杭州市萧山区人民路258号】</w:t>
            </w:r>
          </w:p>
          <w:p w14:paraId="6B1EA26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37C0BF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62.企业名称：【浙江乐清农村商业银行股份有限公司】</w:t>
            </w:r>
          </w:p>
          <w:p w14:paraId="65BC7E8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统一社会信用代码：【91330300712576278B】</w:t>
            </w:r>
          </w:p>
          <w:p w14:paraId="6197E6C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住所：【乐清市城南街道伯乐西路99号】</w:t>
            </w:r>
          </w:p>
          <w:p w14:paraId="0DB4868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133FE5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63.企业名称：【宁波余姚农村商业银行股份有限公司】</w:t>
            </w:r>
          </w:p>
          <w:p w14:paraId="0A6CC11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统一社会信用代码：【91330281768530578N】</w:t>
            </w:r>
          </w:p>
          <w:p w14:paraId="571FF5F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住所：【余姚市新建路69号】</w:t>
            </w:r>
          </w:p>
          <w:p w14:paraId="7798843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34590D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64.企业名称：【浙江桐庐农村商业银行股份有限公司】</w:t>
            </w:r>
          </w:p>
          <w:p w14:paraId="30B53C3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统一社会信用代码：【913301228436000474】</w:t>
            </w:r>
          </w:p>
          <w:p w14:paraId="3FD6F7D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住所：【浙江省杭州市桐庐县城迎春南路278号】</w:t>
            </w:r>
          </w:p>
          <w:p w14:paraId="221D8BA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2FD234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65.企业名称：【杭州联合农村商业银行股份有限公司】</w:t>
            </w:r>
          </w:p>
          <w:p w14:paraId="5C1364A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统一社会信用代码：【91330100773585469H】</w:t>
            </w:r>
          </w:p>
          <w:p w14:paraId="37776FF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住所：【浙江省杭州市上城区建国中路99号】</w:t>
            </w:r>
          </w:p>
          <w:p w14:paraId="69D2908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7341AF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66.企业名称：【浙江温州鹿城农村商业银行股份有限公司】</w:t>
            </w:r>
          </w:p>
          <w:p w14:paraId="68E686A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统一社会信用代码：【91330300777212117L】</w:t>
            </w:r>
          </w:p>
          <w:p w14:paraId="6F8A93A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住所：【浙江省温州市鹿城区会展路1500号富银大厦】</w:t>
            </w:r>
          </w:p>
          <w:p w14:paraId="14EDCB2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431F36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67.企业名称：【浙江绍兴瑞丰农村商业银行股份有限公司】</w:t>
            </w:r>
          </w:p>
          <w:p w14:paraId="446F4B0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统一社会信用代码：【91330600145965997H】</w:t>
            </w:r>
          </w:p>
          <w:p w14:paraId="5E8AAE5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住所：【浙江省绍兴市柯桥区柯桥笛扬路1363号】</w:t>
            </w:r>
          </w:p>
          <w:p w14:paraId="5A7A370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65462B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68.企业名称：【浙江禾城农村商业银行股份有限公司】</w:t>
            </w:r>
          </w:p>
          <w:p w14:paraId="2FE01CD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统一社会信用代码：【91330400146466356E】</w:t>
            </w:r>
          </w:p>
          <w:p w14:paraId="4AE064B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住所：【浙江省嘉兴市经济技术开发区文昌路 1229 号】</w:t>
            </w:r>
          </w:p>
          <w:p w14:paraId="17A0B89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033F8D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69.企业名称：【浙江泰顺农村商业银行股份有限公司】</w:t>
            </w:r>
          </w:p>
          <w:p w14:paraId="4D56B87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统一社会信用代码：【913303297043793629】</w:t>
            </w:r>
          </w:p>
          <w:p w14:paraId="7ACA6C4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住所：【浙江省温州市泰顺县罗阳镇新城区文祥大道181号】</w:t>
            </w:r>
          </w:p>
          <w:p w14:paraId="0E5DB81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8D9183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70.企业名称：【浙江嵊州农村商业银行股份有限公司】</w:t>
            </w:r>
          </w:p>
          <w:p w14:paraId="208B65B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统一社会信用代码：【91330683146384641Y】</w:t>
            </w:r>
          </w:p>
          <w:p w14:paraId="1EDDB0E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住所：【浙江省嵊州市剡湖街道官河路398号】</w:t>
            </w:r>
          </w:p>
          <w:p w14:paraId="2275526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B55BE0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71.企业名称：【浙江庆元农村商业银行股份有限公司】</w:t>
            </w:r>
          </w:p>
          <w:p w14:paraId="7B9F490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统一社会信用代码：【91331126609962015U】</w:t>
            </w:r>
          </w:p>
          <w:p w14:paraId="0AF3EBC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住所：【浙江省丽水市庆元县濛洲街道云鹤路3号】</w:t>
            </w:r>
          </w:p>
          <w:p w14:paraId="5234918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C556B3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72.企业名称：【浙江温州瓯海农村商业银行股份有限公司】</w:t>
            </w:r>
          </w:p>
          <w:p w14:paraId="3928168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统一社会信用代码：【91330300776489333D】</w:t>
            </w:r>
          </w:p>
          <w:p w14:paraId="0D6DF0F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住所：【浙江省温州市瓯海区瓯海大道989号】</w:t>
            </w:r>
          </w:p>
          <w:p w14:paraId="796DD32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12612E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73.企业名称：【浙江云和农村商业银行股份有限公司】</w:t>
            </w:r>
          </w:p>
          <w:p w14:paraId="37A30BF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统一社会信用代码：【9133112514848825XE】</w:t>
            </w:r>
          </w:p>
          <w:p w14:paraId="30C9452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住所：【浙江省丽水市云和县浮云街道新建路72号】</w:t>
            </w:r>
          </w:p>
          <w:p w14:paraId="7CE2064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623CBF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74.企业名称：【宁波慈溪农村商业银行股份有限公司】</w:t>
            </w:r>
          </w:p>
          <w:p w14:paraId="2446AAC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统一社会信用代码：【91330200144756720Q】</w:t>
            </w:r>
          </w:p>
          <w:p w14:paraId="2729555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住所：【浙江省慈溪市浒山街道南城路25号、59号5-6楼】</w:t>
            </w:r>
          </w:p>
          <w:p w14:paraId="4AB9FF4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6029DD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75.企业名称：【浙江温州龙湾农村商业银行股份有限公司 】</w:t>
            </w:r>
          </w:p>
          <w:p w14:paraId="02507C5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统一社会信用代码：【913303007772078015】</w:t>
            </w:r>
          </w:p>
          <w:p w14:paraId="2B2FCED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住所：【浙江省温州市龙湾区永中街道永宁西路555号】</w:t>
            </w:r>
          </w:p>
          <w:p w14:paraId="3770657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DAA3BA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76.企业名称：【浙江苍南农村商业银行股份有限公司】</w:t>
            </w:r>
          </w:p>
          <w:p w14:paraId="5F2C865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统一社会信用代码：【913303007043722167】</w:t>
            </w:r>
          </w:p>
          <w:p w14:paraId="1406669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住所：【浙江省苍南县灵溪镇人民大道425号】</w:t>
            </w:r>
          </w:p>
          <w:p w14:paraId="422ABEB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B1205E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77.企业名称：【浙江嵊泗农村商业银行股份有限公司】</w:t>
            </w:r>
          </w:p>
          <w:p w14:paraId="5C96F96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统一社会信用代码：【9133092270466354XL】</w:t>
            </w:r>
          </w:p>
          <w:p w14:paraId="06E2D4A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住所：【浙江省嵊泗县菜园镇沙河路110号】</w:t>
            </w:r>
          </w:p>
          <w:p w14:paraId="3AB357D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客户服务热线：【400-88-96596】</w:t>
            </w:r>
          </w:p>
          <w:p w14:paraId="2B3B2CC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78.企业名称：【广发银行股份有限公司】</w:t>
            </w:r>
          </w:p>
          <w:p w14:paraId="6D94EA1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统一社会信用代码：【91440000190336428Q】</w:t>
            </w:r>
          </w:p>
          <w:p w14:paraId="3B40897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住所：【广州市越秀区东风东路713号】</w:t>
            </w:r>
          </w:p>
          <w:p w14:paraId="6FCE06C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客户服务热线：【400-830-8003】</w:t>
            </w:r>
          </w:p>
          <w:p w14:paraId="3F3C4D1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79.企业名称：【宁波银行股份有限公司】</w:t>
            </w:r>
          </w:p>
          <w:p w14:paraId="0037E8B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统一社会信用代码：【91330200711192037M】</w:t>
            </w:r>
          </w:p>
          <w:p w14:paraId="02986A0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住所：【浙江省宁波市鄞州区宁东路 345 号】</w:t>
            </w:r>
          </w:p>
          <w:p w14:paraId="5E7E5D5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客户服务热线：【95574】</w:t>
            </w:r>
          </w:p>
          <w:p w14:paraId="1FEBF26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80.企业名称：【宁波鄞州农村商业银行股份有限公司】</w:t>
            </w:r>
          </w:p>
          <w:p w14:paraId="59217A3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统一社会信用代码：【91330212144417235R】</w:t>
            </w:r>
          </w:p>
          <w:p w14:paraId="2EB2417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住所：【浙江省宁波市鄞州区民惠西路 88 号】</w:t>
            </w:r>
          </w:p>
          <w:p w14:paraId="370513A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客户服务热线：【956058】</w:t>
            </w:r>
          </w:p>
          <w:p w14:paraId="7D76033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81.企业名称：【江苏淮安农村商业银行股份有限公司】</w:t>
            </w:r>
          </w:p>
          <w:p w14:paraId="574D5F9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统一社会信用代码：【913208005884978380】</w:t>
            </w:r>
          </w:p>
          <w:p w14:paraId="7E54F03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住所：【江苏省淮安市清江浦区水渡口大道20号金融中心B1号楼】</w:t>
            </w:r>
          </w:p>
          <w:p w14:paraId="272F943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客户服务热线：【96008】</w:t>
            </w:r>
          </w:p>
          <w:p w14:paraId="1318D35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82.企业名称：【江苏民丰农村商业银行股份有限公司】</w:t>
            </w:r>
          </w:p>
          <w:p w14:paraId="7B22BE1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统一社会信用代码：【9132130068353983XJ】</w:t>
            </w:r>
          </w:p>
          <w:p w14:paraId="0ACB514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住所：【江苏省宿迁市宿城区高宝湖路1号 】</w:t>
            </w:r>
          </w:p>
          <w:p w14:paraId="47F5AC1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客户服务热线：【96008】</w:t>
            </w:r>
          </w:p>
          <w:p w14:paraId="7CC2127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83.企业名称：【江苏宜兴农村商业银行股份有限公司】</w:t>
            </w:r>
          </w:p>
          <w:p w14:paraId="690D5F4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统一社会信用代码：【913202007910522609】</w:t>
            </w:r>
          </w:p>
          <w:p w14:paraId="3C748C1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住所：【江苏省宜兴市宜城街道解放东路579号】</w:t>
            </w:r>
          </w:p>
          <w:p w14:paraId="1373711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客户服务热线：【96008】</w:t>
            </w:r>
          </w:p>
          <w:p w14:paraId="108440D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84.企业名称：【江苏射阳农村商业银行股份有限公司】</w:t>
            </w:r>
          </w:p>
          <w:p w14:paraId="502611C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统一社会信用代码：【913209001405584874】</w:t>
            </w:r>
          </w:p>
          <w:p w14:paraId="30E82B0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住所：【江苏省盐城市射阳县合德镇解放路385号】</w:t>
            </w:r>
          </w:p>
          <w:p w14:paraId="08C7426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客户服务热线：【0515-69966666】</w:t>
            </w:r>
          </w:p>
          <w:p w14:paraId="66E3EC4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85.企业名称：【江苏紫金农村商业银行股份有限公司】</w:t>
            </w:r>
          </w:p>
          <w:p w14:paraId="2A7F4B4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统一社会信用代码：【91320000571433432L】</w:t>
            </w:r>
          </w:p>
          <w:p w14:paraId="479E1B4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住所：【南京市建邺区江东中路381号】</w:t>
            </w:r>
          </w:p>
          <w:p w14:paraId="5500CB4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客户服务热线：【96008】</w:t>
            </w:r>
          </w:p>
          <w:p w14:paraId="2EFF85E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86.企业名称：【江苏江南农村商业银行股份有限公司】</w:t>
            </w:r>
          </w:p>
          <w:p w14:paraId="1FF3240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统一社会信用代码：【91320400699343815D】</w:t>
            </w:r>
          </w:p>
          <w:p w14:paraId="6DB4FAC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住所：【江苏省常州市武进区延政中路9号】</w:t>
            </w:r>
          </w:p>
          <w:p w14:paraId="725D5A3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客户服务热线：【0519-96005】</w:t>
            </w:r>
          </w:p>
          <w:p w14:paraId="6C90F09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lang w:val="en-US" w:eastAsia="zh-CN"/>
              </w:rPr>
              <w:t>87</w:t>
            </w:r>
            <w:r>
              <w:rPr>
                <w:rFonts w:hint="eastAsia" w:ascii="楷体_GB2312" w:eastAsia="楷体_GB2312" w:cs="楷体_GB2312"/>
                <w:sz w:val="20"/>
                <w:szCs w:val="20"/>
              </w:rPr>
              <w:t>.企业名称：【信银理财有限责任公司】</w:t>
            </w:r>
          </w:p>
          <w:p w14:paraId="0F6AE10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14:paraId="1247429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14:paraId="52D1DF5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14:paraId="22C41BEF">
            <w:pPr>
              <w:spacing w:line="300" w:lineRule="atLeast"/>
              <w:ind w:right="31"/>
              <w:rPr>
                <w:rFonts w:ascii="楷体_GB2312" w:eastAsia="楷体_GB2312" w:cs="楷体_GB2312"/>
                <w:sz w:val="20"/>
                <w:szCs w:val="20"/>
              </w:rPr>
            </w:pPr>
          </w:p>
          <w:p w14:paraId="45D9368A">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X</w:t>
            </w:r>
            <w:r>
              <w:rPr>
                <w:rFonts w:hint="eastAsia" w:ascii="楷体_GB2312" w:eastAsia="楷体_GB2312" w:cs="楷体_GB2312"/>
                <w:color w:val="000000" w:themeColor="text1"/>
                <w:sz w:val="20"/>
                <w:szCs w:val="20"/>
                <w14:textFill>
                  <w14:solidFill>
                    <w14:schemeClr w14:val="tx1"/>
                  </w14:solidFill>
                </w14:textFill>
              </w:rPr>
              <w:t>类份额（份额代码【</w:t>
            </w:r>
            <w:r>
              <w:rPr>
                <w:rFonts w:ascii="楷体_GB2312" w:eastAsia="楷体_GB2312" w:cs="楷体_GB2312"/>
                <w:color w:val="000000" w:themeColor="text1"/>
                <w:sz w:val="20"/>
                <w:szCs w:val="20"/>
                <w14:textFill>
                  <w14:solidFill>
                    <w14:schemeClr w14:val="tx1"/>
                  </w14:solidFill>
                </w14:textFill>
              </w:rPr>
              <w:t>AF245807X】）</w:t>
            </w:r>
            <w:r>
              <w:rPr>
                <w:rFonts w:hint="eastAsia" w:ascii="楷体_GB2312" w:eastAsia="楷体_GB2312" w:cs="楷体_GB2312"/>
                <w:sz w:val="20"/>
                <w:szCs w:val="20"/>
              </w:rPr>
              <w:t>合作</w:t>
            </w:r>
            <w:r>
              <w:rPr>
                <w:rFonts w:ascii="楷体_GB2312" w:eastAsia="楷体_GB2312" w:cs="楷体_GB2312"/>
                <w:sz w:val="20"/>
                <w:szCs w:val="20"/>
              </w:rPr>
              <w:t>销售机构信息：</w:t>
            </w:r>
          </w:p>
          <w:p w14:paraId="390E2EF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1.企业名称：【信银理财有限责任公司】</w:t>
            </w:r>
          </w:p>
          <w:p w14:paraId="702C839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14:paraId="76C1D54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14:paraId="051F19E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14:paraId="023ACEA3">
            <w:pPr>
              <w:spacing w:line="300" w:lineRule="atLeast"/>
              <w:ind w:right="31"/>
              <w:rPr>
                <w:rFonts w:ascii="楷体_GB2312" w:eastAsia="楷体_GB2312" w:cs="楷体_GB2312"/>
                <w:sz w:val="20"/>
                <w:szCs w:val="20"/>
              </w:rPr>
            </w:pPr>
            <w:r>
              <w:rPr>
                <w:rFonts w:ascii="楷体_GB2312" w:eastAsia="楷体_GB2312" w:cs="楷体_GB2312"/>
                <w:sz w:val="20"/>
                <w:szCs w:val="20"/>
              </w:rPr>
              <w:t>2.企业名称：【江苏银行股份有限公司】</w:t>
            </w:r>
          </w:p>
          <w:p w14:paraId="2515EA08">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91320000796544598E】</w:t>
            </w:r>
          </w:p>
          <w:p w14:paraId="54BFEBD5">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住所：【江苏省南京市中华路</w:t>
            </w:r>
            <w:r>
              <w:rPr>
                <w:rFonts w:ascii="楷体_GB2312" w:eastAsia="楷体_GB2312" w:cs="楷体_GB2312"/>
                <w:sz w:val="20"/>
                <w:szCs w:val="20"/>
              </w:rPr>
              <w:t>26号】</w:t>
            </w:r>
          </w:p>
          <w:p w14:paraId="5872C415">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95319】</w:t>
            </w:r>
          </w:p>
          <w:p w14:paraId="6FF04346">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lang w:val="en-US" w:eastAsia="zh-CN"/>
              </w:rPr>
              <w:t>3</w:t>
            </w:r>
            <w:r>
              <w:rPr>
                <w:rFonts w:hint="eastAsia" w:ascii="楷体_GB2312" w:eastAsia="楷体_GB2312" w:cs="楷体_GB2312"/>
                <w:sz w:val="20"/>
                <w:szCs w:val="20"/>
              </w:rPr>
              <w:t>.企业名称：【北京银行股份有限公司】</w:t>
            </w:r>
          </w:p>
          <w:p w14:paraId="5CD7B82F">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统一社会信用代码：【91110000101174712L】</w:t>
            </w:r>
          </w:p>
          <w:p w14:paraId="2D1815AF">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住所：【北京市西城区金融大街甲17号首层】</w:t>
            </w:r>
          </w:p>
          <w:p w14:paraId="6E72F041">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客户服务热线：【95526】</w:t>
            </w:r>
          </w:p>
          <w:p w14:paraId="35AD365E">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lang w:val="en-US" w:eastAsia="zh-CN"/>
              </w:rPr>
              <w:t>4</w:t>
            </w:r>
            <w:r>
              <w:rPr>
                <w:rFonts w:hint="eastAsia" w:ascii="楷体_GB2312" w:eastAsia="楷体_GB2312" w:cs="楷体_GB2312"/>
                <w:sz w:val="20"/>
                <w:szCs w:val="20"/>
              </w:rPr>
              <w:t>.企业名称：【江苏邳州农村商业银行股份有限公司】</w:t>
            </w:r>
          </w:p>
          <w:p w14:paraId="3EF429D1">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统一社会信用代码：【91320300552524785P】</w:t>
            </w:r>
          </w:p>
          <w:p w14:paraId="25F83D55">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住所：【江苏省邳州市建设中路16号】</w:t>
            </w:r>
          </w:p>
          <w:p w14:paraId="7C18845C">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客户服务热线：【96008】</w:t>
            </w:r>
          </w:p>
          <w:p w14:paraId="185ADA20">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lang w:val="en-US" w:eastAsia="zh-CN"/>
              </w:rPr>
              <w:t>5</w:t>
            </w:r>
            <w:r>
              <w:rPr>
                <w:rFonts w:hint="eastAsia" w:ascii="楷体_GB2312" w:eastAsia="楷体_GB2312" w:cs="楷体_GB2312"/>
                <w:sz w:val="20"/>
                <w:szCs w:val="20"/>
              </w:rPr>
              <w:t>.企业名称：【江苏大丰农村商业银行股份有限公司】</w:t>
            </w:r>
          </w:p>
          <w:p w14:paraId="540DBDAC">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统一社会信用代码：【91320900782094063W】</w:t>
            </w:r>
          </w:p>
          <w:p w14:paraId="3E14E147">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住所：【江苏省盐城市大丰区常新中路9号】</w:t>
            </w:r>
          </w:p>
          <w:p w14:paraId="12F36AC5">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客户服务热线：【0515-96008】</w:t>
            </w:r>
          </w:p>
          <w:p w14:paraId="73016191">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lang w:val="en-US" w:eastAsia="zh-CN"/>
              </w:rPr>
              <w:t>6</w:t>
            </w:r>
            <w:r>
              <w:rPr>
                <w:rFonts w:hint="eastAsia" w:ascii="楷体_GB2312" w:eastAsia="楷体_GB2312" w:cs="楷体_GB2312"/>
                <w:sz w:val="20"/>
                <w:szCs w:val="20"/>
              </w:rPr>
              <w:t>.企业名称：【江苏东台农村商业银行股份有限公司】</w:t>
            </w:r>
          </w:p>
          <w:p w14:paraId="6DE653BA">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统一社会信用代码：【913209001425654533】</w:t>
            </w:r>
          </w:p>
          <w:p w14:paraId="7E217532">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住所：【东台市东城大道10号】</w:t>
            </w:r>
          </w:p>
          <w:p w14:paraId="385CC43F">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客户服务热线：【0515-96008】</w:t>
            </w:r>
          </w:p>
          <w:p w14:paraId="42FF9271">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lang w:val="en-US" w:eastAsia="zh-CN"/>
              </w:rPr>
              <w:t>7</w:t>
            </w:r>
            <w:r>
              <w:rPr>
                <w:rFonts w:hint="eastAsia" w:ascii="楷体_GB2312" w:eastAsia="楷体_GB2312" w:cs="楷体_GB2312"/>
                <w:sz w:val="20"/>
                <w:szCs w:val="20"/>
              </w:rPr>
              <w:t>.企业名称：【莱商银行股份有限公司】</w:t>
            </w:r>
          </w:p>
          <w:p w14:paraId="44CC50E9">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统一社会信用代码：【9137000016955421XT】</w:t>
            </w:r>
          </w:p>
          <w:p w14:paraId="73F90F0F">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住所：【山东省济南市莱芜高新区龙潭东大街137号】</w:t>
            </w:r>
          </w:p>
          <w:p w14:paraId="1575E96C">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客户服务热线：【40066-96629】</w:t>
            </w:r>
          </w:p>
          <w:p w14:paraId="2E49DB17">
            <w:pPr>
              <w:spacing w:line="300" w:lineRule="atLeast"/>
              <w:ind w:right="31"/>
              <w:rPr>
                <w:rFonts w:ascii="楷体_GB2312" w:eastAsia="楷体_GB2312" w:cs="楷体_GB2312"/>
                <w:sz w:val="20"/>
                <w:szCs w:val="20"/>
              </w:rPr>
            </w:pPr>
          </w:p>
          <w:p w14:paraId="3CBCE4F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后续合作销售机构如有新增、减少和变更，信银理财将按照本说明书约定的方式告知投资者。</w:t>
            </w:r>
          </w:p>
        </w:tc>
      </w:tr>
      <w:tr w14:paraId="5C52D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7C25B66">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873" w:type="pct"/>
            <w:vAlign w:val="center"/>
          </w:tcPr>
          <w:p w14:paraId="000BC9FA">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14:paraId="5F5035D0">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14:paraId="232D5D09">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w:t>
            </w:r>
            <w:r>
              <w:rPr>
                <w:rFonts w:hint="eastAsia" w:ascii="楷体_GB2312" w:eastAsia="楷体_GB2312" w:cs="楷体_GB2312"/>
                <w:color w:val="000000" w:themeColor="text1"/>
                <w:sz w:val="20"/>
                <w:szCs w:val="20"/>
                <w14:textFill>
                  <w14:solidFill>
                    <w14:schemeClr w14:val="tx1"/>
                  </w14:solidFill>
                </w14:textFill>
              </w:rPr>
              <w:t>/申购、赎回等业务办理；</w:t>
            </w:r>
          </w:p>
          <w:p w14:paraId="1E56D5AC">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14:paraId="044FF231">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14:paraId="6FBAA274">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14:paraId="0639392B">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5F49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76BB47F">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873" w:type="pct"/>
            <w:vAlign w:val="center"/>
          </w:tcPr>
          <w:p w14:paraId="70DF8901">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企业名称：【中信银行股份有限公司】</w:t>
            </w:r>
          </w:p>
          <w:p w14:paraId="4A97DF80">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91110000101690725E】</w:t>
            </w:r>
          </w:p>
          <w:p w14:paraId="3F662052">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纳税人识别号：【</w:t>
            </w:r>
            <w:r>
              <w:rPr>
                <w:rFonts w:ascii="楷体_GB2312" w:eastAsia="楷体_GB2312" w:cs="楷体_GB2312"/>
                <w:sz w:val="20"/>
                <w:szCs w:val="20"/>
              </w:rPr>
              <w:t>91110000101690725E】</w:t>
            </w:r>
          </w:p>
          <w:p w14:paraId="4BF2B611">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法定代表人：【方合英】</w:t>
            </w:r>
          </w:p>
          <w:p w14:paraId="19F82250">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住所：【北京市朝阳区光华路</w:t>
            </w:r>
            <w:r>
              <w:rPr>
                <w:rFonts w:ascii="楷体_GB2312" w:eastAsia="楷体_GB2312" w:cs="楷体_GB2312"/>
                <w:sz w:val="20"/>
                <w:szCs w:val="20"/>
              </w:rPr>
              <w:t>10号中信大厦】</w:t>
            </w:r>
          </w:p>
        </w:tc>
      </w:tr>
      <w:tr w14:paraId="04A6C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2062C36">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873" w:type="pct"/>
            <w:vAlign w:val="center"/>
          </w:tcPr>
          <w:p w14:paraId="11DAC8F8">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14:paraId="115C9229">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14:paraId="275FEDFC">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14:paraId="2639B424">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建立与理财产品管理人的对账机制，复核、审查理财产品资金头寸、资产账目、资产净值、理财产品份额认/申购、赎回价格等数据，及时核查认/申购、赎回以及投资资金的支付和到账情况；</w:t>
            </w:r>
          </w:p>
          <w:p w14:paraId="0EC08985">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14:paraId="0B686EE3">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4072BD73">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保存理财产品托管业务活动的记录、账册、报表和其他相关材料1</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年以上；</w:t>
            </w:r>
          </w:p>
          <w:p w14:paraId="01A48128">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14:paraId="4108AB77">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164E4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DD3C0F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873" w:type="pct"/>
            <w:vAlign w:val="center"/>
          </w:tcPr>
          <w:p w14:paraId="1F9E4874">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14:paraId="5B212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6D47F05A">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873" w:type="pct"/>
            <w:vAlign w:val="center"/>
          </w:tcPr>
          <w:p w14:paraId="7BDCA7E0">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14:paraId="36BFB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AD38458">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873" w:type="pct"/>
            <w:vAlign w:val="center"/>
          </w:tcPr>
          <w:p w14:paraId="2F890633">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信银理财</w:t>
            </w:r>
            <w:r>
              <w:rPr>
                <w:rFonts w:hint="eastAsia" w:ascii="楷体_GB2312" w:eastAsia="楷体_GB2312" w:cs="楷体_GB2312"/>
                <w:color w:val="000000" w:themeColor="text1"/>
                <w:sz w:val="20"/>
                <w:szCs w:val="20"/>
                <w14:textFill>
                  <w14:solidFill>
                    <w14:schemeClr w14:val="tx1"/>
                  </w14:solidFill>
                </w14:textFill>
              </w:rPr>
              <w:t>为投资者</w:t>
            </w:r>
            <w:r>
              <w:rPr>
                <w:rFonts w:ascii="楷体_GB2312" w:eastAsia="楷体_GB2312" w:cs="楷体_GB2312"/>
                <w:color w:val="000000" w:themeColor="text1"/>
                <w:sz w:val="20"/>
                <w:szCs w:val="20"/>
                <w14:textFill>
                  <w14:solidFill>
                    <w14:schemeClr w14:val="tx1"/>
                  </w14:solidFill>
                </w14:textFill>
              </w:rPr>
              <w:t>开立的</w:t>
            </w:r>
            <w:r>
              <w:rPr>
                <w:rFonts w:hint="eastAsia" w:ascii="楷体_GB2312" w:eastAsia="楷体_GB2312" w:cs="楷体_GB2312"/>
                <w:color w:val="000000" w:themeColor="text1"/>
                <w:sz w:val="20"/>
                <w:szCs w:val="20"/>
                <w14:textFill>
                  <w14:solidFill>
                    <w14:schemeClr w14:val="tx1"/>
                  </w14:solidFill>
                </w14:textFill>
              </w:rPr>
              <w:t>，唯一</w:t>
            </w:r>
            <w:r>
              <w:rPr>
                <w:rFonts w:ascii="楷体_GB2312" w:eastAsia="楷体_GB2312" w:cs="楷体_GB2312"/>
                <w:color w:val="000000" w:themeColor="text1"/>
                <w:sz w:val="20"/>
                <w:szCs w:val="20"/>
                <w14:textFill>
                  <w14:solidFill>
                    <w14:schemeClr w14:val="tx1"/>
                  </w14:solidFill>
                </w14:textFill>
              </w:rPr>
              <w:t>用于</w:t>
            </w:r>
            <w:r>
              <w:rPr>
                <w:rFonts w:hint="eastAsia" w:ascii="楷体_GB2312" w:eastAsia="楷体_GB2312" w:cs="楷体_GB2312"/>
                <w:color w:val="000000" w:themeColor="text1"/>
                <w:sz w:val="20"/>
                <w:szCs w:val="20"/>
                <w14:textFill>
                  <w14:solidFill>
                    <w14:schemeClr w14:val="tx1"/>
                  </w14:solidFill>
                </w14:textFill>
              </w:rPr>
              <w:t>信银</w:t>
            </w:r>
            <w:r>
              <w:rPr>
                <w:rFonts w:ascii="楷体_GB2312" w:eastAsia="楷体_GB2312" w:cs="楷体_GB2312"/>
                <w:color w:val="000000" w:themeColor="text1"/>
                <w:sz w:val="20"/>
                <w:szCs w:val="20"/>
                <w14:textFill>
                  <w14:solidFill>
                    <w14:schemeClr w14:val="tx1"/>
                  </w14:solidFill>
                </w14:textFill>
              </w:rPr>
              <w:t>理财管理和记录投资者持有信银理财理财产品份额及</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变化</w:t>
            </w:r>
            <w:r>
              <w:rPr>
                <w:rFonts w:hint="eastAsia" w:ascii="楷体_GB2312" w:eastAsia="楷体_GB2312" w:cs="楷体_GB2312"/>
                <w:color w:val="000000" w:themeColor="text1"/>
                <w:sz w:val="20"/>
                <w:szCs w:val="20"/>
                <w14:textFill>
                  <w14:solidFill>
                    <w14:schemeClr w14:val="tx1"/>
                  </w14:solidFill>
                </w14:textFill>
              </w:rPr>
              <w:t>等</w:t>
            </w:r>
            <w:r>
              <w:rPr>
                <w:rFonts w:ascii="楷体_GB2312" w:eastAsia="楷体_GB2312" w:cs="楷体_GB2312"/>
                <w:color w:val="000000" w:themeColor="text1"/>
                <w:sz w:val="20"/>
                <w:szCs w:val="20"/>
                <w14:textFill>
                  <w14:solidFill>
                    <w14:schemeClr w14:val="tx1"/>
                  </w14:solidFill>
                </w14:textFill>
              </w:rPr>
              <w:t>情况的账户。</w:t>
            </w:r>
            <w:r>
              <w:rPr>
                <w:rFonts w:hint="eastAsia" w:ascii="楷体_GB2312" w:eastAsia="楷体_GB2312" w:cs="楷体_GB2312"/>
                <w:color w:val="000000" w:themeColor="text1"/>
                <w:sz w:val="20"/>
                <w:szCs w:val="20"/>
                <w14:textFill>
                  <w14:solidFill>
                    <w14:schemeClr w14:val="tx1"/>
                  </w14:solidFill>
                </w14:textFill>
              </w:rPr>
              <w:t>投资者购买信银</w:t>
            </w:r>
            <w:r>
              <w:rPr>
                <w:rFonts w:ascii="楷体_GB2312" w:eastAsia="楷体_GB2312" w:cs="楷体_GB2312"/>
                <w:color w:val="000000" w:themeColor="text1"/>
                <w:sz w:val="20"/>
                <w:szCs w:val="20"/>
                <w14:textFill>
                  <w14:solidFill>
                    <w14:schemeClr w14:val="tx1"/>
                  </w14:solidFill>
                </w14:textFill>
              </w:rPr>
              <w:t>理财理财产品的，信银理财</w:t>
            </w:r>
            <w:r>
              <w:rPr>
                <w:rFonts w:hint="eastAsia" w:ascii="楷体_GB2312" w:eastAsia="楷体_GB2312" w:cs="楷体_GB2312"/>
                <w:color w:val="000000" w:themeColor="text1"/>
                <w:sz w:val="20"/>
                <w:szCs w:val="20"/>
                <w14:textFill>
                  <w14:solidFill>
                    <w14:schemeClr w14:val="tx1"/>
                  </w14:solidFill>
                </w14:textFill>
              </w:rPr>
              <w:t>将为其开立</w:t>
            </w:r>
            <w:r>
              <w:rPr>
                <w:rFonts w:ascii="楷体_GB2312" w:eastAsia="楷体_GB2312" w:cs="楷体_GB2312"/>
                <w:color w:val="000000" w:themeColor="text1"/>
                <w:sz w:val="20"/>
                <w:szCs w:val="20"/>
                <w14:textFill>
                  <w14:solidFill>
                    <w14:schemeClr w14:val="tx1"/>
                  </w14:solidFill>
                </w14:textFill>
              </w:rPr>
              <w:t>理财账户</w:t>
            </w:r>
            <w:r>
              <w:rPr>
                <w:rFonts w:hint="eastAsia" w:ascii="楷体_GB2312" w:eastAsia="楷体_GB2312" w:cs="楷体_GB2312"/>
                <w:color w:val="000000" w:themeColor="text1"/>
                <w:sz w:val="20"/>
                <w:szCs w:val="20"/>
                <w14:textFill>
                  <w14:solidFill>
                    <w14:schemeClr w14:val="tx1"/>
                  </w14:solidFill>
                </w14:textFill>
              </w:rPr>
              <w:t>。开户需要的信息和要求以</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营业</w:t>
            </w:r>
            <w:r>
              <w:rPr>
                <w:rFonts w:ascii="楷体_GB2312" w:eastAsia="楷体_GB2312" w:cs="楷体_GB2312"/>
                <w:color w:val="000000" w:themeColor="text1"/>
                <w:sz w:val="20"/>
                <w:szCs w:val="20"/>
                <w14:textFill>
                  <w14:solidFill>
                    <w14:schemeClr w14:val="tx1"/>
                  </w14:solidFill>
                </w14:textFill>
              </w:rPr>
              <w:t>场所或线上办理要求</w:t>
            </w:r>
            <w:r>
              <w:rPr>
                <w:rFonts w:hint="eastAsia" w:ascii="楷体_GB2312" w:eastAsia="楷体_GB2312" w:cs="楷体_GB2312"/>
                <w:color w:val="000000" w:themeColor="text1"/>
                <w:sz w:val="20"/>
                <w:szCs w:val="20"/>
                <w14:textFill>
                  <w14:solidFill>
                    <w14:schemeClr w14:val="tx1"/>
                  </w14:solidFill>
                </w14:textFill>
              </w:rPr>
              <w:t>为准</w:t>
            </w:r>
            <w:r>
              <w:rPr>
                <w:rFonts w:ascii="楷体_GB2312" w:eastAsia="楷体_GB2312" w:cs="楷体_GB2312"/>
                <w:color w:val="000000" w:themeColor="text1"/>
                <w:sz w:val="20"/>
                <w:szCs w:val="20"/>
                <w14:textFill>
                  <w14:solidFill>
                    <w14:schemeClr w14:val="tx1"/>
                  </w14:solidFill>
                </w14:textFill>
              </w:rPr>
              <w:t>。</w:t>
            </w:r>
          </w:p>
        </w:tc>
      </w:tr>
      <w:tr w14:paraId="6BFD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271138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873" w:type="pct"/>
            <w:vAlign w:val="center"/>
          </w:tcPr>
          <w:p w14:paraId="1706692D">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14:paraId="08603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0C9E6CD6">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873" w:type="pct"/>
            <w:vAlign w:val="center"/>
          </w:tcPr>
          <w:p w14:paraId="145634C2">
            <w:pPr>
              <w:pStyle w:val="18"/>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信银理财将通过【信银理财官方网站（</w:t>
            </w:r>
            <w:r>
              <w:fldChar w:fldCharType="begin"/>
            </w:r>
            <w:r>
              <w:instrText xml:space="preserve"> HYPERLINK "http://www.citic-wealth.com" </w:instrText>
            </w:r>
            <w:r>
              <w:fldChar w:fldCharType="separate"/>
            </w:r>
            <w:r>
              <w:rPr>
                <w:rStyle w:val="10"/>
                <w:rFonts w:ascii="楷体_GB2312" w:eastAsia="楷体_GB2312" w:cs="楷体_GB2312"/>
                <w:sz w:val="20"/>
                <w:szCs w:val="20"/>
              </w:rPr>
              <w:t>http://www.citic-wealth.com</w:t>
            </w:r>
            <w:r>
              <w:rPr>
                <w:rStyle w:val="10"/>
                <w:rFonts w:ascii="楷体_GB2312" w:eastAsia="楷体_GB2312" w:cs="楷体_GB2312"/>
                <w:sz w:val="20"/>
                <w:szCs w:val="20"/>
              </w:rPr>
              <w:fldChar w:fldCharType="end"/>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】披露本理财产品的各类信息。</w:t>
            </w:r>
          </w:p>
          <w:p w14:paraId="202455BC">
            <w:pPr>
              <w:pStyle w:val="18"/>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本理财产品存续期间内，信银理财有权提前【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】个工作日向投资者发出通知，以符合监管规定的方式对说明书条款进行补充、说明和修改，投资者不接受的，可于最近一个开放日赎回理财产品。信银理财有权根据情况决定增加临时开放日。信银理财根据</w:t>
            </w:r>
            <w:r>
              <w:rPr>
                <w:rFonts w:ascii="楷体_GB2312" w:eastAsia="楷体_GB2312" w:cs="楷体_GB2312"/>
                <w:color w:val="000000" w:themeColor="text1"/>
                <w:sz w:val="20"/>
                <w:szCs w:val="20"/>
                <w14:textFill>
                  <w14:solidFill>
                    <w14:schemeClr w14:val="tx1"/>
                  </w14:solidFill>
                </w14:textFill>
              </w:rPr>
              <w:t>法律法规、监管规定的强制性要求对产品说明书做出修改的，无须取得投资者同意。</w:t>
            </w:r>
          </w:p>
          <w:p w14:paraId="13D45125">
            <w:pPr>
              <w:pStyle w:val="18"/>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工作日内向投资者发布信息。</w:t>
            </w:r>
          </w:p>
          <w:p w14:paraId="5339B1C3">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决定提前结束募集期或延长募集期的，将在决定调整募集期后的【2】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工作日内向投资者发布相关信息。</w:t>
            </w:r>
          </w:p>
          <w:p w14:paraId="67655DF4">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信银理财将在本产品成立后【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工作日内披露发行公告。</w:t>
            </w:r>
          </w:p>
          <w:p w14:paraId="3C8E9F02">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本产品成立后，信银理财</w:t>
            </w:r>
            <w:r>
              <w:rPr>
                <w:rFonts w:ascii="楷体_GB2312" w:eastAsia="楷体_GB2312" w:cs="楷体_GB2312"/>
                <w:color w:val="000000" w:themeColor="text1"/>
                <w:sz w:val="20"/>
                <w:szCs w:val="20"/>
                <w14:textFill>
                  <w14:solidFill>
                    <w14:schemeClr w14:val="tx1"/>
                  </w14:solidFill>
                </w14:textFill>
              </w:rPr>
              <w:t>将在每个开放日结束后【2】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工作日内，披露该开放日的份额净值、份额累计净值、认购/申购价格和赎回价格。</w:t>
            </w:r>
          </w:p>
          <w:p w14:paraId="2CA7021E">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如本产品合作销售机构有新增、减少和变更，信银理财将提前【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4676D556">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14:paraId="57E31444">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3D8D4E3E">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信银理财将在本产品终止（包括到期和提前终止）日后【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个工作日内，向投资者披露到期公告，包括到期日产</w:t>
            </w:r>
            <w:r>
              <w:rPr>
                <w:rFonts w:ascii="楷体_GB2312" w:eastAsia="楷体_GB2312" w:cs="楷体_GB2312"/>
                <w:color w:val="000000" w:themeColor="text1"/>
                <w:sz w:val="20"/>
                <w:szCs w:val="20"/>
                <w14:textFill>
                  <w14:solidFill>
                    <w14:schemeClr w14:val="tx1"/>
                  </w14:solidFill>
                </w14:textFill>
              </w:rPr>
              <w:t>品单位净值在内的到期相关信息。</w:t>
            </w:r>
          </w:p>
          <w:p w14:paraId="70FF7CAF">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管理人在运用收取短期赎回费、摆动定价等措施后，将在【</w:t>
            </w:r>
            <w:r>
              <w:rPr>
                <w:rFonts w:ascii="楷体_GB2312" w:eastAsia="楷体_GB2312" w:cs="楷体_GB2312"/>
                <w:color w:val="000000" w:themeColor="text1"/>
                <w:sz w:val="20"/>
                <w:szCs w:val="20"/>
                <w14:textFill>
                  <w14:solidFill>
                    <w14:schemeClr w14:val="tx1"/>
                  </w14:solidFill>
                </w14:textFill>
              </w:rPr>
              <w:t>3】个交易日内告知投资者；在运用暂停或拒绝认/申购、延期办理巨额赎回申请、暂停或拒绝接受赎回申请、延缓支付赎回款项、暂停理财产品估值等措施后，【3】个交易日内告知投资者，并说明运用相关措施的原因、拟采取的应对安排等。在发生涉及理财产品认购、赎回事项调整或潜在影响投资者赎回等事项时，及时发布临时公告。</w:t>
            </w:r>
          </w:p>
          <w:p w14:paraId="145F2F73">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如因实际投资运作需要等因素，管理人有权增加或调整开放日和到期日，并最迟于增加或调整生效前【2】个工作日向投资者发布相关信息。</w:t>
            </w:r>
          </w:p>
          <w:p w14:paraId="22AC1B95">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在产品存续期间，信银理财根据市场情况对投资范围、投资品种或投资比例进行调整的，将提前【</w:t>
            </w:r>
            <w:r>
              <w:rPr>
                <w:rFonts w:ascii="楷体_GB2312" w:eastAsia="楷体_GB2312" w:cs="楷体_GB2312"/>
                <w:color w:val="000000" w:themeColor="text1"/>
                <w:sz w:val="20"/>
                <w:szCs w:val="20"/>
                <w14:textFill>
                  <w14:solidFill>
                    <w14:schemeClr w14:val="tx1"/>
                  </w14:solidFill>
                </w14:textFill>
              </w:rPr>
              <w:t>2】个工作日告知投资者。</w:t>
            </w:r>
          </w:p>
          <w:p w14:paraId="3FAADD93">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如因法律法规、规范性文件的规定或市场变化等原因，信银理财确需调整本产品说明书项下收费标准的，应在变更生效前【</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工作日告知投资者。</w:t>
            </w:r>
          </w:p>
          <w:p w14:paraId="19031DF5">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本产品存续期间，如因市场重大变化导致投资比例暂时超出本说明书约定的投资比例区间且可能对理财产品收益产生重大影响的，信银理财将在【2】个工作日内告知投资者。</w:t>
            </w:r>
          </w:p>
          <w:p w14:paraId="27A0F368">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14:paraId="599B0F72">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本产品存续期间，信银理财</w:t>
            </w:r>
            <w:r>
              <w:rPr>
                <w:rFonts w:ascii="楷体_GB2312" w:eastAsia="楷体_GB2312" w:cs="楷体_GB2312"/>
                <w:color w:val="000000" w:themeColor="text1"/>
                <w:sz w:val="20"/>
                <w:szCs w:val="20"/>
                <w14:textFill>
                  <w14:solidFill>
                    <w14:schemeClr w14:val="tx1"/>
                  </w14:solidFill>
                </w14:textFill>
              </w:rPr>
              <w:t>将向投资者发布定期报告，包括但不限于季度、半年和年度报告。理财产品成立不足90日或者剩余存续期不超过90日的，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可以不编制理财产品当期的季度、半年和年度报告。</w:t>
            </w:r>
            <w:r>
              <w:rPr>
                <w:rFonts w:hint="eastAsia" w:ascii="楷体_GB2312" w:eastAsia="楷体_GB2312" w:cs="楷体_GB2312"/>
                <w:color w:val="000000" w:themeColor="text1"/>
                <w:sz w:val="20"/>
                <w:szCs w:val="20"/>
                <w14:textFill>
                  <w14:solidFill>
                    <w14:schemeClr w14:val="tx1"/>
                  </w14:solidFill>
                </w14:textFill>
              </w:rPr>
              <w:t>管理人将在理财产品季度、半年和年度报告中披露理财产品组合资产情况及其流动性风险分析等。</w:t>
            </w:r>
          </w:p>
          <w:p w14:paraId="499EC4CD">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在本理财产品存续</w:t>
            </w:r>
            <w:r>
              <w:rPr>
                <w:rFonts w:ascii="楷体_GB2312" w:eastAsia="楷体_GB2312" w:cs="楷体_GB2312"/>
                <w:color w:val="000000" w:themeColor="text1"/>
                <w:sz w:val="20"/>
                <w:szCs w:val="20"/>
                <w14:textFill>
                  <w14:solidFill>
                    <w14:schemeClr w14:val="tx1"/>
                  </w14:solidFill>
                </w14:textFill>
              </w:rPr>
              <w:t>期间信银</w:t>
            </w:r>
            <w:r>
              <w:rPr>
                <w:rFonts w:hint="eastAsia" w:ascii="楷体_GB2312" w:eastAsia="楷体_GB2312" w:cs="楷体_GB2312"/>
                <w:color w:val="000000" w:themeColor="text1"/>
                <w:sz w:val="20"/>
                <w:szCs w:val="20"/>
                <w14:textFill>
                  <w14:solidFill>
                    <w14:schemeClr w14:val="tx1"/>
                  </w14:solidFill>
                </w14:textFill>
              </w:rPr>
              <w:t>理财获知并</w:t>
            </w:r>
            <w:r>
              <w:rPr>
                <w:rFonts w:ascii="楷体_GB2312" w:eastAsia="楷体_GB2312" w:cs="楷体_GB2312"/>
                <w:color w:val="000000" w:themeColor="text1"/>
                <w:sz w:val="20"/>
                <w:szCs w:val="20"/>
                <w14:textFill>
                  <w14:solidFill>
                    <w14:schemeClr w14:val="tx1"/>
                  </w14:solidFill>
                </w14:textFill>
              </w:rPr>
              <w:t>经信银理财合理判断认为对本产品、投资者权益、投资收益等有重大影响的事件，将</w:t>
            </w:r>
            <w:r>
              <w:rPr>
                <w:rFonts w:hint="eastAsia" w:ascii="楷体_GB2312" w:eastAsia="楷体_GB2312" w:cs="楷体_GB2312"/>
                <w:color w:val="000000" w:themeColor="text1"/>
                <w:sz w:val="20"/>
                <w:szCs w:val="20"/>
                <w14:textFill>
                  <w14:solidFill>
                    <w14:schemeClr w14:val="tx1"/>
                  </w14:solidFill>
                </w14:textFill>
              </w:rPr>
              <w:t>按照法律法规、监管规定</w:t>
            </w:r>
            <w:r>
              <w:rPr>
                <w:rFonts w:ascii="楷体_GB2312" w:eastAsia="楷体_GB2312" w:cs="楷体_GB2312"/>
                <w:color w:val="000000" w:themeColor="text1"/>
                <w:sz w:val="20"/>
                <w:szCs w:val="20"/>
                <w14:textFill>
                  <w14:solidFill>
                    <w14:schemeClr w14:val="tx1"/>
                  </w14:solidFill>
                </w14:textFill>
              </w:rPr>
              <w:t>及时向投资者发布相关信息。</w:t>
            </w:r>
          </w:p>
          <w:p w14:paraId="6ABA4E71">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法律法规、规范性文件、监管政策规定或本说明书约定其他应向投资者进行信息披露的情形的，信银理财</w:t>
            </w:r>
            <w:r>
              <w:rPr>
                <w:rFonts w:ascii="楷体_GB2312" w:eastAsia="楷体_GB2312" w:cs="楷体_GB2312"/>
                <w:color w:val="000000" w:themeColor="text1"/>
                <w:sz w:val="20"/>
                <w:szCs w:val="20"/>
                <w14:textFill>
                  <w14:solidFill>
                    <w14:schemeClr w14:val="tx1"/>
                  </w14:solidFill>
                </w14:textFill>
              </w:rPr>
              <w:t>将根据上述规定向投资者发布相关信息。</w:t>
            </w:r>
          </w:p>
        </w:tc>
      </w:tr>
    </w:tbl>
    <w:p w14:paraId="08880B46">
      <w:pPr>
        <w:snapToGrid w:val="0"/>
        <w:ind w:right="53" w:rightChars="22"/>
        <w:outlineLvl w:val="0"/>
        <w:rPr>
          <w:rFonts w:ascii="黑体" w:hAnsi="Times New Roman" w:eastAsia="黑体" w:cs="黑体"/>
          <w:color w:val="000000" w:themeColor="text1"/>
          <w:sz w:val="20"/>
          <w:szCs w:val="20"/>
          <w14:textFill>
            <w14:solidFill>
              <w14:schemeClr w14:val="tx1"/>
            </w14:solidFill>
          </w14:textFill>
        </w:rPr>
      </w:pPr>
    </w:p>
    <w:p w14:paraId="66252184">
      <w:pPr>
        <w:snapToGrid w:val="0"/>
        <w:ind w:left="-2" w:leftChars="-1" w:right="53" w:rightChars="22"/>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三、理财产品管理人</w:t>
      </w:r>
    </w:p>
    <w:p w14:paraId="3983C1C9">
      <w:pPr>
        <w:pStyle w:val="18"/>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14:paraId="0636A6D4">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按照理财产品说明书的约定，管理、运用和处分理财资金。</w:t>
      </w:r>
    </w:p>
    <w:p w14:paraId="01B7188A">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代表理财产品签订投资和资产管理过程中涉及到的协议、合同等文本。</w:t>
      </w:r>
    </w:p>
    <w:p w14:paraId="30092B2D">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14:paraId="5FC5A063">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14:paraId="7F503B0C">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按照理财产品说明书的约定，及时、足额获得投资管理费和本产品说明书约定的其他费用（如有）。</w:t>
      </w:r>
    </w:p>
    <w:p w14:paraId="316CD3FA">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管理人以其固有财产先行垫付因处理本理财产品相关事务所支出的费用及税费的，对理财产品资金享有优先受偿的权利。</w:t>
      </w:r>
    </w:p>
    <w:p w14:paraId="4AA17D96">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管理人有权按照法律规定和监管机构的要求将投资者的信息向有权部门或相关机构披露。</w:t>
      </w:r>
    </w:p>
    <w:p w14:paraId="67F580BF">
      <w:pPr>
        <w:spacing w:line="300" w:lineRule="exact"/>
        <w:ind w:left="-2" w:leftChars="-1" w:right="36" w:rightChars="15" w:firstLine="400" w:firstLineChars="200"/>
        <w:rPr>
          <w:rFonts w:ascii="楷体_GB2312" w:eastAsia="楷体_GB2312"/>
          <w:color w:val="000000" w:themeColor="text1"/>
          <w:sz w:val="20"/>
          <w:szCs w:val="20"/>
          <w14:textFill>
            <w14:solidFill>
              <w14:schemeClr w14:val="tx1"/>
            </w14:solidFill>
          </w14:textFill>
        </w:rPr>
      </w:pPr>
    </w:p>
    <w:p w14:paraId="5059183F">
      <w:pPr>
        <w:spacing w:line="300" w:lineRule="exact"/>
        <w:ind w:left="-2" w:leftChars="-1" w:right="36" w:rightChars="15"/>
        <w:rPr>
          <w:rFonts w:ascii="黑体" w:hAnsi="Times New Roman" w:eastAsia="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w:t>
      </w:r>
      <w:r>
        <w:rPr>
          <w:rFonts w:ascii="黑体" w:hAnsi="Times New Roman" w:eastAsia="黑体" w:cs="黑体"/>
          <w:color w:val="000000" w:themeColor="text1"/>
          <w:sz w:val="20"/>
          <w:szCs w:val="20"/>
          <w14:textFill>
            <w14:solidFill>
              <w14:schemeClr w14:val="tx1"/>
            </w14:solidFill>
          </w14:textFill>
        </w:rPr>
        <w:t>产品的认购、</w:t>
      </w:r>
      <w:r>
        <w:rPr>
          <w:rFonts w:hint="eastAsia" w:ascii="黑体" w:hAnsi="Times New Roman" w:eastAsia="黑体" w:cs="黑体"/>
          <w:color w:val="000000" w:themeColor="text1"/>
          <w:sz w:val="20"/>
          <w:szCs w:val="20"/>
          <w14:textFill>
            <w14:solidFill>
              <w14:schemeClr w14:val="tx1"/>
            </w14:solidFill>
          </w14:textFill>
        </w:rPr>
        <w:t>申购</w:t>
      </w:r>
    </w:p>
    <w:p w14:paraId="0B6F6B0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可在</w:t>
      </w:r>
      <w:r>
        <w:rPr>
          <w:rFonts w:hint="eastAsia" w:ascii="楷体_GB2312" w:eastAsia="楷体_GB2312" w:cs="楷体_GB2312"/>
          <w:color w:val="000000" w:themeColor="text1"/>
          <w:sz w:val="20"/>
          <w:szCs w:val="20"/>
          <w14:textFill>
            <w14:solidFill>
              <w14:schemeClr w14:val="tx1"/>
            </w14:solidFill>
          </w14:textFill>
        </w:rPr>
        <w:t>本产品募集期内</w:t>
      </w:r>
      <w:r>
        <w:rPr>
          <w:rFonts w:ascii="楷体_GB2312" w:eastAsia="楷体_GB2312" w:cs="楷体_GB2312"/>
          <w:color w:val="000000" w:themeColor="text1"/>
          <w:sz w:val="20"/>
          <w:szCs w:val="20"/>
          <w14:textFill>
            <w14:solidFill>
              <w14:schemeClr w14:val="tx1"/>
            </w14:solidFill>
          </w14:textFill>
        </w:rPr>
        <w:t>进行认购</w:t>
      </w:r>
      <w:r>
        <w:rPr>
          <w:rFonts w:hint="eastAsia" w:ascii="楷体_GB2312" w:eastAsia="楷体_GB2312" w:cs="楷体_GB2312"/>
          <w:color w:val="000000" w:themeColor="text1"/>
          <w:sz w:val="20"/>
          <w:szCs w:val="20"/>
          <w14:textFill>
            <w14:solidFill>
              <w14:schemeClr w14:val="tx1"/>
            </w14:solidFill>
          </w14:textFill>
        </w:rPr>
        <w:t>。</w:t>
      </w:r>
    </w:p>
    <w:p w14:paraId="0504023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本产品采取金额认购</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方式，认购份额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人民币认购金额×（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认购费率）</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元，认购份额按照四舍五入方法计算，保留小数点后【2】位，由此误差产生的损失由理财财产承担，产生的收益归理财财产所有。</w:t>
      </w:r>
    </w:p>
    <w:p w14:paraId="0AF85D6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14:textFill>
            <w14:solidFill>
              <w14:schemeClr w14:val="tx1"/>
            </w14:solidFill>
          </w14:textFill>
        </w:rPr>
        <w:t>】为认购份额确认日，</w:t>
      </w:r>
      <w:r>
        <w:rPr>
          <w:rFonts w:hint="eastAsia" w:ascii="楷体_GB2312" w:eastAsia="楷体_GB2312" w:cs="楷体_GB2312"/>
          <w:color w:val="000000" w:themeColor="text1"/>
          <w:sz w:val="20"/>
          <w:szCs w:val="20"/>
          <w14:textFill>
            <w14:solidFill>
              <w14:schemeClr w14:val="tx1"/>
            </w14:solidFill>
          </w14:textFill>
        </w:rPr>
        <w:t>认购</w:t>
      </w:r>
      <w:r>
        <w:rPr>
          <w:rFonts w:ascii="楷体_GB2312" w:eastAsia="楷体_GB2312" w:cs="楷体_GB2312"/>
          <w:color w:val="000000" w:themeColor="text1"/>
          <w:sz w:val="20"/>
          <w:szCs w:val="20"/>
          <w14:textFill>
            <w14:solidFill>
              <w14:schemeClr w14:val="tx1"/>
            </w14:solidFill>
          </w14:textFill>
        </w:rPr>
        <w:t>份额确认日后投资者可向</w:t>
      </w:r>
      <w:r>
        <w:rPr>
          <w:rFonts w:hint="eastAsia" w:ascii="楷体_GB2312" w:eastAsia="楷体_GB2312" w:cs="楷体_GB2312"/>
          <w:color w:val="000000" w:themeColor="text1"/>
          <w:sz w:val="20"/>
          <w:szCs w:val="20"/>
          <w14:textFill>
            <w14:solidFill>
              <w14:schemeClr w14:val="tx1"/>
            </w14:solidFill>
          </w14:textFill>
        </w:rPr>
        <w:t>销售机构</w:t>
      </w:r>
      <w:r>
        <w:rPr>
          <w:rFonts w:ascii="楷体_GB2312" w:eastAsia="楷体_GB2312" w:cs="楷体_GB2312"/>
          <w:color w:val="000000" w:themeColor="text1"/>
          <w:sz w:val="20"/>
          <w:szCs w:val="20"/>
          <w14:textFill>
            <w14:solidFill>
              <w14:schemeClr w14:val="tx1"/>
            </w14:solidFill>
          </w14:textFill>
        </w:rPr>
        <w:t>查询认购是否成功。</w:t>
      </w:r>
    </w:p>
    <w:p w14:paraId="05D54C2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．投资者可在本产品开放日的交易时间内进行</w:t>
      </w:r>
      <w:r>
        <w:rPr>
          <w:rFonts w:ascii="楷体_GB2312" w:eastAsia="楷体_GB2312" w:cs="楷体_GB2312"/>
          <w:color w:val="000000" w:themeColor="text1"/>
          <w:sz w:val="20"/>
          <w:szCs w:val="20"/>
          <w14:textFill>
            <w14:solidFill>
              <w14:schemeClr w14:val="tx1"/>
            </w14:solidFill>
          </w14:textFill>
        </w:rPr>
        <w:t>申购，</w:t>
      </w:r>
      <w:r>
        <w:rPr>
          <w:rFonts w:hint="eastAsia" w:ascii="楷体_GB2312" w:eastAsia="楷体_GB2312" w:cs="楷体_GB2312"/>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hint="eastAsia" w:ascii="楷体_GB2312" w:eastAsia="楷体_GB2312" w:cs="楷体_GB2312"/>
          <w:color w:val="000000" w:themeColor="text1"/>
          <w:sz w:val="20"/>
          <w:szCs w:val="20"/>
          <w14:textFill>
            <w14:solidFill>
              <w14:schemeClr w14:val="tx1"/>
            </w14:solidFill>
          </w14:textFill>
        </w:rPr>
        <w:t>。非交易时间提交的申购申请将于下一个申购开放日正式受理，</w:t>
      </w:r>
      <w:r>
        <w:rPr>
          <w:rFonts w:ascii="楷体_GB2312" w:eastAsia="楷体_GB2312" w:cs="楷体_GB2312"/>
          <w:color w:val="000000" w:themeColor="text1"/>
          <w:sz w:val="20"/>
          <w:szCs w:val="20"/>
          <w14:textFill>
            <w14:solidFill>
              <w14:schemeClr w14:val="tx1"/>
            </w14:solidFill>
          </w14:textFill>
        </w:rPr>
        <w:t>代销机构</w:t>
      </w:r>
      <w:r>
        <w:rPr>
          <w:rFonts w:hint="eastAsia" w:ascii="楷体_GB2312" w:eastAsia="楷体_GB2312" w:cs="楷体_GB2312"/>
          <w:color w:val="000000" w:themeColor="text1"/>
          <w:sz w:val="20"/>
          <w:szCs w:val="20"/>
          <w14:textFill>
            <w14:solidFill>
              <w14:schemeClr w14:val="tx1"/>
            </w14:solidFill>
          </w14:textFill>
        </w:rPr>
        <w:t>有</w:t>
      </w:r>
      <w:r>
        <w:rPr>
          <w:rFonts w:ascii="楷体_GB2312" w:eastAsia="楷体_GB2312" w:cs="楷体_GB2312"/>
          <w:color w:val="000000" w:themeColor="text1"/>
          <w:sz w:val="20"/>
          <w:szCs w:val="20"/>
          <w14:textFill>
            <w14:solidFill>
              <w14:schemeClr w14:val="tx1"/>
            </w14:solidFill>
          </w14:textFill>
        </w:rPr>
        <w:t>另行规定的，以代销机构的规定为准</w:t>
      </w:r>
      <w:r>
        <w:rPr>
          <w:rFonts w:hint="eastAsia" w:ascii="楷体_GB2312" w:eastAsia="楷体_GB2312" w:cs="楷体_GB2312"/>
          <w:color w:val="000000" w:themeColor="text1"/>
          <w:sz w:val="20"/>
          <w:szCs w:val="20"/>
          <w14:textFill>
            <w14:solidFill>
              <w14:schemeClr w14:val="tx1"/>
            </w14:solidFill>
          </w14:textFill>
        </w:rPr>
        <w:t>。本产品按金额申购，按【申购开放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单位净值计算申购份额，即申购份额＝申购金额×（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申购费率）</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单位净值（申购份额按照四舍五入方法计算，保留小数点后【2】位，由此误差产生的损失由理财财产承担，产生的收益归理财财产所有）。</w:t>
      </w:r>
    </w:p>
    <w:p w14:paraId="62D71DAD">
      <w:pPr>
        <w:spacing w:line="300" w:lineRule="exact"/>
        <w:ind w:firstLine="400" w:firstLineChars="200"/>
        <w:jc w:val="both"/>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某开放日投资者以</w:t>
      </w:r>
      <w:r>
        <w:rPr>
          <w:rFonts w:ascii="楷体_GB2312" w:eastAsia="楷体_GB2312" w:cs="楷体_GB2312"/>
          <w:sz w:val="20"/>
          <w:szCs w:val="20"/>
        </w:rPr>
        <w:t>500万元申购本产品份额，申购费率为0%，开放日单位净值为1.010，则投资者获得的申购份额=5,000,000×（1-0%）/1.010=4,950,495.05份</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719A67D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上述示例采用假设数据计算，并不代表投资者实际可获得的份额。）</w:t>
      </w:r>
    </w:p>
    <w:p w14:paraId="3C35FD9C">
      <w:pPr>
        <w:spacing w:line="300" w:lineRule="exact"/>
        <w:ind w:firstLine="400" w:firstLineChars="200"/>
        <w:jc w:val="both"/>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sz w:val="20"/>
          <w:szCs w:val="20"/>
        </w:rPr>
        <w:t>【申购申请正式受理的开放日后第一个工作日】即为申购份额确认日，投资者可在申购</w:t>
      </w:r>
      <w:r>
        <w:rPr>
          <w:rFonts w:ascii="楷体_GB2312" w:eastAsia="楷体_GB2312" w:cs="楷体_GB2312"/>
          <w:sz w:val="20"/>
          <w:szCs w:val="20"/>
        </w:rPr>
        <w:t>份额</w:t>
      </w:r>
      <w:r>
        <w:rPr>
          <w:rFonts w:hint="eastAsia" w:ascii="楷体_GB2312" w:eastAsia="楷体_GB2312" w:cs="楷体_GB2312"/>
          <w:sz w:val="20"/>
          <w:szCs w:val="20"/>
        </w:rPr>
        <w:t>确认日后向销售机构查询申购是否成功。当日交易</w:t>
      </w:r>
      <w:r>
        <w:rPr>
          <w:rFonts w:ascii="楷体_GB2312" w:eastAsia="楷体_GB2312" w:cs="楷体_GB2312"/>
          <w:sz w:val="20"/>
          <w:szCs w:val="20"/>
        </w:rPr>
        <w:t>时间内提交且</w:t>
      </w:r>
      <w:r>
        <w:rPr>
          <w:rFonts w:hint="eastAsia" w:ascii="楷体_GB2312" w:eastAsia="楷体_GB2312" w:cs="楷体_GB2312"/>
          <w:sz w:val="20"/>
          <w:szCs w:val="20"/>
        </w:rPr>
        <w:t>有效</w:t>
      </w:r>
      <w:r>
        <w:rPr>
          <w:rFonts w:ascii="楷体_GB2312" w:eastAsia="楷体_GB2312" w:cs="楷体_GB2312"/>
          <w:sz w:val="20"/>
          <w:szCs w:val="20"/>
        </w:rPr>
        <w:t>的</w:t>
      </w:r>
      <w:r>
        <w:rPr>
          <w:rFonts w:hint="eastAsia" w:ascii="楷体_GB2312" w:eastAsia="楷体_GB2312" w:cs="楷体_GB2312"/>
          <w:sz w:val="20"/>
          <w:szCs w:val="20"/>
        </w:rPr>
        <w:t>申购申请对应的份额自下一个工作日起享有分配权。</w:t>
      </w:r>
    </w:p>
    <w:p w14:paraId="300FB6F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14:paraId="5C4A03A9">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14:paraId="307F2B5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．管理人保留不接受认、申购申请的权利。</w:t>
      </w:r>
    </w:p>
    <w:p w14:paraId="19AE1234">
      <w:pPr>
        <w:spacing w:line="300" w:lineRule="exact"/>
        <w:ind w:left="-2" w:leftChars="-1" w:right="36" w:rightChars="15" w:firstLine="400" w:firstLineChars="200"/>
        <w:rPr>
          <w:rFonts w:ascii="楷体_GB2312" w:eastAsia="楷体_GB2312" w:cs="楷体_GB2312"/>
          <w:color w:val="000000" w:themeColor="text1"/>
          <w:sz w:val="20"/>
          <w:szCs w:val="20"/>
          <w14:textFill>
            <w14:solidFill>
              <w14:schemeClr w14:val="tx1"/>
            </w14:solidFill>
          </w14:textFill>
        </w:rPr>
      </w:pPr>
    </w:p>
    <w:p w14:paraId="45FD22D1">
      <w:pPr>
        <w:spacing w:line="300" w:lineRule="exact"/>
        <w:ind w:left="-2" w:leftChars="-1" w:right="36" w:rightChars="15"/>
        <w:jc w:val="both"/>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五、理财产品的赎回</w:t>
      </w:r>
    </w:p>
    <w:p w14:paraId="1B2D822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．本产品按份额赎回，</w:t>
      </w:r>
      <w:r>
        <w:rPr>
          <w:rFonts w:ascii="楷体_GB2312" w:eastAsia="楷体_GB2312" w:cs="楷体_GB2312"/>
          <w:color w:val="000000" w:themeColor="text1"/>
          <w:sz w:val="20"/>
          <w:szCs w:val="20"/>
          <w14:textFill>
            <w14:solidFill>
              <w14:schemeClr w14:val="tx1"/>
            </w14:solidFill>
          </w14:textFill>
        </w:rPr>
        <w:t>B类份额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G类份额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M类份额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T类份额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X类份额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p>
    <w:p w14:paraId="3BE7881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 xml:space="preserve">. </w:t>
      </w:r>
      <w:r>
        <w:rPr>
          <w:rFonts w:ascii="楷体_GB2312" w:eastAsia="楷体_GB2312" w:cs="楷体_GB2312"/>
          <w:color w:val="000000" w:themeColor="text1"/>
          <w:sz w:val="20"/>
          <w:szCs w:val="20"/>
          <w14:textFill>
            <w14:solidFill>
              <w14:schemeClr w14:val="tx1"/>
            </w14:solidFill>
          </w14:textFill>
        </w:rPr>
        <w:t>投资者可</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本产品开放日的</w:t>
      </w:r>
      <w:r>
        <w:rPr>
          <w:rFonts w:hint="eastAsia" w:ascii="楷体_GB2312" w:eastAsia="楷体_GB2312" w:cs="楷体_GB2312"/>
          <w:color w:val="000000" w:themeColor="text1"/>
          <w:sz w:val="20"/>
          <w:szCs w:val="20"/>
          <w14:textFill>
            <w14:solidFill>
              <w14:schemeClr w14:val="tx1"/>
            </w14:solidFill>
          </w14:textFill>
        </w:rPr>
        <w:t>交易</w:t>
      </w:r>
      <w:r>
        <w:rPr>
          <w:rFonts w:ascii="楷体_GB2312" w:eastAsia="楷体_GB2312" w:cs="楷体_GB2312"/>
          <w:color w:val="000000" w:themeColor="text1"/>
          <w:sz w:val="20"/>
          <w:szCs w:val="20"/>
          <w14:textFill>
            <w14:solidFill>
              <w14:schemeClr w14:val="tx1"/>
            </w14:solidFill>
          </w14:textFill>
        </w:rPr>
        <w:t>时间内</w:t>
      </w:r>
      <w:r>
        <w:rPr>
          <w:rFonts w:hint="eastAsia" w:ascii="楷体_GB2312" w:eastAsia="楷体_GB2312" w:cs="楷体_GB2312"/>
          <w:color w:val="000000" w:themeColor="text1"/>
          <w:sz w:val="20"/>
          <w:szCs w:val="20"/>
          <w14:textFill>
            <w14:solidFill>
              <w14:schemeClr w14:val="tx1"/>
            </w14:solidFill>
          </w14:textFill>
        </w:rPr>
        <w:t>申请</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设置最短持有期的产品份额，须在超过最短持有期后</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14:textFill>
            <w14:solidFill>
              <w14:schemeClr w14:val="tx1"/>
            </w14:solidFill>
          </w14:textFill>
        </w:rPr>
        <w:t>/代销机构另有规定的，以合作销售机构/代销机构为准。</w:t>
      </w:r>
    </w:p>
    <w:p w14:paraId="5AF2B25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．投资者在进行份额赎回时</w:t>
      </w:r>
    </w:p>
    <w:p w14:paraId="5FD7BB9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赎回金额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赎回份额×【</w:t>
      </w:r>
      <w:r>
        <w:rPr>
          <w:rFonts w:hint="eastAsia" w:ascii="楷体_GB2312" w:eastAsia="楷体_GB2312" w:cs="楷体_GB2312"/>
          <w:sz w:val="20"/>
          <w:szCs w:val="20"/>
        </w:rPr>
        <w:t>赎回开放</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赎回费率）-</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3C5C6D03">
      <w:pPr>
        <w:spacing w:line="300" w:lineRule="exact"/>
        <w:ind w:firstLine="400" w:firstLineChars="200"/>
        <w:jc w:val="both"/>
        <w:rPr>
          <w:rFonts w:ascii="楷体_GB2312" w:eastAsia="楷体_GB2312"/>
          <w:sz w:val="20"/>
          <w:szCs w:val="20"/>
        </w:rPr>
      </w:pPr>
      <w:r>
        <w:rPr>
          <w:rFonts w:hint="eastAsia" w:ascii="楷体_GB2312" w:eastAsia="楷体_GB2312" w:cs="楷体_GB2312"/>
          <w:color w:val="000000" w:themeColor="text1"/>
          <w:sz w:val="20"/>
          <w:szCs w:val="20"/>
          <w14:textFill>
            <w14:solidFill>
              <w14:schemeClr w14:val="tx1"/>
            </w14:solidFill>
          </w14:textFill>
        </w:rPr>
        <w:t>赎回金额按照四舍五入原则保留至小数点后【2】位，由此误差产生的损失由理财财产承担，产生的收益归理财财产所有。</w:t>
      </w:r>
      <w:r>
        <w:rPr>
          <w:rFonts w:hint="eastAsia" w:ascii="楷体_GB2312" w:eastAsia="楷体_GB2312" w:cs="楷体_GB2312"/>
          <w:sz w:val="20"/>
          <w:szCs w:val="20"/>
        </w:rPr>
        <w:t>当理财产品份额全部被赎回时，为保证投资者利益，管理人有权调整单位净值小数点取位规则。</w:t>
      </w:r>
    </w:p>
    <w:p w14:paraId="5B7E42BF">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某开放日投资者成功赎回所持有</w:t>
      </w:r>
      <w:r>
        <w:rPr>
          <w:rFonts w:ascii="楷体_GB2312" w:eastAsia="楷体_GB2312" w:cs="楷体_GB2312"/>
          <w:sz w:val="20"/>
          <w:szCs w:val="20"/>
        </w:rPr>
        <w:t>500万份本产品份额，该开放日单位净值为1.1000，赎回费率为0%，则投资者获得的赎回金额=5,000,000.00×1.1000×（1-0%）=5,500,000.00元</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15D3754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上述示例采用假设数据计算，并不代表投资者实际可获得的赎回金额。）</w:t>
      </w:r>
    </w:p>
    <w:p w14:paraId="2EF3CCDE">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当理财产品份额全部被赎回时，为保证投资者利益，管理人有权调整单位净值小数点取位规则。</w:t>
      </w:r>
    </w:p>
    <w:p w14:paraId="593DDF40">
      <w:pPr>
        <w:spacing w:line="300" w:lineRule="exact"/>
        <w:ind w:firstLine="400" w:firstLineChars="200"/>
        <w:jc w:val="both"/>
        <w:rPr>
          <w:rFonts w:ascii="楷体_GB2312" w:eastAsia="楷体_GB2312" w:cs="楷体_GB2312"/>
          <w:sz w:val="20"/>
          <w:szCs w:val="20"/>
        </w:rPr>
      </w:pPr>
      <w:r>
        <w:rPr>
          <w:rFonts w:hint="eastAsia" w:ascii="楷体_GB2312" w:eastAsia="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sz w:val="20"/>
          <w:szCs w:val="20"/>
        </w:rPr>
        <w:t>【赎回申请正式受理的开放日后第一个工作日】即为赎回确认日，赎回份额确认日后投资者可向销售机构查询赎回是否成功。管理人</w:t>
      </w:r>
      <w:r>
        <w:rPr>
          <w:rFonts w:ascii="楷体_GB2312" w:eastAsia="楷体_GB2312"/>
          <w:sz w:val="20"/>
          <w:szCs w:val="20"/>
        </w:rPr>
        <w:t>按照“</w:t>
      </w:r>
      <w:r>
        <w:rPr>
          <w:rFonts w:hint="eastAsia" w:ascii="楷体_GB2312" w:eastAsia="楷体_GB2312"/>
          <w:sz w:val="20"/>
          <w:szCs w:val="20"/>
        </w:rPr>
        <w:t>先进</w:t>
      </w:r>
      <w:r>
        <w:rPr>
          <w:rFonts w:ascii="楷体_GB2312" w:eastAsia="楷体_GB2312"/>
          <w:sz w:val="20"/>
          <w:szCs w:val="20"/>
        </w:rPr>
        <w:t>先出”</w:t>
      </w:r>
      <w:r>
        <w:rPr>
          <w:rFonts w:hint="eastAsia" w:ascii="楷体_GB2312" w:eastAsia="楷体_GB2312"/>
          <w:sz w:val="20"/>
          <w:szCs w:val="20"/>
        </w:rPr>
        <w:t>的</w:t>
      </w:r>
      <w:r>
        <w:rPr>
          <w:rFonts w:ascii="楷体_GB2312" w:eastAsia="楷体_GB2312"/>
          <w:sz w:val="20"/>
          <w:szCs w:val="20"/>
        </w:rPr>
        <w:t>原则处理投资者持有份额的赎回，</w:t>
      </w:r>
      <w:r>
        <w:rPr>
          <w:rFonts w:hint="eastAsia" w:ascii="楷体_GB2312" w:eastAsia="楷体_GB2312"/>
          <w:sz w:val="20"/>
          <w:szCs w:val="20"/>
        </w:rPr>
        <w:t>即</w:t>
      </w:r>
      <w:r>
        <w:rPr>
          <w:rFonts w:ascii="楷体_GB2312" w:eastAsia="楷体_GB2312"/>
          <w:sz w:val="20"/>
          <w:szCs w:val="20"/>
        </w:rPr>
        <w:t>份额</w:t>
      </w:r>
      <w:r>
        <w:rPr>
          <w:rFonts w:hint="eastAsia" w:ascii="楷体_GB2312" w:eastAsia="楷体_GB2312"/>
          <w:sz w:val="20"/>
          <w:szCs w:val="20"/>
        </w:rPr>
        <w:t>注册</w:t>
      </w:r>
      <w:r>
        <w:rPr>
          <w:rFonts w:ascii="楷体_GB2312" w:eastAsia="楷体_GB2312"/>
          <w:sz w:val="20"/>
          <w:szCs w:val="20"/>
        </w:rPr>
        <w:t>日期在前的份额先赎回，份额注册日期在后的份额后赎回。</w:t>
      </w:r>
    </w:p>
    <w:p w14:paraId="10C82FF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通过代销机构购买理财产品的，</w:t>
      </w:r>
      <w:r>
        <w:rPr>
          <w:rFonts w:hint="eastAsia" w:ascii="楷体_GB2312" w:eastAsia="楷体_GB2312" w:cs="楷体_GB2312"/>
          <w:color w:val="000000" w:themeColor="text1"/>
          <w:sz w:val="20"/>
          <w:szCs w:val="20"/>
          <w14:textFill>
            <w14:solidFill>
              <w14:schemeClr w14:val="tx1"/>
            </w14:solidFill>
          </w14:textFill>
        </w:rPr>
        <w:t>代销机构受理赎回申请并不表示对该申请成功的确认，而仅代表收到了赎回申请，申请是否成功应以管理人的最终确认为准。具体而言，如管理人在赎回确认日根据投资者的赎回确认</w:t>
      </w:r>
      <w:r>
        <w:rPr>
          <w:rFonts w:ascii="楷体_GB2312" w:eastAsia="楷体_GB2312" w:cs="楷体_GB2312"/>
          <w:color w:val="000000" w:themeColor="text1"/>
          <w:sz w:val="20"/>
          <w:szCs w:val="20"/>
          <w14:textFill>
            <w14:solidFill>
              <w14:schemeClr w14:val="tx1"/>
            </w14:solidFill>
          </w14:textFill>
        </w:rPr>
        <w:t>结果为</w:t>
      </w:r>
      <w:r>
        <w:rPr>
          <w:rFonts w:hint="eastAsia" w:ascii="楷体_GB2312" w:eastAsia="楷体_GB2312" w:cs="楷体_GB2312"/>
          <w:color w:val="000000" w:themeColor="text1"/>
          <w:sz w:val="20"/>
          <w:szCs w:val="20"/>
          <w14:textFill>
            <w14:solidFill>
              <w14:schemeClr w14:val="tx1"/>
            </w14:solidFill>
          </w14:textFill>
        </w:rPr>
        <w:t>投资者成功注销赎回份额，则视为投资者的赎回申请成功，并以管理人的登记结果为准。管理人会将赎回确认结果及时反馈给代销机构，投资者应及时按照本产品说明书的约定查询赎回确认结果。</w:t>
      </w:r>
    </w:p>
    <w:p w14:paraId="6AE450F8">
      <w:pPr>
        <w:spacing w:line="300" w:lineRule="exact"/>
        <w:ind w:firstLine="428" w:firstLineChars="214"/>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若投资者在开放日全额或部分赎回，管理人将在该开放日后【5】个工作日内支付赎回款项，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1A422E6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．管理人保留不接受赎回申请的权利。</w:t>
      </w:r>
    </w:p>
    <w:p w14:paraId="77FAAE8E">
      <w:pPr>
        <w:spacing w:line="300" w:lineRule="exact"/>
        <w:ind w:right="96" w:rightChars="40" w:firstLine="426" w:firstLineChars="213"/>
        <w:rPr>
          <w:rFonts w:ascii="楷体_GB2312" w:eastAsia="楷体_GB2312"/>
          <w:color w:val="000000" w:themeColor="text1"/>
          <w:sz w:val="20"/>
          <w:szCs w:val="20"/>
          <w14:textFill>
            <w14:solidFill>
              <w14:schemeClr w14:val="tx1"/>
            </w14:solidFill>
          </w14:textFill>
        </w:rPr>
      </w:pPr>
    </w:p>
    <w:p w14:paraId="670783EE">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六、理财产品的巨额赎回</w:t>
      </w:r>
    </w:p>
    <w:p w14:paraId="43DD424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．如某开放日投资者净赎回份额超过本产品上一日终存续总份额的【</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则被视为巨额赎回，在巨额赎回的情况下，管理人可以按照法律、行政法规和理财产品销售文件约定，综合运用设置赎回上限、延期办理巨额赎回申请、暂停接受赎回申请、收取短期赎回费、暂停理财产品估值、摆动定价等方式，作为本理财产品流动性风险管理的辅助措施。</w:t>
      </w:r>
    </w:p>
    <w:p w14:paraId="5D8B2C5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2．在巨额赎回情况下，对于超过本产品上一日终存续总份额【10%】以上的赎回申请，管理人有权全部或部分暂停接受或延期办理。</w:t>
      </w:r>
    </w:p>
    <w:p w14:paraId="3F30A44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1）对于接受办理的部分，可以按照单个投资者的赎回申请占当日申请赎回总份额的比例确定该投资者当日办理的赎回份额；</w:t>
      </w:r>
    </w:p>
    <w:p w14:paraId="481A104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对于不予办理的部分，若投资者在申请赎回时选择将该部分予以撤销的，则该部分份额申请失效，投资者可在下一开放日正常赎回交易时间内重新提交赎回申请；若投资者在申请赎回时未选择将该部分予以撤销的，管理人有权决定对该部分份额申请采取下述任一种处理方式，并按照本说明书约定通知投资者：</w:t>
      </w:r>
    </w:p>
    <w:p w14:paraId="2AEE61C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a．失效，投资者可在下一开放日正常赎回交易时间内重新提交赎回申请。</w:t>
      </w:r>
    </w:p>
    <w:p w14:paraId="162928A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b．延迟至下一个开放日办理，赎回价格为下一个开放日的价格。</w:t>
      </w:r>
    </w:p>
    <w:p w14:paraId="279C117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对于不予办理的部分，投资者是否在申请赎回时有选择撤销的权利，以销售机构为准。</w:t>
      </w:r>
    </w:p>
    <w:p w14:paraId="60DB3D6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．本产品连续【2】个以上开放日（含）发生巨额赎回，管理人有权暂停接受投资者的申购和赎回申请、</w:t>
      </w:r>
      <w:r>
        <w:rPr>
          <w:rFonts w:ascii="楷体_GB2312" w:eastAsia="楷体_GB2312" w:cs="楷体_GB2312"/>
          <w:color w:val="000000" w:themeColor="text1"/>
          <w:sz w:val="20"/>
          <w:szCs w:val="20"/>
          <w14:textFill>
            <w14:solidFill>
              <w14:schemeClr w14:val="tx1"/>
            </w14:solidFill>
          </w14:textFill>
        </w:rPr>
        <w:t>延期办理巨额赎回申请等</w:t>
      </w:r>
      <w:r>
        <w:rPr>
          <w:rFonts w:hint="eastAsia" w:ascii="楷体_GB2312" w:eastAsia="楷体_GB2312" w:cs="楷体_GB2312"/>
          <w:color w:val="000000" w:themeColor="text1"/>
          <w:sz w:val="20"/>
          <w:szCs w:val="20"/>
          <w14:textFill>
            <w14:solidFill>
              <w14:schemeClr w14:val="tx1"/>
            </w14:solidFill>
          </w14:textFill>
        </w:rPr>
        <w:t>。投资者根据管理人披露的开放日可重新进行申购和赎回。</w:t>
      </w:r>
      <w:r>
        <w:rPr>
          <w:rFonts w:ascii="楷体_GB2312" w:eastAsia="楷体_GB2312" w:cs="楷体_GB2312"/>
          <w:color w:val="000000" w:themeColor="text1"/>
          <w:sz w:val="20"/>
          <w:szCs w:val="20"/>
          <w14:textFill>
            <w14:solidFill>
              <w14:schemeClr w14:val="tx1"/>
            </w14:solidFill>
          </w14:textFill>
        </w:rPr>
        <w:t>对于已经接受的赎回申请，</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还可以延缓支付赎回款项，但延缓期限不得超过20个工作日。</w:t>
      </w:r>
    </w:p>
    <w:p w14:paraId="55CE9B10">
      <w:pPr>
        <w:spacing w:line="300" w:lineRule="exact"/>
        <w:ind w:right="36" w:rightChars="15"/>
        <w:rPr>
          <w:rFonts w:ascii="楷体_GB2312" w:eastAsia="楷体_GB2312"/>
          <w:color w:val="000000" w:themeColor="text1"/>
          <w:sz w:val="20"/>
          <w:szCs w:val="20"/>
          <w14:textFill>
            <w14:solidFill>
              <w14:schemeClr w14:val="tx1"/>
            </w14:solidFill>
          </w14:textFill>
        </w:rPr>
      </w:pPr>
    </w:p>
    <w:p w14:paraId="721F9312">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七、拒绝或暂停接受认、申购或赎回申请、延缓支付赎回款项等情形及处理</w:t>
      </w:r>
    </w:p>
    <w:p w14:paraId="7466555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405A06B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．管理人可拒绝接受或暂停接受投资者的认、申购申请的情形包括：</w:t>
      </w:r>
    </w:p>
    <w:p w14:paraId="58C0409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14:paraId="627BD8B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443502B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）本产品资产规模过大，管理人无法找到合适的投资品种，或继续接受认/申购可能对理财产品业绩产生影响；</w:t>
      </w:r>
    </w:p>
    <w:p w14:paraId="40B5654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）当管理人认为某笔认/申购申请会有损于本产品其他份额持有人利益时，或基于</w:t>
      </w:r>
      <w:r>
        <w:rPr>
          <w:rFonts w:ascii="楷体_GB2312" w:eastAsia="楷体_GB2312" w:cs="楷体_GB2312"/>
          <w:color w:val="000000" w:themeColor="text1"/>
          <w:sz w:val="20"/>
          <w:szCs w:val="20"/>
          <w14:textFill>
            <w14:solidFill>
              <w14:schemeClr w14:val="tx1"/>
            </w14:solidFill>
          </w14:textFill>
        </w:rPr>
        <w:t>投资运作和风险控制需要，</w:t>
      </w:r>
      <w:r>
        <w:rPr>
          <w:rFonts w:hint="eastAsia" w:ascii="楷体_GB2312" w:eastAsia="楷体_GB2312" w:cs="楷体_GB2312"/>
          <w:color w:val="000000" w:themeColor="text1"/>
          <w:sz w:val="20"/>
          <w:szCs w:val="20"/>
          <w14:textFill>
            <w14:solidFill>
              <w14:schemeClr w14:val="tx1"/>
            </w14:solidFill>
          </w14:textFill>
        </w:rPr>
        <w:t>可拒绝该笔认/申购申请；</w:t>
      </w:r>
    </w:p>
    <w:p w14:paraId="0E58868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）当投资者认/申购金额将导致单笔认/申购金额上限、单个投资者持仓上限、计划募集金额上限、产品规模上限等各指标超限时，或单笔认/申购金额不足认/申购金额起点</w:t>
      </w:r>
      <w:r>
        <w:rPr>
          <w:rFonts w:ascii="楷体_GB2312" w:eastAsia="楷体_GB2312" w:cs="楷体_GB2312"/>
          <w:color w:val="000000" w:themeColor="text1"/>
          <w:sz w:val="20"/>
          <w:szCs w:val="20"/>
          <w14:textFill>
            <w14:solidFill>
              <w14:schemeClr w14:val="tx1"/>
            </w14:solidFill>
          </w14:textFill>
        </w:rPr>
        <w:t>金额时，</w:t>
      </w:r>
      <w:r>
        <w:rPr>
          <w:rFonts w:hint="eastAsia" w:ascii="楷体_GB2312" w:eastAsia="楷体_GB2312" w:cs="楷体_GB2312"/>
          <w:color w:val="000000" w:themeColor="text1"/>
          <w:sz w:val="20"/>
          <w:szCs w:val="20"/>
          <w14:textFill>
            <w14:solidFill>
              <w14:schemeClr w14:val="tx1"/>
            </w14:solidFill>
          </w14:textFill>
        </w:rPr>
        <w:t>管理人有权拒绝投资者的认/申购申请；</w:t>
      </w:r>
    </w:p>
    <w:p w14:paraId="246A514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14:paraId="0D4B7F9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w:t>
      </w:r>
      <w:r>
        <w:rPr>
          <w:rFonts w:hint="eastAsia" w:ascii="楷体_GB2312" w:eastAsia="楷体_GB2312" w:cs="楷体_GB2312"/>
          <w:color w:val="000000" w:themeColor="text1"/>
          <w:sz w:val="20"/>
          <w:szCs w:val="20"/>
          <w14:textFill>
            <w14:solidFill>
              <w14:schemeClr w14:val="tx1"/>
            </w14:solidFill>
          </w14:textFill>
        </w:rPr>
        <w:t>；</w:t>
      </w:r>
    </w:p>
    <w:p w14:paraId="4ACF337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1B0F877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如果投资者的认、申购申请被拒绝，被拒绝的认、申购款项将全额退还给投资者，扣款日至资金返还日期间不计付利息。投资者通过代销机构购买理财产品的，以代销机构的规定为准。</w:t>
      </w:r>
    </w:p>
    <w:p w14:paraId="3DCD19A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．管理人可拒绝接受或暂停接受投资者的赎回申请，延缓支付赎回款项的情形包括：</w:t>
      </w:r>
    </w:p>
    <w:p w14:paraId="005EF13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）因不可抗力或国家经济金融政策发生变化等原因导致管理人不能支付赎回款项；</w:t>
      </w:r>
    </w:p>
    <w:p w14:paraId="5557BB7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21C0B0AF">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）本产品投资的公开或非公开交易市场的资产无法变现，或经管理人基于审慎的原则判断资产变现可能会对本产品投资收益造成重大不利影响的；</w:t>
      </w:r>
    </w:p>
    <w:p w14:paraId="17378EA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）本产品发生巨额赎回情形的；</w:t>
      </w:r>
    </w:p>
    <w:p w14:paraId="37EB766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）当管理人认为某笔</w:t>
      </w:r>
      <w:r>
        <w:rPr>
          <w:rFonts w:hint="eastAsia" w:ascii="楷体_GB2312" w:eastAsia="楷体_GB2312" w:cs="楷体_GB2312"/>
          <w:color w:val="000000" w:themeColor="text1"/>
          <w:sz w:val="20"/>
          <w:szCs w:val="20"/>
          <w14:textFill>
            <w14:solidFill>
              <w14:schemeClr w14:val="tx1"/>
            </w14:solidFill>
          </w14:textFill>
        </w:rPr>
        <w:t>赎回</w:t>
      </w:r>
      <w:r>
        <w:rPr>
          <w:rFonts w:ascii="楷体_GB2312" w:eastAsia="楷体_GB2312" w:cs="楷体_GB2312"/>
          <w:color w:val="000000" w:themeColor="text1"/>
          <w:sz w:val="20"/>
          <w:szCs w:val="20"/>
          <w14:textFill>
            <w14:solidFill>
              <w14:schemeClr w14:val="tx1"/>
            </w14:solidFill>
          </w14:textFill>
        </w:rPr>
        <w:t>申请会有损于本产品其他份额持有人利益时，或基于投资运作和风险控制需要；</w:t>
      </w:r>
    </w:p>
    <w:p w14:paraId="35F9AB5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单个投资者在单个开放日申请赎回份额超过产品总份额【10】</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可以暂停接受其赎回申请；已经接受的赎回申请可以延缓支付赎回款项，但延缓期限不得超过20个工作日。</w:t>
      </w:r>
    </w:p>
    <w:p w14:paraId="2F274C9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14:paraId="18E4879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14:paraId="2CB2E75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53894FF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管理人可以向连续持有少于</w:t>
      </w:r>
      <w:r>
        <w:rPr>
          <w:rFonts w:ascii="楷体_GB2312" w:eastAsia="楷体_GB2312" w:cs="楷体_GB2312"/>
          <w:color w:val="000000" w:themeColor="text1"/>
          <w:sz w:val="20"/>
          <w:szCs w:val="20"/>
          <w14:textFill>
            <w14:solidFill>
              <w14:schemeClr w14:val="tx1"/>
            </w14:solidFill>
          </w14:textFill>
        </w:rPr>
        <w:t>7日的投资者收取赎回费，并将上述赎回费全额计入理财产品财产。</w:t>
      </w:r>
    </w:p>
    <w:p w14:paraId="37860D24">
      <w:pPr>
        <w:spacing w:line="300" w:lineRule="exact"/>
        <w:ind w:firstLine="402"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5.当产品发生大额认购或赎回时，管理人可以采用摆动定价机制。摆动定价机制的相关原理与操作方法【</w:t>
      </w:r>
      <w:r>
        <w:rPr>
          <w:rFonts w:ascii="楷体_GB2312" w:eastAsia="楷体_GB2312" w:cs="楷体_GB2312"/>
          <w:b/>
          <w:sz w:val="20"/>
          <w:szCs w:val="20"/>
        </w:rPr>
        <w:t>通过调整理财产品份额净值的方式，将理财产品调整投资组合的市场冲击成本分配给实际认购、赎回的投资者，从而减少对存量理财产品份额持有人利益的不利影响</w:t>
      </w:r>
      <w:r>
        <w:rPr>
          <w:rFonts w:ascii="楷体_GB2312" w:eastAsia="楷体_GB2312" w:cs="楷体_GB2312"/>
          <w:b/>
          <w:color w:val="000000" w:themeColor="text1"/>
          <w:sz w:val="20"/>
          <w:szCs w:val="20"/>
          <w14:textFill>
            <w14:solidFill>
              <w14:schemeClr w14:val="tx1"/>
            </w14:solidFill>
          </w14:textFill>
        </w:rPr>
        <w:t>】</w:t>
      </w:r>
      <w:r>
        <w:rPr>
          <w:rFonts w:hint="eastAsia" w:ascii="楷体_GB2312" w:eastAsia="楷体_GB2312" w:cs="楷体_GB2312"/>
          <w:b/>
          <w:color w:val="000000" w:themeColor="text1"/>
          <w:sz w:val="20"/>
          <w:szCs w:val="20"/>
          <w14:textFill>
            <w14:solidFill>
              <w14:schemeClr w14:val="tx1"/>
            </w14:solidFill>
          </w14:textFill>
        </w:rPr>
        <w:t>。</w:t>
      </w:r>
    </w:p>
    <w:p w14:paraId="010C2ADC">
      <w:pPr>
        <w:spacing w:line="300" w:lineRule="exact"/>
        <w:ind w:right="96" w:rightChars="40"/>
        <w:rPr>
          <w:rFonts w:ascii="楷体_GB2312" w:eastAsia="楷体_GB2312"/>
          <w:color w:val="000000" w:themeColor="text1"/>
          <w:sz w:val="20"/>
          <w:szCs w:val="20"/>
          <w14:textFill>
            <w14:solidFill>
              <w14:schemeClr w14:val="tx1"/>
            </w14:solidFill>
          </w14:textFill>
        </w:rPr>
      </w:pPr>
    </w:p>
    <w:p w14:paraId="37E9FB15">
      <w:pPr>
        <w:spacing w:line="300" w:lineRule="exact"/>
        <w:ind w:left="-2" w:leftChars="-1" w:right="36" w:rightChars="15"/>
        <w:jc w:val="both"/>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八、理财资金分配</w:t>
      </w:r>
    </w:p>
    <w:p w14:paraId="59D63E2B">
      <w:pPr>
        <w:pStyle w:val="18"/>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ascii="黑体" w:eastAsia="黑体" w:cs="黑体"/>
          <w:color w:val="000000" w:themeColor="text1"/>
          <w:sz w:val="20"/>
          <w:szCs w:val="20"/>
          <w14:textFill>
            <w14:solidFill>
              <w14:schemeClr w14:val="tx1"/>
            </w14:solidFill>
          </w14:textFill>
        </w:rPr>
        <w:t>（一）</w:t>
      </w:r>
      <w:r>
        <w:rPr>
          <w:rFonts w:hint="eastAsia" w:ascii="黑体" w:eastAsia="黑体" w:cs="黑体"/>
          <w:color w:val="000000" w:themeColor="text1"/>
          <w:sz w:val="20"/>
          <w:szCs w:val="20"/>
          <w14:textFill>
            <w14:solidFill>
              <w14:schemeClr w14:val="tx1"/>
            </w14:solidFill>
          </w14:textFill>
        </w:rPr>
        <w:t xml:space="preserve">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期间</w:t>
      </w:r>
      <w:r>
        <w:rPr>
          <w:rFonts w:ascii="黑体" w:eastAsia="黑体" w:cs="黑体"/>
          <w:color w:val="000000" w:themeColor="text1"/>
          <w:sz w:val="20"/>
          <w:szCs w:val="20"/>
          <w14:textFill>
            <w14:solidFill>
              <w14:schemeClr w14:val="tx1"/>
            </w14:solidFill>
          </w14:textFill>
        </w:rPr>
        <w:t>分配</w:t>
      </w:r>
    </w:p>
    <w:p w14:paraId="0B1BCFF7">
      <w:pPr>
        <w:pStyle w:val="18"/>
        <w:spacing w:line="300" w:lineRule="exact"/>
        <w:ind w:left="388" w:right="96" w:rightChars="40" w:firstLine="0"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无。</w:t>
      </w:r>
    </w:p>
    <w:p w14:paraId="4505F020">
      <w:pPr>
        <w:pStyle w:val="18"/>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 xml:space="preserve">（二）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终止</w:t>
      </w:r>
      <w:r>
        <w:rPr>
          <w:rFonts w:ascii="黑体" w:eastAsia="黑体" w:cs="黑体"/>
          <w:color w:val="000000" w:themeColor="text1"/>
          <w:sz w:val="20"/>
          <w:szCs w:val="20"/>
          <w14:textFill>
            <w14:solidFill>
              <w14:schemeClr w14:val="tx1"/>
            </w14:solidFill>
          </w14:textFill>
        </w:rPr>
        <w:t>分配</w:t>
      </w:r>
    </w:p>
    <w:p w14:paraId="0FD9DAB6">
      <w:pPr>
        <w:pStyle w:val="18"/>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本产品在扣除信银理财</w:t>
      </w:r>
      <w:r>
        <w:rPr>
          <w:rFonts w:ascii="楷体_GB2312" w:eastAsia="楷体_GB2312"/>
          <w:color w:val="000000" w:themeColor="text1"/>
          <w:sz w:val="20"/>
          <w:szCs w:val="20"/>
          <w14:textFill>
            <w14:solidFill>
              <w14:schemeClr w14:val="tx1"/>
            </w14:solidFill>
          </w14:textFill>
        </w:rPr>
        <w:t>应收取费用</w:t>
      </w:r>
      <w:r>
        <w:rPr>
          <w:rFonts w:hint="eastAsia" w:ascii="楷体_GB2312" w:eastAsia="楷体_GB2312"/>
          <w:color w:val="000000" w:themeColor="text1"/>
          <w:sz w:val="20"/>
          <w:szCs w:val="20"/>
          <w14:textFill>
            <w14:solidFill>
              <w14:schemeClr w14:val="tx1"/>
            </w14:solidFill>
          </w14:textFill>
        </w:rPr>
        <w:t>及其他应由产品承担的税费后的投资损益全部归属投资者。</w:t>
      </w:r>
    </w:p>
    <w:p w14:paraId="33A83EDA">
      <w:pPr>
        <w:pStyle w:val="18"/>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后【5】个工作日内根据实际情况一次性分配，如遇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14:paraId="587FF6A7">
      <w:pPr>
        <w:pStyle w:val="18"/>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14:paraId="40264D1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p>
    <w:p w14:paraId="186959AF">
      <w:pPr>
        <w:pStyle w:val="18"/>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，产品到期日视情况将可能相应进行调整，若进行调整，信银理财将以本产品说明书约定的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14:paraId="1CA243A0">
      <w:pPr>
        <w:pStyle w:val="18"/>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1CB283E5">
      <w:pPr>
        <w:spacing w:line="300" w:lineRule="exact"/>
        <w:ind w:left="-2" w:leftChars="-1" w:right="36" w:rightChars="15"/>
        <w:rPr>
          <w:color w:val="000000" w:themeColor="text1"/>
          <w14:textFill>
            <w14:solidFill>
              <w14:schemeClr w14:val="tx1"/>
            </w14:solidFill>
          </w14:textFill>
        </w:rPr>
      </w:pPr>
    </w:p>
    <w:p w14:paraId="077AB4B2">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九、理财产品的费用</w:t>
      </w:r>
    </w:p>
    <w:p w14:paraId="15792C9F">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1640E766">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2．认购费：</w:t>
      </w:r>
      <w:r>
        <w:rPr>
          <w:rFonts w:ascii="楷体_GB2312" w:eastAsia="楷体_GB2312" w:cs="楷体_GB2312"/>
          <w:b/>
          <w:sz w:val="20"/>
          <w:szCs w:val="20"/>
        </w:rPr>
        <w:t>B类份额不收取认购费，G类份额不收取认购费，M类份额不收取认购费，T类份额不收取认购费，X类份额不收取认购费</w:t>
      </w:r>
      <w:r>
        <w:rPr>
          <w:rFonts w:ascii="楷体_GB2312" w:eastAsia="楷体_GB2312" w:cs="楷体_GB2312"/>
          <w:b/>
          <w:color w:val="000000" w:themeColor="text1"/>
          <w:sz w:val="20"/>
          <w:szCs w:val="20"/>
          <w14:textFill>
            <w14:solidFill>
              <w14:schemeClr w14:val="tx1"/>
            </w14:solidFill>
          </w14:textFill>
        </w:rPr>
        <w:t>。</w:t>
      </w:r>
    </w:p>
    <w:p w14:paraId="52F9EFD9">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3．申购费：</w:t>
      </w:r>
      <w:r>
        <w:rPr>
          <w:rFonts w:ascii="楷体_GB2312" w:eastAsia="楷体_GB2312" w:cs="楷体_GB2312"/>
          <w:b/>
          <w:sz w:val="20"/>
          <w:szCs w:val="20"/>
        </w:rPr>
        <w:t>B类份额不收取申购费，G类份额不收取申购费，M类份额不收取申购费，T类份额不收取申购费，X类份额不收取申购费</w:t>
      </w:r>
      <w:r>
        <w:rPr>
          <w:rFonts w:ascii="楷体_GB2312" w:eastAsia="楷体_GB2312" w:cs="楷体_GB2312"/>
          <w:b/>
          <w:color w:val="000000" w:themeColor="text1"/>
          <w:sz w:val="20"/>
          <w:szCs w:val="20"/>
          <w14:textFill>
            <w14:solidFill>
              <w14:schemeClr w14:val="tx1"/>
            </w14:solidFill>
          </w14:textFill>
        </w:rPr>
        <w:t>。</w:t>
      </w:r>
    </w:p>
    <w:p w14:paraId="59732FB9">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4．赎回费：</w:t>
      </w:r>
      <w:r>
        <w:rPr>
          <w:rFonts w:ascii="楷体_GB2312" w:eastAsia="楷体_GB2312" w:cs="楷体_GB2312"/>
          <w:b/>
          <w:sz w:val="20"/>
          <w:szCs w:val="20"/>
        </w:rPr>
        <w:t>B类份额不收取赎回费，G类份额不收取赎回费，M类份额不收取赎回费，T类份额不收取赎回费，X类份额不收取赎回费</w:t>
      </w:r>
      <w:r>
        <w:rPr>
          <w:rFonts w:ascii="楷体_GB2312" w:eastAsia="楷体_GB2312" w:cs="楷体_GB2312"/>
          <w:b/>
          <w:color w:val="000000" w:themeColor="text1"/>
          <w:sz w:val="20"/>
          <w:szCs w:val="20"/>
          <w14:textFill>
            <w14:solidFill>
              <w14:schemeClr w14:val="tx1"/>
            </w14:solidFill>
          </w14:textFill>
        </w:rPr>
        <w:t>。</w:t>
      </w:r>
    </w:p>
    <w:p w14:paraId="32FAA885">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5．销售服务费</w:t>
      </w:r>
    </w:p>
    <w:p w14:paraId="551FC7C3">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sz w:val="20"/>
          <w:szCs w:val="20"/>
        </w:rPr>
        <w:t>B类份额费率【0.30%】/年，G类份额费率【0.30%】/年，M类份额费率【0.30%】/年，T类份额费率【0.30%】/年，X类份额费率【0.30%】/年</w:t>
      </w:r>
      <w:r>
        <w:rPr>
          <w:rFonts w:hint="eastAsia" w:ascii="楷体_GB2312" w:eastAsia="楷体_GB2312" w:cs="楷体_GB2312"/>
          <w:b/>
          <w:sz w:val="20"/>
          <w:szCs w:val="20"/>
        </w:rPr>
        <w:t>，</w:t>
      </w:r>
      <w:r>
        <w:rPr>
          <w:rFonts w:ascii="楷体_GB2312" w:eastAsia="楷体_GB2312" w:cs="楷体_GB2312"/>
          <w:b/>
          <w:color w:val="000000" w:themeColor="text1"/>
          <w:sz w:val="20"/>
          <w:szCs w:val="20"/>
          <w14:textFill>
            <w14:solidFill>
              <w14:schemeClr w14:val="tx1"/>
            </w14:solidFill>
          </w14:textFill>
        </w:rPr>
        <w:t>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ascii="楷体_GB2312" w:eastAsia="楷体_GB2312" w:cs="楷体_GB2312"/>
          <w:b/>
          <w:color w:val="000000" w:themeColor="text1"/>
          <w:sz w:val="20"/>
          <w:szCs w:val="20"/>
          <w14:textFill>
            <w14:solidFill>
              <w14:schemeClr w14:val="tx1"/>
            </w14:solidFill>
          </w14:textFill>
        </w:rPr>
        <w:t>】。</w:t>
      </w:r>
    </w:p>
    <w:p w14:paraId="3F3F6EB0">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销售服务费每日计提，按【季】支付，由管理人向托管人发送指令，托管人复核后按【季】从资产中一次性支付。投资者通过代销机构购买理财产品的，代销机构收取的销售相关费用以代销机构规定为准。</w:t>
      </w:r>
    </w:p>
    <w:p w14:paraId="7F863086">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5A0075AC">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6．托管费</w:t>
      </w:r>
    </w:p>
    <w:p w14:paraId="5EAF1E06">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费率【0.03%】/年，计算方式为【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ascii="楷体_GB2312" w:eastAsia="楷体_GB2312" w:cs="楷体_GB2312"/>
          <w:b/>
          <w:color w:val="000000" w:themeColor="text1"/>
          <w:sz w:val="20"/>
          <w:szCs w:val="20"/>
          <w14:textFill>
            <w14:solidFill>
              <w14:schemeClr w14:val="tx1"/>
            </w14:solidFill>
          </w14:textFill>
        </w:rPr>
        <w:t>】。</w:t>
      </w:r>
    </w:p>
    <w:p w14:paraId="7F1FC483">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托管费每日计提，按【年】支付，由管理人向托管人发送指令，托管人复核后从资产中一次性支付。</w:t>
      </w:r>
    </w:p>
    <w:p w14:paraId="00C2CADB">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7．固定管理费</w:t>
      </w:r>
    </w:p>
    <w:p w14:paraId="4BECF160">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费率【0.30%】/年，计算方式为【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ascii="楷体_GB2312" w:eastAsia="楷体_GB2312" w:cs="楷体_GB2312"/>
          <w:b/>
          <w:color w:val="000000" w:themeColor="text1"/>
          <w:sz w:val="20"/>
          <w:szCs w:val="20"/>
          <w14:textFill>
            <w14:solidFill>
              <w14:schemeClr w14:val="tx1"/>
            </w14:solidFill>
          </w14:textFill>
        </w:rPr>
        <w:t>】。</w:t>
      </w:r>
    </w:p>
    <w:p w14:paraId="5BF4C418">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固定管理费每日计提，按【月】支付，由管理人向托管人发送指令，托管人复核后从资产中一次性支付。</w:t>
      </w:r>
    </w:p>
    <w:p w14:paraId="5813B851">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8</w:t>
      </w:r>
      <w:r>
        <w:rPr>
          <w:rFonts w:ascii="楷体_GB2312" w:eastAsia="楷体_GB2312" w:cs="楷体_GB2312"/>
          <w:b/>
          <w:color w:val="000000" w:themeColor="text1"/>
          <w:sz w:val="20"/>
          <w:szCs w:val="20"/>
          <w14:textFill>
            <w14:solidFill>
              <w14:schemeClr w14:val="tx1"/>
            </w14:solidFill>
          </w14:textFill>
        </w:rPr>
        <w:t>．浮动管理费</w:t>
      </w:r>
    </w:p>
    <w:p w14:paraId="33E5F6EF">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B类份额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37CF062A">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G类份额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3AF64070">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M类份额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1412CB87">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T类份额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326B86D6">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X类份额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14AA34E6">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9</w:t>
      </w:r>
      <w:r>
        <w:rPr>
          <w:rFonts w:ascii="楷体_GB2312" w:eastAsia="楷体_GB2312" w:cs="楷体_GB2312"/>
          <w:b/>
          <w:color w:val="000000" w:themeColor="text1"/>
          <w:sz w:val="20"/>
          <w:szCs w:val="20"/>
          <w14:textFill>
            <w14:solidFill>
              <w14:schemeClr w14:val="tx1"/>
            </w14:solidFill>
          </w14:textFill>
        </w:rPr>
        <w:t>．产品运作和清算中产生的其他资金汇划费、结算费、交易手续费、注册登记费、信息披露费、账户服务费、审计费、律师费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及按照法律法规规章规定和理财产品销售文件约定应由产品承担的费用等，按照实际发生时从产品资产中列支。</w:t>
      </w:r>
    </w:p>
    <w:p w14:paraId="5BE6C0E6">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14:paraId="3E830DB9">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十、资产估值</w:t>
      </w:r>
    </w:p>
    <w:p w14:paraId="45F86B2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14:paraId="6634004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产品的估值日为</w:t>
      </w:r>
      <w:r>
        <w:rPr>
          <w:rFonts w:hint="eastAsia" w:ascii="楷体_GB2312" w:eastAsia="楷体_GB2312" w:cs="楷体_GB2312"/>
          <w:color w:val="000000" w:themeColor="text1"/>
          <w:sz w:val="20"/>
          <w:szCs w:val="20"/>
          <w14:textFill>
            <w14:solidFill>
              <w14:schemeClr w14:val="tx1"/>
            </w14:solidFill>
          </w14:textFill>
        </w:rPr>
        <w:t>产品开放日、净值披露日和收益分配日</w:t>
      </w:r>
      <w:r>
        <w:rPr>
          <w:rFonts w:ascii="楷体_GB2312" w:eastAsia="楷体_GB2312" w:cs="楷体_GB2312"/>
          <w:color w:val="000000" w:themeColor="text1"/>
          <w:sz w:val="20"/>
          <w:szCs w:val="20"/>
          <w14:textFill>
            <w14:solidFill>
              <w14:schemeClr w14:val="tx1"/>
            </w14:solidFill>
          </w14:textFill>
        </w:rPr>
        <w:t>。</w:t>
      </w:r>
    </w:p>
    <w:p w14:paraId="44B247B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14:paraId="53EB3B77">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【理财产品所投资各类资产原则上按照公允价值估值。</w:t>
      </w:r>
    </w:p>
    <w:p w14:paraId="025515F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14:paraId="1538F82E">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14:paraId="4595C6D1">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14:paraId="1DF9230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按第三方估值机构（中债、中证等）提供的相应品种当日的估值净价进行估值，未获取到第三方估值结果的，按照最新监管规定进行估值。</w:t>
      </w:r>
    </w:p>
    <w:p w14:paraId="79C2B5D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14:paraId="3DC6C635">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4）未上市基金估值</w:t>
      </w:r>
    </w:p>
    <w:p w14:paraId="0DAEB5A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14:paraId="027B6558">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境内未上市的非货币市场基金，按基金管理人公布能获取到的最新份额净值估值。</w:t>
      </w:r>
    </w:p>
    <w:p w14:paraId="52EB91B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5）信托计划、资管计划、私募基金等资产，以对方管理人披露的可获取到的最新净值，或前一估值日后至估值日期间（含节假日）能获取到的最新万分收益进行估值。</w:t>
      </w:r>
    </w:p>
    <w:p w14:paraId="32432FB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6）非标准化债权，存在并可以确定公允价值的，以公允价值估值；公允价值不能确定的，按照最新监管规定或管理人认可的估值技术进行估值。</w:t>
      </w:r>
    </w:p>
    <w:p w14:paraId="568B775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3F6D62D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8）期货、互换、期权等衍生金融工具，有活跃市场的交易，以最近交易日结算价或收盘价进行估值；无活跃市场的交易，按照第三方机构提供的估值数据或管理人认可的估值技术进行估值。</w:t>
      </w:r>
    </w:p>
    <w:p w14:paraId="627510E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9）若本产品存续期间持有其他投资品种，以管理人和托管人共同认可的方法估值。</w:t>
      </w:r>
    </w:p>
    <w:p w14:paraId="4016E029">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48A26819">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14:paraId="64F720A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按照以上估值方法进行估值时，所造成的误差不作为理财产品估值错误处理。】</w:t>
      </w:r>
    </w:p>
    <w:p w14:paraId="3CF8767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w:t>
      </w:r>
      <w:r>
        <w:rPr>
          <w:rFonts w:hint="eastAsia" w:ascii="楷体_GB2312" w:eastAsia="楷体_GB2312" w:cs="楷体_GB2312"/>
          <w:color w:val="000000" w:themeColor="text1"/>
          <w:sz w:val="20"/>
          <w:szCs w:val="20"/>
          <w14:textFill>
            <w14:solidFill>
              <w14:schemeClr w14:val="tx1"/>
            </w14:solidFill>
          </w14:textFill>
        </w:rPr>
        <w:t>处理</w:t>
      </w:r>
    </w:p>
    <w:p w14:paraId="6E918C5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本产品管理人和托管人将采取必要、适当合理的措施确保资产估值的准确性、及时性。当单位净值出现错误时，本产品管理人和托管人应当立即予以纠正，并采取合理的措施防止损失进一步扩大。</w:t>
      </w:r>
    </w:p>
    <w:p w14:paraId="557801C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1）估值错误处理原则</w:t>
      </w:r>
    </w:p>
    <w:p w14:paraId="77E9EA3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A由于管理人或托管人自身的过错造成估值错误，导致投资者遭受损失的，由估值错误责任方按照各自过错程度对该估值错误导致投资者遭受的直接损失给予赔偿，承担赔偿责任。</w:t>
      </w:r>
    </w:p>
    <w:p w14:paraId="63CB2A8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对于因技术原因引起的差错，若系同行业现有技术水平无法预见、无法避免、无法抗拒，属不可抗力。因不可抗力原因出现差错的当事人不对投资者承担赔偿责任，但应当积极采取必要措施消除差错带来的影响。</w:t>
      </w:r>
    </w:p>
    <w:p w14:paraId="042B624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14:paraId="0F65DA1F">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D当估值出现错误时，因估值错误而获得不当得利的投资者负有及时返还不当得利的义务。</w:t>
      </w:r>
    </w:p>
    <w:p w14:paraId="516D7DB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E按法律法规规定的其他原则处理估值错误。</w:t>
      </w:r>
    </w:p>
    <w:p w14:paraId="707C1CD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2）估值错误处理程序</w:t>
      </w:r>
    </w:p>
    <w:p w14:paraId="646B0B4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14:paraId="799D161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A查明估值错误发生的原因，列明所有的管理人和托管人并根据估值错误发生的原因确定估值错误的责任方；</w:t>
      </w:r>
    </w:p>
    <w:p w14:paraId="1A651BA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B根据估值错误处理原则对因估值错误造成的损失进行评估；</w:t>
      </w:r>
    </w:p>
    <w:p w14:paraId="33E3224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C根据管理人和托管人协商的方法，由管理人和托管人共同进行更正，由估值错误的责任方进行赔偿损失。</w:t>
      </w:r>
    </w:p>
    <w:p w14:paraId="2BA799C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特殊情况的处理</w:t>
      </w:r>
    </w:p>
    <w:p w14:paraId="57C3047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14:paraId="6F8E2FC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2）前述内容如法律法规、监管机关另有规定的，或有关会计准则发生变化等，按照国家最新规定或管理人最新约定估值。如果行业另有通行做法，管理人和托管人本着平等和保护投资者的原则进行协商。</w:t>
      </w:r>
    </w:p>
    <w:p w14:paraId="6F9AC818">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5．暂停估值的情形</w:t>
      </w:r>
    </w:p>
    <w:p w14:paraId="45E7974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14:paraId="3D85130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2）理财产品投资所涉及的交易市场遇法定节假日或因其他原因暂停营业时；</w:t>
      </w:r>
    </w:p>
    <w:p w14:paraId="59ABAC5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14:paraId="1DAF165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14:paraId="721F491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14:paraId="60C15AB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遇以上情形，管理人可暂停本产品估值直至另行通知。</w:t>
      </w:r>
    </w:p>
    <w:p w14:paraId="74C2F7F9">
      <w:pPr>
        <w:snapToGrid w:val="0"/>
        <w:spacing w:line="300" w:lineRule="exact"/>
        <w:ind w:right="53" w:rightChars="22"/>
        <w:outlineLvl w:val="0"/>
        <w:rPr>
          <w:rFonts w:ascii="楷体_GB2312" w:eastAsia="楷体_GB2312"/>
          <w:color w:val="000000" w:themeColor="text1"/>
          <w:sz w:val="20"/>
          <w:szCs w:val="20"/>
          <w14:textFill>
            <w14:solidFill>
              <w14:schemeClr w14:val="tx1"/>
            </w14:solidFill>
          </w14:textFill>
        </w:rPr>
      </w:pPr>
    </w:p>
    <w:p w14:paraId="76AFFA33">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十一、产品不成立</w:t>
      </w:r>
    </w:p>
    <w:p w14:paraId="581E6259">
      <w:pPr>
        <w:spacing w:line="300" w:lineRule="exact"/>
        <w:ind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14:paraId="151F3250">
      <w:pPr>
        <w:spacing w:line="300" w:lineRule="exact"/>
        <w:ind w:firstLine="400" w:firstLineChars="200"/>
        <w:jc w:val="both"/>
        <w:rPr>
          <w:rFonts w:ascii="Times New Roman" w:hAnsi="Times New Roman"/>
          <w:b/>
          <w:bCs/>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14:textFill>
            <w14:solidFill>
              <w14:schemeClr w14:val="tx1"/>
            </w14:solidFill>
          </w14:textFill>
        </w:rPr>
        <w:t> </w:t>
      </w:r>
    </w:p>
    <w:p w14:paraId="62CD5A0A">
      <w:pPr>
        <w:spacing w:line="300" w:lineRule="exact"/>
        <w:ind w:left="-2" w:leftChars="-1" w:right="36" w:rightChars="15" w:firstLine="480" w:firstLineChars="200"/>
        <w:jc w:val="both"/>
        <w:rPr>
          <w:color w:val="000000" w:themeColor="text1"/>
          <w14:textFill>
            <w14:solidFill>
              <w14:schemeClr w14:val="tx1"/>
            </w14:solidFill>
          </w14:textFill>
        </w:rPr>
      </w:pPr>
    </w:p>
    <w:p w14:paraId="1A62C1FE">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十二、产品的提前终止</w:t>
      </w:r>
    </w:p>
    <w:p w14:paraId="5F8A966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62B886D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（1）遇不可</w:t>
      </w:r>
      <w:r>
        <w:rPr>
          <w:rFonts w:ascii="楷体_GB2312" w:eastAsia="楷体_GB2312" w:cs="楷体_GB2312"/>
          <w:color w:val="000000" w:themeColor="text1"/>
          <w:sz w:val="20"/>
          <w:szCs w:val="20"/>
          <w14:textFill>
            <w14:solidFill>
              <w14:schemeClr w14:val="tx1"/>
            </w14:solidFill>
          </w14:textFill>
        </w:rPr>
        <w:t>抗力事件</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规定、</w:t>
      </w:r>
      <w:r>
        <w:rPr>
          <w:rFonts w:ascii="楷体_GB2312" w:eastAsia="楷体_GB2312" w:cs="楷体_GB2312"/>
          <w:color w:val="000000" w:themeColor="text1"/>
          <w:sz w:val="20"/>
          <w:szCs w:val="20"/>
          <w14:textFill>
            <w14:solidFill>
              <w14:schemeClr w14:val="tx1"/>
            </w14:solidFill>
          </w14:textFill>
        </w:rPr>
        <w:t>国家有权机关强制要求等原因导致理财产品无法继续存续</w:t>
      </w:r>
      <w:r>
        <w:rPr>
          <w:rFonts w:hint="eastAsia" w:ascii="楷体_GB2312" w:eastAsia="楷体_GB2312" w:cs="楷体_GB2312"/>
          <w:color w:val="000000" w:themeColor="text1"/>
          <w:sz w:val="20"/>
          <w:szCs w:val="20"/>
          <w14:textFill>
            <w14:solidFill>
              <w14:schemeClr w14:val="tx1"/>
            </w14:solidFill>
          </w14:textFill>
        </w:rPr>
        <w:t>的；</w:t>
      </w:r>
    </w:p>
    <w:p w14:paraId="5C18EFD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（2）遇国家金融政策出现重大调整，或本产品所投资资产市场价格大幅下滑，或信银理财认为将</w:t>
      </w:r>
      <w:r>
        <w:rPr>
          <w:rFonts w:ascii="楷体_GB2312" w:eastAsia="楷体_GB2312" w:cs="楷体_GB2312"/>
          <w:color w:val="000000" w:themeColor="text1"/>
          <w:sz w:val="20"/>
          <w:szCs w:val="20"/>
          <w14:textFill>
            <w14:solidFill>
              <w14:schemeClr w14:val="tx1"/>
            </w14:solidFill>
          </w14:textFill>
        </w:rPr>
        <w:t>影响理财产品正常运作</w:t>
      </w:r>
      <w:r>
        <w:rPr>
          <w:rFonts w:hint="eastAsia" w:ascii="楷体_GB2312" w:eastAsia="楷体_GB2312" w:cs="楷体_GB2312"/>
          <w:color w:val="000000" w:themeColor="text1"/>
          <w:sz w:val="20"/>
          <w:szCs w:val="20"/>
          <w14:textFill>
            <w14:solidFill>
              <w14:schemeClr w14:val="tx1"/>
            </w14:solidFill>
          </w14:textFill>
        </w:rPr>
        <w:t>、需要提前终止本产品的其他情形的；</w:t>
      </w:r>
    </w:p>
    <w:p w14:paraId="43B6FFB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（3）本产品所投资资产的信用状况发生恶化，信银理财合理判断可能影响到期正常兑付时；</w:t>
      </w:r>
    </w:p>
    <w:p w14:paraId="5E7D418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（4）因投资者理财资金被有权机关扣划等原因导致理财产品剩余资产无法满足相关法律法规规定、所投资市场要求或协议等相关法律文件约定，或者继续存续无法实现投资目的；</w:t>
      </w:r>
    </w:p>
    <w:p w14:paraId="0647084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（5）因相关投资管理机构解散、破产、撤销、被取消业务资格等原因无法继续履行相应职责导致产品无法继续运作；</w:t>
      </w:r>
    </w:p>
    <w:p w14:paraId="6E14219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（6）相关投资管理机构或运用理财资金的第三方主体实施符合法律法规规定或协议等相关文件约定的行为导致理财产品被动提前终止；</w:t>
      </w:r>
    </w:p>
    <w:p w14:paraId="155898D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（7）提前终止产品比维持产品运作更有利于保护产品持有人的权益；</w:t>
      </w:r>
    </w:p>
    <w:p w14:paraId="02ECFA0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（8）法律法规规定或监管部门认定的其他情形。</w:t>
      </w:r>
    </w:p>
    <w:p w14:paraId="5840AAA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如果信银理财提前终止本理财产品，信银理财将于提前终止日前【2】个工作日通知投资者，并在提前终止日后【5】个工作日内支付投资者应得</w:t>
      </w:r>
      <w:r>
        <w:rPr>
          <w:rFonts w:ascii="楷体_GB2312" w:eastAsia="楷体_GB2312" w:cs="楷体_GB2312"/>
          <w:color w:val="000000" w:themeColor="text1"/>
          <w:sz w:val="20"/>
          <w:szCs w:val="20"/>
          <w14:textFill>
            <w14:solidFill>
              <w14:schemeClr w14:val="tx1"/>
            </w14:solidFill>
          </w14:textFill>
        </w:rPr>
        <w:t>资金</w:t>
      </w:r>
      <w:r>
        <w:rPr>
          <w:rFonts w:hint="eastAsia" w:ascii="楷体_GB2312" w:eastAsia="楷体_GB2312" w:cs="楷体_GB2312"/>
          <w:color w:val="000000" w:themeColor="text1"/>
          <w:sz w:val="20"/>
          <w:szCs w:val="20"/>
          <w14:textFill>
            <w14:solidFill>
              <w14:schemeClr w14:val="tx1"/>
            </w14:solidFill>
          </w14:textFill>
        </w:rPr>
        <w:t>。投资者通过</w:t>
      </w:r>
      <w:r>
        <w:rPr>
          <w:rFonts w:ascii="楷体_GB2312" w:eastAsia="楷体_GB2312" w:cs="楷体_GB2312"/>
          <w:color w:val="000000" w:themeColor="text1"/>
          <w:sz w:val="20"/>
          <w:szCs w:val="20"/>
          <w14:textFill>
            <w14:solidFill>
              <w14:schemeClr w14:val="tx1"/>
            </w14:solidFill>
          </w14:textFill>
        </w:rPr>
        <w:t>代销机构购买本理财产品的</w:t>
      </w:r>
      <w:r>
        <w:rPr>
          <w:rFonts w:hint="eastAsia" w:ascii="楷体_GB2312" w:eastAsia="楷体_GB2312" w:cs="楷体_GB2312"/>
          <w:color w:val="000000" w:themeColor="text1"/>
          <w:sz w:val="20"/>
          <w:szCs w:val="20"/>
          <w14:textFill>
            <w14:solidFill>
              <w14:schemeClr w14:val="tx1"/>
            </w14:solidFill>
          </w14:textFill>
        </w:rPr>
        <w:t>，理财资金划转至投资者账户的时间以该代销机构的清算时间为准。若产品提前终止，产品到期日相应调整为提前终止日。</w:t>
      </w:r>
    </w:p>
    <w:p w14:paraId="43E050F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．理财产品不因投资者死亡、丧失民事行为能力、破产而终止；投资者的法定继承人、承继人或指定受益人以及继任管理人承担本理财产品项下的相应权利和义务。</w:t>
      </w:r>
    </w:p>
    <w:p w14:paraId="5AA3F8BF">
      <w:pPr>
        <w:snapToGrid w:val="0"/>
        <w:ind w:left="-2" w:leftChars="-1" w:right="53" w:rightChars="22" w:firstLine="480" w:firstLineChars="200"/>
        <w:jc w:val="both"/>
        <w:rPr>
          <w:color w:val="000000" w:themeColor="text1"/>
          <w14:textFill>
            <w14:solidFill>
              <w14:schemeClr w14:val="tx1"/>
            </w14:solidFill>
          </w14:textFill>
        </w:rPr>
      </w:pPr>
    </w:p>
    <w:p w14:paraId="1399FA79">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十三、产品的延期清算</w:t>
      </w:r>
    </w:p>
    <w:p w14:paraId="152AB95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14:paraId="2315201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w:t>
      </w:r>
    </w:p>
    <w:p w14:paraId="7C7CD1E4">
      <w:pPr>
        <w:snapToGrid w:val="0"/>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十四、产品管理人与投资者权利义务</w:t>
      </w:r>
    </w:p>
    <w:p w14:paraId="5B8D193A">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产品管理人声明与保证</w:t>
      </w:r>
    </w:p>
    <w:p w14:paraId="4F0DBA95">
      <w:pPr>
        <w:snapToGrid w:val="0"/>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14:paraId="5CBBD146">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14:paraId="2C5860E5">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投资者声明与保证</w:t>
      </w:r>
    </w:p>
    <w:p w14:paraId="5589EB56">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，不存在法律、行政法规有关规定禁止或限制投资理财产品的情形（适用于个人投资者）。</w:t>
      </w:r>
    </w:p>
    <w:p w14:paraId="27161A49">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所需的一切有关批准、许可、备案或者登记（适用于机构投资者）；</w:t>
      </w:r>
    </w:p>
    <w:p w14:paraId="15FB2668">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投资者保证以真实身份投资本理财产品，保证提供给产品管理人和代销机构的信息和资料均真实、准确、完整、合法。如投资者的信息和/或资料发生变更，应当及时书面告知产品管理人或代销机构；</w:t>
      </w:r>
    </w:p>
    <w:p w14:paraId="5EFD2CFC">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14:paraId="31B3AB25">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14:paraId="54B97DFC">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14:paraId="6B231AB0">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ascii="Times New Roman" w:hAnsi="Times New Roman" w:eastAsia="楷体_GB2312" w:cs="楷体_GB2312"/>
          <w:b/>
          <w:color w:val="000000" w:themeColor="text1"/>
          <w:sz w:val="20"/>
          <w:szCs w:val="20"/>
          <w14:textFill>
            <w14:solidFill>
              <w14:schemeClr w14:val="tx1"/>
            </w14:solidFill>
          </w14:textFill>
        </w:rPr>
        <w:t>投资者不利用本理财业务及本理财产品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项下理财产品从事违法活动；</w:t>
      </w:r>
    </w:p>
    <w:p w14:paraId="3CC3D297">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（7）</w:t>
      </w:r>
      <w:r>
        <w:rPr>
          <w:rFonts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14:paraId="3F72C00D">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（8）</w:t>
      </w:r>
      <w:r>
        <w:rPr>
          <w:rFonts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14:paraId="303E7A5B">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（9）</w:t>
      </w:r>
      <w:r>
        <w:rPr>
          <w:rFonts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14:paraId="67E8C169">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双方同意</w:t>
      </w:r>
    </w:p>
    <w:p w14:paraId="6750B681">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14:paraId="1E765925">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或本理财产品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项下的任何权利、利益、权益（包括单独和整体）。</w:t>
      </w:r>
    </w:p>
    <w:p w14:paraId="3D469198">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14:paraId="574C540D">
      <w:pPr>
        <w:spacing w:line="300" w:lineRule="exact"/>
        <w:ind w:left="400" w:right="29" w:rightChars="12" w:hanging="400" w:hangingChars="200"/>
        <w:rPr>
          <w:rFonts w:ascii="黑体" w:eastAsia="黑体" w:cs="黑体"/>
          <w:color w:val="000000" w:themeColor="text1"/>
          <w:sz w:val="20"/>
          <w:szCs w:val="20"/>
          <w14:textFill>
            <w14:solidFill>
              <w14:schemeClr w14:val="tx1"/>
            </w14:solidFill>
          </w14:textFill>
        </w:rPr>
      </w:pPr>
    </w:p>
    <w:p w14:paraId="26415CC7">
      <w:pPr>
        <w:spacing w:line="300" w:lineRule="exact"/>
        <w:ind w:left="402" w:right="29" w:rightChars="12" w:hanging="402" w:hangingChars="20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十五、保密</w:t>
      </w:r>
      <w:r>
        <w:rPr>
          <w:rFonts w:ascii="黑体" w:eastAsia="黑体" w:cs="黑体"/>
          <w:b/>
          <w:color w:val="000000" w:themeColor="text1"/>
          <w:sz w:val="20"/>
          <w:szCs w:val="20"/>
          <w14:textFill>
            <w14:solidFill>
              <w14:schemeClr w14:val="tx1"/>
            </w14:solidFill>
          </w14:textFill>
        </w:rPr>
        <w:t>条款</w:t>
      </w:r>
    </w:p>
    <w:p w14:paraId="349100E8">
      <w:pPr>
        <w:pStyle w:val="18"/>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51AFBD39">
      <w:pPr>
        <w:pStyle w:val="18"/>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14:paraId="768295E7">
      <w:pPr>
        <w:pStyle w:val="18"/>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根据监管机构要求，管理人（特指除本理财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的管理人信银理财之外的其他管理人，包括但不限于本理财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14:paraId="39DC8A1D">
      <w:pPr>
        <w:spacing w:line="300" w:lineRule="exact"/>
        <w:ind w:right="29" w:rightChars="12"/>
        <w:rPr>
          <w:rFonts w:ascii="黑体" w:eastAsia="黑体" w:cs="黑体"/>
          <w:color w:val="000000" w:themeColor="text1"/>
          <w:sz w:val="20"/>
          <w:szCs w:val="20"/>
          <w14:textFill>
            <w14:solidFill>
              <w14:schemeClr w14:val="tx1"/>
            </w14:solidFill>
          </w14:textFill>
        </w:rPr>
      </w:pPr>
    </w:p>
    <w:p w14:paraId="5CAB5F76">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十六、特别提示</w:t>
      </w:r>
    </w:p>
    <w:p w14:paraId="357A2568">
      <w:pPr>
        <w:spacing w:line="300" w:lineRule="exact"/>
        <w:ind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1．本产品面临的风险包括信用风险、市场风险、流动性风险、提前终止风险、政策风险、信息传递风险、管理风险、延期清算风险、</w:t>
      </w:r>
      <w:r>
        <w:rPr>
          <w:rFonts w:hint="eastAsia" w:ascii="楷体_GB2312" w:eastAsia="楷体_GB2312" w:cs="楷体_GB2312"/>
          <w:b/>
          <w:color w:val="000000" w:themeColor="text1"/>
          <w:sz w:val="20"/>
          <w:szCs w:val="20"/>
          <w14:textFill>
            <w14:solidFill>
              <w14:schemeClr w14:val="tx1"/>
            </w14:solidFill>
          </w14:textFill>
        </w:rPr>
        <w:t>理财</w:t>
      </w:r>
      <w:r>
        <w:rPr>
          <w:rFonts w:ascii="楷体_GB2312" w:eastAsia="楷体_GB2312" w:cs="楷体_GB2312"/>
          <w:b/>
          <w:color w:val="000000" w:themeColor="text1"/>
          <w:sz w:val="20"/>
          <w:szCs w:val="20"/>
          <w14:textFill>
            <w14:solidFill>
              <w14:schemeClr w14:val="tx1"/>
            </w14:solidFill>
          </w14:textFill>
        </w:rPr>
        <w:t>产品不成立风险、不可抗力及意外事件风险、</w:t>
      </w:r>
      <w:r>
        <w:rPr>
          <w:rFonts w:hint="eastAsia" w:ascii="楷体_GB2312" w:eastAsia="楷体_GB2312" w:cs="楷体_GB2312"/>
          <w:b/>
          <w:color w:val="000000" w:themeColor="text1"/>
          <w:sz w:val="20"/>
          <w:szCs w:val="20"/>
          <w14:textFill>
            <w14:solidFill>
              <w14:schemeClr w14:val="tx1"/>
            </w14:solidFill>
          </w14:textFill>
        </w:rPr>
        <w:t>理财本金全部损失风险、</w:t>
      </w:r>
      <w:r>
        <w:rPr>
          <w:rFonts w:ascii="楷体_GB2312" w:eastAsia="楷体_GB2312" w:cs="楷体_GB2312"/>
          <w:b/>
          <w:color w:val="000000" w:themeColor="text1"/>
          <w:sz w:val="20"/>
          <w:szCs w:val="20"/>
          <w14:textFill>
            <w14:solidFill>
              <w14:schemeClr w14:val="tx1"/>
            </w14:solidFill>
          </w14:textFill>
        </w:rPr>
        <w:t>合作销售机构</w:t>
      </w:r>
      <w:r>
        <w:rPr>
          <w:rFonts w:hint="eastAsia" w:ascii="楷体_GB2312" w:eastAsia="楷体_GB2312" w:cs="楷体_GB2312"/>
          <w:b/>
          <w:color w:val="000000" w:themeColor="text1"/>
          <w:sz w:val="20"/>
          <w:szCs w:val="20"/>
          <w14:textFill>
            <w14:solidFill>
              <w14:schemeClr w14:val="tx1"/>
            </w14:solidFill>
          </w14:textFill>
        </w:rPr>
        <w:t>（代销机构）</w:t>
      </w:r>
      <w:r>
        <w:rPr>
          <w:rFonts w:ascii="楷体_GB2312" w:eastAsia="楷体_GB2312" w:cs="楷体_GB2312"/>
          <w:b/>
          <w:color w:val="000000" w:themeColor="text1"/>
          <w:sz w:val="20"/>
          <w:szCs w:val="20"/>
          <w14:textFill>
            <w14:solidFill>
              <w14:schemeClr w14:val="tx1"/>
            </w14:solidFill>
          </w14:textFill>
        </w:rPr>
        <w:t>风险、操作风险</w:t>
      </w:r>
      <w:r>
        <w:rPr>
          <w:rFonts w:hint="eastAsia" w:ascii="楷体_GB2312" w:eastAsia="楷体_GB2312" w:cs="楷体_GB2312"/>
          <w:b/>
          <w:color w:val="000000" w:themeColor="text1"/>
          <w:sz w:val="20"/>
          <w:szCs w:val="20"/>
          <w14:textFill>
            <w14:solidFill>
              <w14:schemeClr w14:val="tx1"/>
            </w14:solidFill>
          </w14:textFill>
        </w:rPr>
        <w:t>、关联交易风险</w:t>
      </w:r>
      <w:r>
        <w:rPr>
          <w:rFonts w:ascii="楷体_GB2312" w:eastAsia="楷体_GB2312" w:cs="楷体_GB2312"/>
          <w:b/>
          <w:color w:val="000000" w:themeColor="text1"/>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14:paraId="29F9E412">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14:paraId="72AF3F7B">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3．关于费用</w:t>
      </w:r>
    </w:p>
    <w:p w14:paraId="482353AF">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14:paraId="5A03DBC4">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可于最近一个开放日赎回理财产品。</w:t>
      </w:r>
    </w:p>
    <w:p w14:paraId="76063F66">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4．咨询与投诉：投资者对本理财产品有任何建议、意见或投诉，请联系信银理财理财经理，或反馈至信银理财营业场所，</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拨打信银理财客户服务热线【</w:t>
      </w:r>
      <w:r>
        <w:rPr>
          <w:rFonts w:ascii="楷体_GB2312" w:eastAsia="楷体_GB2312"/>
          <w:b/>
          <w:bCs/>
          <w:sz w:val="20"/>
          <w:szCs w:val="20"/>
        </w:rPr>
        <w:t>950950，工作时间为工作日8：30-20：30</w:t>
      </w:r>
      <w:r>
        <w:rPr>
          <w:rFonts w:ascii="楷体_GB2312" w:eastAsia="楷体_GB2312"/>
          <w:b/>
          <w:color w:val="000000" w:themeColor="text1"/>
          <w:sz w:val="20"/>
          <w:szCs w:val="20"/>
          <w14:textFill>
            <w14:solidFill>
              <w14:schemeClr w14:val="tx1"/>
            </w14:solidFill>
          </w14:textFill>
        </w:rPr>
        <w:t>】，</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w:t>
      </w:r>
      <w:r>
        <w:rPr>
          <w:rFonts w:ascii="楷体_GB2312" w:eastAsia="楷体_GB2312"/>
          <w:b/>
          <w:bCs/>
          <w:sz w:val="20"/>
          <w:szCs w:val="20"/>
        </w:rPr>
        <w:t>http://www.citic-wealth.com/</w:t>
      </w:r>
      <w:r>
        <w:rPr>
          <w:rFonts w:ascii="楷体_GB2312" w:eastAsia="楷体_GB2312"/>
          <w:b/>
          <w:color w:val="000000" w:themeColor="text1"/>
          <w:sz w:val="20"/>
          <w:szCs w:val="20"/>
          <w14:textFill>
            <w14:solidFill>
              <w14:schemeClr w14:val="tx1"/>
            </w14:solidFill>
          </w14:textFill>
        </w:rPr>
        <w:t>】进行查询。信银理财将安排专人及时收集客户投诉，并在收到客户投诉的第一时间内与客户取得联系，及时处理并进行反馈投资者通过代销机构购买理财产品的，可按照代销机构提供的联系方式反馈信息、咨询和投诉。</w:t>
      </w:r>
    </w:p>
    <w:p w14:paraId="144E4E3D">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5．本产品说明书中关于时间的标准，以信银理财业务处理系统记录的北京时间为准。</w:t>
      </w:r>
    </w:p>
    <w:p w14:paraId="6C686EC5">
      <w:pPr>
        <w:spacing w:line="300" w:lineRule="exact"/>
        <w:ind w:firstLine="430" w:firstLineChars="214"/>
        <w:jc w:val="both"/>
        <w:rPr>
          <w:rFonts w:ascii="楷体_GB2312" w:eastAsia="楷体_GB2312"/>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6．信银理财有权依法对本产品说明书进行解释。</w:t>
      </w:r>
    </w:p>
    <w:p w14:paraId="31B57527">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p>
    <w:p w14:paraId="195C27EC">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十七、违约责任</w:t>
      </w:r>
    </w:p>
    <w:p w14:paraId="7F743889">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14:paraId="28A9DBA1">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175B6CB5">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十八、免责内容</w:t>
      </w:r>
    </w:p>
    <w:p w14:paraId="29661E97">
      <w:pPr>
        <w:spacing w:line="300" w:lineRule="exact"/>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14:paraId="4DB06198">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029CDCCA">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十九、本说明书的生效与终止</w:t>
      </w:r>
    </w:p>
    <w:p w14:paraId="56CED952">
      <w:pPr>
        <w:pStyle w:val="18"/>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理财营业场所购买理财产品的，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14:paraId="5873F183">
      <w:pPr>
        <w:pStyle w:val="18"/>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14:paraId="73050D72">
      <w:pPr>
        <w:pStyle w:val="18"/>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14:paraId="23E1CCF8">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二十、争议解决</w:t>
      </w:r>
    </w:p>
    <w:p w14:paraId="5E2B0881">
      <w:pPr>
        <w:spacing w:line="300" w:lineRule="exact"/>
        <w:ind w:firstLine="402" w:firstLineChars="200"/>
        <w:jc w:val="both"/>
        <w:rPr>
          <w:rFonts w:ascii="Times New Roman" w:hAnsi="Times New Roman" w:eastAsia="楷体_GB2312" w:cs="Times New Roman"/>
          <w:b/>
          <w:bCs/>
          <w:sz w:val="20"/>
          <w:szCs w:val="20"/>
        </w:rPr>
      </w:pPr>
      <w:bookmarkStart w:id="0" w:name="_Hlk144405041"/>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14:paraId="33F2253D">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288117FE">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bookmarkEnd w:id="0"/>
    </w:p>
    <w:p w14:paraId="7B823334">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14:paraId="4CF33A1E">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r>
        <w:rPr>
          <w:rFonts w:ascii="楷体_GB2312" w:eastAsia="楷体_GB2312"/>
          <w:color w:val="000000" w:themeColor="text1"/>
          <w:sz w:val="20"/>
          <w:szCs w:val="20"/>
          <w:u w:val="single"/>
          <w14:textFill>
            <w14:solidFill>
              <w14:schemeClr w14:val="tx1"/>
            </w14:solidFill>
          </w14:textFill>
        </w:rPr>
        <w:t>                                 </w:t>
      </w:r>
    </w:p>
    <w:p w14:paraId="2A095DDA">
      <w:pPr>
        <w:jc w:val="both"/>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14:paraId="44623C93">
      <w:pPr>
        <w:spacing w:line="300" w:lineRule="exact"/>
        <w:ind w:left="-2" w:leftChars="-1" w:right="36" w:rightChars="15"/>
        <w:rPr>
          <w:rFonts w:ascii="黑体" w:hAnsi="Times New Roman" w:eastAsia="黑体"/>
          <w:color w:val="000000" w:themeColor="text1"/>
          <w14:textFill>
            <w14:solidFill>
              <w14:schemeClr w14:val="tx1"/>
            </w14:solidFill>
          </w14:textFill>
        </w:rPr>
      </w:pPr>
    </w:p>
    <w:p w14:paraId="07BABF14">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14:paraId="2241166B">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14:paraId="3605CA88">
      <w:pPr>
        <w:ind w:left="4440" w:right="440" w:hanging="4440" w:hangingChars="1850"/>
        <w:rPr>
          <w:rFonts w:ascii="楷体" w:hAnsi="楷体" w:eastAsia="楷体"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14:paraId="17379E13">
      <w:pPr>
        <w:ind w:right="-902" w:rightChars="-376"/>
        <w:rPr>
          <w:rFonts w:ascii="楷体" w:hAnsi="楷体" w:eastAsia="楷体"/>
          <w:color w:val="000000" w:themeColor="text1"/>
          <w14:textFill>
            <w14:solidFill>
              <w14:schemeClr w14:val="tx1"/>
            </w14:solidFill>
          </w14:textFill>
        </w:rPr>
      </w:pPr>
      <w:r>
        <w:rPr>
          <w:rFonts w:ascii="Calibri" w:hAnsi="Calibri" w:eastAsia="楷体" w:cs="Calibri"/>
          <w:color w:val="000000" w:themeColor="text1"/>
          <w14:textFill>
            <w14:solidFill>
              <w14:schemeClr w14:val="tx1"/>
            </w14:solidFill>
          </w14:textFill>
        </w:rPr>
        <w:t> </w:t>
      </w:r>
    </w:p>
    <w:p w14:paraId="4BB7EA23">
      <w:pPr>
        <w:ind w:right="-902" w:rightChars="-376"/>
        <w:rPr>
          <w:rFonts w:ascii="黑体" w:hAnsi="Times New Roman" w:eastAsia="黑体"/>
          <w:color w:val="000000" w:themeColor="text1"/>
          <w14:textFill>
            <w14:solidFill>
              <w14:schemeClr w14:val="tx1"/>
            </w14:solidFill>
          </w14:textFill>
        </w:rPr>
      </w:pPr>
    </w:p>
    <w:p w14:paraId="699E1322">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机构客户（盖章）：</w:t>
      </w:r>
      <w:r>
        <w:rPr>
          <w:rFonts w:ascii="黑体" w:hAnsi="Times New Roman" w:eastAsia="黑体"/>
          <w:color w:val="000000" w:themeColor="text1"/>
          <w14:textFill>
            <w14:solidFill>
              <w14:schemeClr w14:val="tx1"/>
            </w14:solidFill>
          </w14:textFill>
        </w:rPr>
        <w:t xml:space="preserve">                    </w:t>
      </w:r>
    </w:p>
    <w:p w14:paraId="7050F80F">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6D494930">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14:paraId="2F89AC73">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4FA994EA">
      <w:pPr>
        <w:ind w:right="-902" w:rightChars="-376"/>
        <w:rPr>
          <w:rFonts w:ascii="黑体" w:hAnsi="Times New Roman" w:eastAsia="黑体"/>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14:paraId="3CC5F1D6">
      <w:pPr>
        <w:ind w:right="-902" w:rightChars="-376"/>
        <w:rPr>
          <w:rFonts w:ascii="黑体" w:hAnsi="Times New Roman" w:eastAsia="黑体"/>
          <w:color w:val="000000" w:themeColor="text1"/>
          <w14:textFill>
            <w14:solidFill>
              <w14:schemeClr w14:val="tx1"/>
            </w14:solidFill>
          </w14:textFill>
        </w:rPr>
      </w:pPr>
    </w:p>
    <w:p w14:paraId="10DB7BCE">
      <w:pPr>
        <w:ind w:right="-902" w:rightChars="-376"/>
        <w:rPr>
          <w:color w:val="000000" w:themeColor="text1"/>
          <w14:textFill>
            <w14:solidFill>
              <w14:schemeClr w14:val="tx1"/>
            </w14:solidFill>
          </w14:textFill>
        </w:rPr>
      </w:pPr>
    </w:p>
    <w:p w14:paraId="37C2A661">
      <w:pPr>
        <w:spacing w:line="300" w:lineRule="exact"/>
        <w:ind w:left="-2" w:leftChars="-1" w:right="36" w:rightChars="15"/>
        <w:rPr>
          <w:rFonts w:ascii="黑体" w:hAnsi="Times New Roman" w:eastAsia="黑体"/>
          <w:color w:val="000000" w:themeColor="text1"/>
          <w14:textFill>
            <w14:solidFill>
              <w14:schemeClr w14:val="tx1"/>
            </w14:solidFill>
          </w14:textFill>
        </w:rPr>
      </w:pPr>
    </w:p>
    <w:p w14:paraId="4175BB1E">
      <w:pPr>
        <w:spacing w:line="300" w:lineRule="exact"/>
        <w:ind w:left="-2" w:leftChars="-1" w:right="36" w:rightChars="15"/>
        <w:rPr>
          <w:color w:val="000000" w:themeColor="text1"/>
          <w14:textFill>
            <w14:solidFill>
              <w14:schemeClr w14:val="tx1"/>
            </w14:solidFill>
          </w14:textFill>
        </w:rPr>
      </w:pPr>
    </w:p>
    <w:sectPr>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9CF26">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Arabic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3F5FB0EA">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2D73A0">
    <w:pPr>
      <w:pStyle w:val="5"/>
      <w:jc w:val="right"/>
      <w:rPr>
        <w:rFonts w:asciiTheme="majorEastAsia" w:hAnsiTheme="majorEastAsia" w:eastAsiaTheme="majorEastAsia"/>
      </w:rPr>
    </w:pPr>
    <w:r>
      <w:rPr>
        <w:rFonts w:hint="eastAsia" w:asciiTheme="majorEastAsia" w:hAnsiTheme="majorEastAsia" w:eastAsiaTheme="majorEastAsia"/>
        <w:color w:val="000000" w:themeColor="text1"/>
        <w14:textFill>
          <w14:solidFill>
            <w14:schemeClr w14:val="tx1"/>
          </w14:solidFill>
        </w14:textFill>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AB2C4">
    <w:pPr>
      <w:pStyle w:val="5"/>
      <w:rPr>
        <w:color w:val="000000" w:themeColor="text1"/>
        <w14:textFill>
          <w14:solidFill>
            <w14:schemeClr w14:val="tx1"/>
          </w14:solidFill>
        </w14:textFill>
      </w:rPr>
    </w:pPr>
    <w:r>
      <w:rPr>
        <w:rFonts w:hint="eastAsia"/>
      </w:rPr>
      <w:t>本产品风险评级为【P</w:t>
    </w:r>
    <w:r>
      <w:t>R2</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E13340"/>
    <w:multiLevelType w:val="multilevel"/>
    <w:tmpl w:val="0CE13340"/>
    <w:lvl w:ilvl="0" w:tentative="0">
      <w:start w:val="1"/>
      <w:numFmt w:val="decimal"/>
      <w:lvlText w:val="%1."/>
      <w:lvlJc w:val="left"/>
      <w:pPr>
        <w:ind w:left="758" w:hanging="360"/>
      </w:pPr>
      <w:rPr>
        <w:rFonts w:ascii="楷体_GB2312" w:hAnsi="宋体"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1">
    <w:nsid w:val="15C00D17"/>
    <w:multiLevelType w:val="multilevel"/>
    <w:tmpl w:val="15C00D17"/>
    <w:lvl w:ilvl="0" w:tentative="0">
      <w:start w:val="1"/>
      <w:numFmt w:val="decimal"/>
      <w:lvlText w:val="%1."/>
      <w:lvlJc w:val="left"/>
      <w:pPr>
        <w:ind w:left="644" w:hanging="360"/>
      </w:pPr>
      <w:rPr>
        <w:rFonts w:ascii="Times New Roman" w:hAnsi="Times New Roman" w:eastAsia="楷体_GB2312" w:cs="楷体_GB2312"/>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2">
    <w:nsid w:val="26136516"/>
    <w:multiLevelType w:val="multilevel"/>
    <w:tmpl w:val="26136516"/>
    <w:lvl w:ilvl="0" w:tentative="0">
      <w:start w:val="1"/>
      <w:numFmt w:val="decimal"/>
      <w:lvlText w:val="%1."/>
      <w:lvlJc w:val="left"/>
      <w:pPr>
        <w:ind w:left="758" w:hanging="360"/>
      </w:pPr>
      <w:rPr>
        <w:rFonts w:ascii="Times New Roman" w:hAnsi="Times New Roman"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3">
    <w:nsid w:val="320240BE"/>
    <w:multiLevelType w:val="multilevel"/>
    <w:tmpl w:val="320240BE"/>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4">
    <w:nsid w:val="4B6B1016"/>
    <w:multiLevelType w:val="multilevel"/>
    <w:tmpl w:val="4B6B1016"/>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5">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abstractNum w:abstractNumId="6">
    <w:nsid w:val="72463A12"/>
    <w:multiLevelType w:val="multilevel"/>
    <w:tmpl w:val="72463A1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3"/>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1DC5"/>
    <w:rsid w:val="00003EA4"/>
    <w:rsid w:val="000044C4"/>
    <w:rsid w:val="00010618"/>
    <w:rsid w:val="00010FAC"/>
    <w:rsid w:val="000126B2"/>
    <w:rsid w:val="00013F5B"/>
    <w:rsid w:val="000147D6"/>
    <w:rsid w:val="00014B73"/>
    <w:rsid w:val="00015D27"/>
    <w:rsid w:val="000160B3"/>
    <w:rsid w:val="00016ECA"/>
    <w:rsid w:val="000205B3"/>
    <w:rsid w:val="00021FBC"/>
    <w:rsid w:val="0002493B"/>
    <w:rsid w:val="00025412"/>
    <w:rsid w:val="0002679A"/>
    <w:rsid w:val="00035D4E"/>
    <w:rsid w:val="000363A0"/>
    <w:rsid w:val="00036A9C"/>
    <w:rsid w:val="00036FC0"/>
    <w:rsid w:val="00041092"/>
    <w:rsid w:val="000426F9"/>
    <w:rsid w:val="00043AA8"/>
    <w:rsid w:val="0004443C"/>
    <w:rsid w:val="00044D26"/>
    <w:rsid w:val="00046069"/>
    <w:rsid w:val="00047F09"/>
    <w:rsid w:val="000501A3"/>
    <w:rsid w:val="000539DD"/>
    <w:rsid w:val="000548A7"/>
    <w:rsid w:val="000556C3"/>
    <w:rsid w:val="00055B24"/>
    <w:rsid w:val="00057AF1"/>
    <w:rsid w:val="00060380"/>
    <w:rsid w:val="0006039E"/>
    <w:rsid w:val="00060555"/>
    <w:rsid w:val="00060CF8"/>
    <w:rsid w:val="00062C0F"/>
    <w:rsid w:val="00063F74"/>
    <w:rsid w:val="000642FF"/>
    <w:rsid w:val="00064EC6"/>
    <w:rsid w:val="0006529A"/>
    <w:rsid w:val="0006540A"/>
    <w:rsid w:val="00066399"/>
    <w:rsid w:val="000728B5"/>
    <w:rsid w:val="00073BD2"/>
    <w:rsid w:val="00074951"/>
    <w:rsid w:val="000757CB"/>
    <w:rsid w:val="000769ED"/>
    <w:rsid w:val="00076AB2"/>
    <w:rsid w:val="000810BD"/>
    <w:rsid w:val="00081E7F"/>
    <w:rsid w:val="00084A58"/>
    <w:rsid w:val="00084DE7"/>
    <w:rsid w:val="00085A4A"/>
    <w:rsid w:val="0008615C"/>
    <w:rsid w:val="0008737E"/>
    <w:rsid w:val="0009069C"/>
    <w:rsid w:val="00090A7C"/>
    <w:rsid w:val="00090C78"/>
    <w:rsid w:val="000912BC"/>
    <w:rsid w:val="0009250D"/>
    <w:rsid w:val="00093A85"/>
    <w:rsid w:val="0009479A"/>
    <w:rsid w:val="00096806"/>
    <w:rsid w:val="000A0421"/>
    <w:rsid w:val="000A044F"/>
    <w:rsid w:val="000A0C47"/>
    <w:rsid w:val="000A0FA1"/>
    <w:rsid w:val="000A5B13"/>
    <w:rsid w:val="000B0124"/>
    <w:rsid w:val="000B0A2B"/>
    <w:rsid w:val="000B449C"/>
    <w:rsid w:val="000B5CA2"/>
    <w:rsid w:val="000C04B7"/>
    <w:rsid w:val="000C0E92"/>
    <w:rsid w:val="000C19F3"/>
    <w:rsid w:val="000C2431"/>
    <w:rsid w:val="000C2603"/>
    <w:rsid w:val="000C283C"/>
    <w:rsid w:val="000C33FA"/>
    <w:rsid w:val="000C37FC"/>
    <w:rsid w:val="000C3AF8"/>
    <w:rsid w:val="000C3C7D"/>
    <w:rsid w:val="000C46EC"/>
    <w:rsid w:val="000C4C04"/>
    <w:rsid w:val="000D0148"/>
    <w:rsid w:val="000D0828"/>
    <w:rsid w:val="000D2080"/>
    <w:rsid w:val="000D4C7B"/>
    <w:rsid w:val="000D5266"/>
    <w:rsid w:val="000D56E3"/>
    <w:rsid w:val="000E10B6"/>
    <w:rsid w:val="000E3008"/>
    <w:rsid w:val="000E3444"/>
    <w:rsid w:val="000E49BB"/>
    <w:rsid w:val="000E51AE"/>
    <w:rsid w:val="000E60E0"/>
    <w:rsid w:val="000E6792"/>
    <w:rsid w:val="000F1F2E"/>
    <w:rsid w:val="000F26F4"/>
    <w:rsid w:val="000F2A49"/>
    <w:rsid w:val="000F35BC"/>
    <w:rsid w:val="000F3ADF"/>
    <w:rsid w:val="000F599D"/>
    <w:rsid w:val="000F687B"/>
    <w:rsid w:val="000F798A"/>
    <w:rsid w:val="00100952"/>
    <w:rsid w:val="0010147F"/>
    <w:rsid w:val="00103F63"/>
    <w:rsid w:val="00105814"/>
    <w:rsid w:val="00105A87"/>
    <w:rsid w:val="001077F3"/>
    <w:rsid w:val="00107933"/>
    <w:rsid w:val="00110BCF"/>
    <w:rsid w:val="0011109A"/>
    <w:rsid w:val="00111E93"/>
    <w:rsid w:val="00114CBC"/>
    <w:rsid w:val="00115683"/>
    <w:rsid w:val="00115D73"/>
    <w:rsid w:val="0011687B"/>
    <w:rsid w:val="00116B6A"/>
    <w:rsid w:val="00123C90"/>
    <w:rsid w:val="00124FBD"/>
    <w:rsid w:val="001260B9"/>
    <w:rsid w:val="001266EA"/>
    <w:rsid w:val="00126DB3"/>
    <w:rsid w:val="00130901"/>
    <w:rsid w:val="00132E82"/>
    <w:rsid w:val="0013467D"/>
    <w:rsid w:val="00134973"/>
    <w:rsid w:val="001353DA"/>
    <w:rsid w:val="00135B6F"/>
    <w:rsid w:val="00136105"/>
    <w:rsid w:val="001370DF"/>
    <w:rsid w:val="0014090C"/>
    <w:rsid w:val="00144519"/>
    <w:rsid w:val="001452EC"/>
    <w:rsid w:val="00146526"/>
    <w:rsid w:val="00151D12"/>
    <w:rsid w:val="001521EB"/>
    <w:rsid w:val="001549C8"/>
    <w:rsid w:val="001568FE"/>
    <w:rsid w:val="00156DA1"/>
    <w:rsid w:val="0016013C"/>
    <w:rsid w:val="001615E1"/>
    <w:rsid w:val="0016243B"/>
    <w:rsid w:val="00163B22"/>
    <w:rsid w:val="001641D5"/>
    <w:rsid w:val="00164277"/>
    <w:rsid w:val="001649F3"/>
    <w:rsid w:val="00171E78"/>
    <w:rsid w:val="00172A27"/>
    <w:rsid w:val="00176C79"/>
    <w:rsid w:val="00182FBF"/>
    <w:rsid w:val="00184D24"/>
    <w:rsid w:val="001856BC"/>
    <w:rsid w:val="001872EE"/>
    <w:rsid w:val="00190A62"/>
    <w:rsid w:val="00191496"/>
    <w:rsid w:val="001915B8"/>
    <w:rsid w:val="0019257E"/>
    <w:rsid w:val="00192A4D"/>
    <w:rsid w:val="001930F7"/>
    <w:rsid w:val="00193302"/>
    <w:rsid w:val="00194DE7"/>
    <w:rsid w:val="00197081"/>
    <w:rsid w:val="001A0FD7"/>
    <w:rsid w:val="001A218A"/>
    <w:rsid w:val="001A21E1"/>
    <w:rsid w:val="001A2FFC"/>
    <w:rsid w:val="001A30BE"/>
    <w:rsid w:val="001A36DF"/>
    <w:rsid w:val="001A5423"/>
    <w:rsid w:val="001A720A"/>
    <w:rsid w:val="001A72CB"/>
    <w:rsid w:val="001A7BE3"/>
    <w:rsid w:val="001B01FF"/>
    <w:rsid w:val="001B1495"/>
    <w:rsid w:val="001B1E52"/>
    <w:rsid w:val="001B35C0"/>
    <w:rsid w:val="001B50D8"/>
    <w:rsid w:val="001B6C94"/>
    <w:rsid w:val="001B6F74"/>
    <w:rsid w:val="001C0F22"/>
    <w:rsid w:val="001C19C0"/>
    <w:rsid w:val="001C27C3"/>
    <w:rsid w:val="001C2A78"/>
    <w:rsid w:val="001C3D71"/>
    <w:rsid w:val="001C4FAF"/>
    <w:rsid w:val="001C5D78"/>
    <w:rsid w:val="001C72BC"/>
    <w:rsid w:val="001C7B49"/>
    <w:rsid w:val="001D03C4"/>
    <w:rsid w:val="001D5EB4"/>
    <w:rsid w:val="001D6A97"/>
    <w:rsid w:val="001E1C60"/>
    <w:rsid w:val="001E24D6"/>
    <w:rsid w:val="001E6503"/>
    <w:rsid w:val="001F00CE"/>
    <w:rsid w:val="001F09ED"/>
    <w:rsid w:val="001F0F27"/>
    <w:rsid w:val="001F6640"/>
    <w:rsid w:val="001F6AE8"/>
    <w:rsid w:val="001F6DA5"/>
    <w:rsid w:val="001F7597"/>
    <w:rsid w:val="002001E4"/>
    <w:rsid w:val="0020078B"/>
    <w:rsid w:val="00200BEC"/>
    <w:rsid w:val="00200FB1"/>
    <w:rsid w:val="00202368"/>
    <w:rsid w:val="00202515"/>
    <w:rsid w:val="0020290B"/>
    <w:rsid w:val="00203755"/>
    <w:rsid w:val="00203EAD"/>
    <w:rsid w:val="0020493D"/>
    <w:rsid w:val="002050A9"/>
    <w:rsid w:val="00205FFC"/>
    <w:rsid w:val="002068C1"/>
    <w:rsid w:val="00211839"/>
    <w:rsid w:val="002156E9"/>
    <w:rsid w:val="00215D7E"/>
    <w:rsid w:val="00216B6D"/>
    <w:rsid w:val="00217805"/>
    <w:rsid w:val="0022225E"/>
    <w:rsid w:val="00222699"/>
    <w:rsid w:val="002255EE"/>
    <w:rsid w:val="00225B66"/>
    <w:rsid w:val="00225C4A"/>
    <w:rsid w:val="002263A2"/>
    <w:rsid w:val="00226CD2"/>
    <w:rsid w:val="00226ED1"/>
    <w:rsid w:val="002270F3"/>
    <w:rsid w:val="00227275"/>
    <w:rsid w:val="00231806"/>
    <w:rsid w:val="00232472"/>
    <w:rsid w:val="00233296"/>
    <w:rsid w:val="00233A76"/>
    <w:rsid w:val="00233AC8"/>
    <w:rsid w:val="00234890"/>
    <w:rsid w:val="00236C74"/>
    <w:rsid w:val="002370EE"/>
    <w:rsid w:val="00237EA1"/>
    <w:rsid w:val="00241C9E"/>
    <w:rsid w:val="00243A55"/>
    <w:rsid w:val="00245336"/>
    <w:rsid w:val="00246292"/>
    <w:rsid w:val="002465F7"/>
    <w:rsid w:val="00246BAF"/>
    <w:rsid w:val="00251071"/>
    <w:rsid w:val="00253360"/>
    <w:rsid w:val="0025354B"/>
    <w:rsid w:val="00253D14"/>
    <w:rsid w:val="002551F1"/>
    <w:rsid w:val="00255F6F"/>
    <w:rsid w:val="00263626"/>
    <w:rsid w:val="0026367F"/>
    <w:rsid w:val="00264EF5"/>
    <w:rsid w:val="00266F6D"/>
    <w:rsid w:val="00271C3C"/>
    <w:rsid w:val="002729A9"/>
    <w:rsid w:val="002729DA"/>
    <w:rsid w:val="00274D10"/>
    <w:rsid w:val="00274DDE"/>
    <w:rsid w:val="002754B9"/>
    <w:rsid w:val="002761EB"/>
    <w:rsid w:val="002808D0"/>
    <w:rsid w:val="00283FB0"/>
    <w:rsid w:val="00287256"/>
    <w:rsid w:val="00291517"/>
    <w:rsid w:val="00292667"/>
    <w:rsid w:val="00294941"/>
    <w:rsid w:val="00295A54"/>
    <w:rsid w:val="0029600B"/>
    <w:rsid w:val="00296760"/>
    <w:rsid w:val="002A0B7C"/>
    <w:rsid w:val="002A0DE8"/>
    <w:rsid w:val="002A101B"/>
    <w:rsid w:val="002A118E"/>
    <w:rsid w:val="002A1446"/>
    <w:rsid w:val="002A14F1"/>
    <w:rsid w:val="002A19D9"/>
    <w:rsid w:val="002A284E"/>
    <w:rsid w:val="002A37AD"/>
    <w:rsid w:val="002A38E0"/>
    <w:rsid w:val="002A448B"/>
    <w:rsid w:val="002A5E24"/>
    <w:rsid w:val="002A6FFD"/>
    <w:rsid w:val="002B0D61"/>
    <w:rsid w:val="002B195C"/>
    <w:rsid w:val="002B53E3"/>
    <w:rsid w:val="002B68A0"/>
    <w:rsid w:val="002B7706"/>
    <w:rsid w:val="002B7859"/>
    <w:rsid w:val="002B7874"/>
    <w:rsid w:val="002C07C8"/>
    <w:rsid w:val="002D1482"/>
    <w:rsid w:val="002D3636"/>
    <w:rsid w:val="002D38B7"/>
    <w:rsid w:val="002D4E93"/>
    <w:rsid w:val="002D68A1"/>
    <w:rsid w:val="002D6DF8"/>
    <w:rsid w:val="002D6E0E"/>
    <w:rsid w:val="002D7249"/>
    <w:rsid w:val="002E4E91"/>
    <w:rsid w:val="002E5746"/>
    <w:rsid w:val="002E5CC4"/>
    <w:rsid w:val="002E64C4"/>
    <w:rsid w:val="002F05EE"/>
    <w:rsid w:val="002F0E3A"/>
    <w:rsid w:val="002F0F28"/>
    <w:rsid w:val="002F14A9"/>
    <w:rsid w:val="002F1E03"/>
    <w:rsid w:val="002F265B"/>
    <w:rsid w:val="002F388D"/>
    <w:rsid w:val="002F7BFE"/>
    <w:rsid w:val="00305E0A"/>
    <w:rsid w:val="003079C2"/>
    <w:rsid w:val="00310EC2"/>
    <w:rsid w:val="0031174F"/>
    <w:rsid w:val="00311784"/>
    <w:rsid w:val="0031212B"/>
    <w:rsid w:val="00312710"/>
    <w:rsid w:val="00312A2B"/>
    <w:rsid w:val="003133C9"/>
    <w:rsid w:val="0031689B"/>
    <w:rsid w:val="00316DEC"/>
    <w:rsid w:val="003175C8"/>
    <w:rsid w:val="00321CAD"/>
    <w:rsid w:val="00322939"/>
    <w:rsid w:val="00324114"/>
    <w:rsid w:val="00326CE4"/>
    <w:rsid w:val="003313E2"/>
    <w:rsid w:val="003322C2"/>
    <w:rsid w:val="00332EB9"/>
    <w:rsid w:val="00335B05"/>
    <w:rsid w:val="00335B1F"/>
    <w:rsid w:val="00336876"/>
    <w:rsid w:val="00337017"/>
    <w:rsid w:val="003413CC"/>
    <w:rsid w:val="003421C1"/>
    <w:rsid w:val="003452C4"/>
    <w:rsid w:val="00345368"/>
    <w:rsid w:val="00345530"/>
    <w:rsid w:val="003460A3"/>
    <w:rsid w:val="00346433"/>
    <w:rsid w:val="00351AC4"/>
    <w:rsid w:val="0035303E"/>
    <w:rsid w:val="0035590C"/>
    <w:rsid w:val="00356D2C"/>
    <w:rsid w:val="003576A4"/>
    <w:rsid w:val="003600CB"/>
    <w:rsid w:val="00360654"/>
    <w:rsid w:val="0036094B"/>
    <w:rsid w:val="0036181F"/>
    <w:rsid w:val="00362735"/>
    <w:rsid w:val="0036563E"/>
    <w:rsid w:val="0036565F"/>
    <w:rsid w:val="00365828"/>
    <w:rsid w:val="00366351"/>
    <w:rsid w:val="00366D41"/>
    <w:rsid w:val="00370AD9"/>
    <w:rsid w:val="00370BE5"/>
    <w:rsid w:val="003722EF"/>
    <w:rsid w:val="00377004"/>
    <w:rsid w:val="0037708C"/>
    <w:rsid w:val="00380548"/>
    <w:rsid w:val="00381BBC"/>
    <w:rsid w:val="00382F22"/>
    <w:rsid w:val="0038563B"/>
    <w:rsid w:val="003903BF"/>
    <w:rsid w:val="0039091A"/>
    <w:rsid w:val="00390CFD"/>
    <w:rsid w:val="00391378"/>
    <w:rsid w:val="00392188"/>
    <w:rsid w:val="0039559D"/>
    <w:rsid w:val="003971DB"/>
    <w:rsid w:val="00397E61"/>
    <w:rsid w:val="003A0843"/>
    <w:rsid w:val="003A1BD8"/>
    <w:rsid w:val="003A4B48"/>
    <w:rsid w:val="003A4C39"/>
    <w:rsid w:val="003A5529"/>
    <w:rsid w:val="003B3842"/>
    <w:rsid w:val="003B4081"/>
    <w:rsid w:val="003B4DB7"/>
    <w:rsid w:val="003B756C"/>
    <w:rsid w:val="003B7CAE"/>
    <w:rsid w:val="003C1F61"/>
    <w:rsid w:val="003C2EEB"/>
    <w:rsid w:val="003C61BE"/>
    <w:rsid w:val="003C727B"/>
    <w:rsid w:val="003C77EF"/>
    <w:rsid w:val="003C7AEF"/>
    <w:rsid w:val="003D1B3B"/>
    <w:rsid w:val="003D1E1D"/>
    <w:rsid w:val="003D4615"/>
    <w:rsid w:val="003D5980"/>
    <w:rsid w:val="003D6E7F"/>
    <w:rsid w:val="003E231B"/>
    <w:rsid w:val="003E2E0B"/>
    <w:rsid w:val="003E5156"/>
    <w:rsid w:val="003E53B4"/>
    <w:rsid w:val="003E547A"/>
    <w:rsid w:val="003E6901"/>
    <w:rsid w:val="003E7D82"/>
    <w:rsid w:val="003F0BC3"/>
    <w:rsid w:val="003F2084"/>
    <w:rsid w:val="003F3C37"/>
    <w:rsid w:val="003F58E1"/>
    <w:rsid w:val="003F5982"/>
    <w:rsid w:val="003F5CC9"/>
    <w:rsid w:val="003F7F7C"/>
    <w:rsid w:val="00402CF6"/>
    <w:rsid w:val="0040426A"/>
    <w:rsid w:val="00404732"/>
    <w:rsid w:val="004056EF"/>
    <w:rsid w:val="004057B9"/>
    <w:rsid w:val="00407081"/>
    <w:rsid w:val="00410409"/>
    <w:rsid w:val="0041223C"/>
    <w:rsid w:val="00413B11"/>
    <w:rsid w:val="0041446D"/>
    <w:rsid w:val="00414D0A"/>
    <w:rsid w:val="0041523E"/>
    <w:rsid w:val="00415393"/>
    <w:rsid w:val="00415D0E"/>
    <w:rsid w:val="00420285"/>
    <w:rsid w:val="004202B4"/>
    <w:rsid w:val="004205C0"/>
    <w:rsid w:val="004210C6"/>
    <w:rsid w:val="004243EB"/>
    <w:rsid w:val="00426C15"/>
    <w:rsid w:val="00426ED5"/>
    <w:rsid w:val="00433028"/>
    <w:rsid w:val="00436006"/>
    <w:rsid w:val="00436EE0"/>
    <w:rsid w:val="00441E3A"/>
    <w:rsid w:val="00442956"/>
    <w:rsid w:val="00442E3F"/>
    <w:rsid w:val="004468BE"/>
    <w:rsid w:val="00447345"/>
    <w:rsid w:val="00450A36"/>
    <w:rsid w:val="00451A81"/>
    <w:rsid w:val="0045355D"/>
    <w:rsid w:val="0045444C"/>
    <w:rsid w:val="00455F92"/>
    <w:rsid w:val="004567FE"/>
    <w:rsid w:val="0045695C"/>
    <w:rsid w:val="004600AE"/>
    <w:rsid w:val="00461029"/>
    <w:rsid w:val="00463F1F"/>
    <w:rsid w:val="00464C78"/>
    <w:rsid w:val="00465DE6"/>
    <w:rsid w:val="00466412"/>
    <w:rsid w:val="00466575"/>
    <w:rsid w:val="0047057B"/>
    <w:rsid w:val="00470FB6"/>
    <w:rsid w:val="00470FDE"/>
    <w:rsid w:val="0047199F"/>
    <w:rsid w:val="0047482C"/>
    <w:rsid w:val="004752FE"/>
    <w:rsid w:val="004755EA"/>
    <w:rsid w:val="00475653"/>
    <w:rsid w:val="00475662"/>
    <w:rsid w:val="00475C7B"/>
    <w:rsid w:val="004801D7"/>
    <w:rsid w:val="00480C2E"/>
    <w:rsid w:val="00481C1D"/>
    <w:rsid w:val="00481F39"/>
    <w:rsid w:val="0048246F"/>
    <w:rsid w:val="00485EB2"/>
    <w:rsid w:val="00486AE0"/>
    <w:rsid w:val="0048737A"/>
    <w:rsid w:val="004919C6"/>
    <w:rsid w:val="00491CAE"/>
    <w:rsid w:val="004924EA"/>
    <w:rsid w:val="004933E0"/>
    <w:rsid w:val="00493FBA"/>
    <w:rsid w:val="004943D4"/>
    <w:rsid w:val="00494AB2"/>
    <w:rsid w:val="0049560E"/>
    <w:rsid w:val="00495FB0"/>
    <w:rsid w:val="004965EB"/>
    <w:rsid w:val="00497A0F"/>
    <w:rsid w:val="004A0105"/>
    <w:rsid w:val="004A0C4B"/>
    <w:rsid w:val="004A7220"/>
    <w:rsid w:val="004A73A9"/>
    <w:rsid w:val="004B0F38"/>
    <w:rsid w:val="004B3E7F"/>
    <w:rsid w:val="004B4881"/>
    <w:rsid w:val="004B4E0C"/>
    <w:rsid w:val="004B60CF"/>
    <w:rsid w:val="004B7645"/>
    <w:rsid w:val="004C0143"/>
    <w:rsid w:val="004C1CEF"/>
    <w:rsid w:val="004C27BA"/>
    <w:rsid w:val="004C27CF"/>
    <w:rsid w:val="004C2E6A"/>
    <w:rsid w:val="004C3474"/>
    <w:rsid w:val="004C3861"/>
    <w:rsid w:val="004C46A4"/>
    <w:rsid w:val="004C49DC"/>
    <w:rsid w:val="004C7FE9"/>
    <w:rsid w:val="004D1573"/>
    <w:rsid w:val="004D1578"/>
    <w:rsid w:val="004D1B31"/>
    <w:rsid w:val="004D3168"/>
    <w:rsid w:val="004D3982"/>
    <w:rsid w:val="004D440D"/>
    <w:rsid w:val="004D49E8"/>
    <w:rsid w:val="004D4C24"/>
    <w:rsid w:val="004E1E20"/>
    <w:rsid w:val="004E2B94"/>
    <w:rsid w:val="004E3690"/>
    <w:rsid w:val="004E3FA9"/>
    <w:rsid w:val="004E402F"/>
    <w:rsid w:val="004E4EAA"/>
    <w:rsid w:val="004E7622"/>
    <w:rsid w:val="004E7E59"/>
    <w:rsid w:val="004F1681"/>
    <w:rsid w:val="004F25B4"/>
    <w:rsid w:val="004F47CE"/>
    <w:rsid w:val="004F6A80"/>
    <w:rsid w:val="00504CE9"/>
    <w:rsid w:val="0050603A"/>
    <w:rsid w:val="0050607E"/>
    <w:rsid w:val="00506276"/>
    <w:rsid w:val="005069E4"/>
    <w:rsid w:val="00510B6F"/>
    <w:rsid w:val="005127D4"/>
    <w:rsid w:val="0051502E"/>
    <w:rsid w:val="00517930"/>
    <w:rsid w:val="005204CE"/>
    <w:rsid w:val="005218CD"/>
    <w:rsid w:val="00521D47"/>
    <w:rsid w:val="005221AA"/>
    <w:rsid w:val="005223B1"/>
    <w:rsid w:val="005237D3"/>
    <w:rsid w:val="005251A7"/>
    <w:rsid w:val="00525CB4"/>
    <w:rsid w:val="00527BAE"/>
    <w:rsid w:val="0053426C"/>
    <w:rsid w:val="00536422"/>
    <w:rsid w:val="00542AFB"/>
    <w:rsid w:val="00542BD1"/>
    <w:rsid w:val="0054435B"/>
    <w:rsid w:val="00544F8F"/>
    <w:rsid w:val="0054504E"/>
    <w:rsid w:val="00545208"/>
    <w:rsid w:val="00546327"/>
    <w:rsid w:val="00546441"/>
    <w:rsid w:val="005476CB"/>
    <w:rsid w:val="0055031F"/>
    <w:rsid w:val="00552C0F"/>
    <w:rsid w:val="00557038"/>
    <w:rsid w:val="00563EE8"/>
    <w:rsid w:val="00563F6E"/>
    <w:rsid w:val="005645C5"/>
    <w:rsid w:val="00566105"/>
    <w:rsid w:val="00567836"/>
    <w:rsid w:val="005738EF"/>
    <w:rsid w:val="005738FF"/>
    <w:rsid w:val="005744F2"/>
    <w:rsid w:val="005755E0"/>
    <w:rsid w:val="005769C1"/>
    <w:rsid w:val="00580639"/>
    <w:rsid w:val="00580CAC"/>
    <w:rsid w:val="00582D53"/>
    <w:rsid w:val="005865C3"/>
    <w:rsid w:val="0058774A"/>
    <w:rsid w:val="00587E1F"/>
    <w:rsid w:val="00592959"/>
    <w:rsid w:val="00592F42"/>
    <w:rsid w:val="00595F7E"/>
    <w:rsid w:val="0059646B"/>
    <w:rsid w:val="0059707D"/>
    <w:rsid w:val="0059788F"/>
    <w:rsid w:val="00597DBA"/>
    <w:rsid w:val="00597F1D"/>
    <w:rsid w:val="005A0326"/>
    <w:rsid w:val="005A099D"/>
    <w:rsid w:val="005A199B"/>
    <w:rsid w:val="005A20DA"/>
    <w:rsid w:val="005A3C8F"/>
    <w:rsid w:val="005A5733"/>
    <w:rsid w:val="005A5BFA"/>
    <w:rsid w:val="005A5EC0"/>
    <w:rsid w:val="005A772C"/>
    <w:rsid w:val="005B0BE3"/>
    <w:rsid w:val="005B264B"/>
    <w:rsid w:val="005B26C0"/>
    <w:rsid w:val="005B2BD9"/>
    <w:rsid w:val="005B2FCA"/>
    <w:rsid w:val="005B4B89"/>
    <w:rsid w:val="005B4D6F"/>
    <w:rsid w:val="005B5CB3"/>
    <w:rsid w:val="005B632A"/>
    <w:rsid w:val="005B69F9"/>
    <w:rsid w:val="005C1012"/>
    <w:rsid w:val="005C26A1"/>
    <w:rsid w:val="005C2BE9"/>
    <w:rsid w:val="005C6B87"/>
    <w:rsid w:val="005C739D"/>
    <w:rsid w:val="005D0386"/>
    <w:rsid w:val="005D1EA0"/>
    <w:rsid w:val="005D2357"/>
    <w:rsid w:val="005D25FF"/>
    <w:rsid w:val="005D3505"/>
    <w:rsid w:val="005D3D54"/>
    <w:rsid w:val="005D45A1"/>
    <w:rsid w:val="005D58BE"/>
    <w:rsid w:val="005E0A11"/>
    <w:rsid w:val="005E1B40"/>
    <w:rsid w:val="005E4210"/>
    <w:rsid w:val="005F076E"/>
    <w:rsid w:val="005F0D0A"/>
    <w:rsid w:val="005F16A2"/>
    <w:rsid w:val="005F24E9"/>
    <w:rsid w:val="005F369A"/>
    <w:rsid w:val="005F3EE1"/>
    <w:rsid w:val="005F4C00"/>
    <w:rsid w:val="005F5F1C"/>
    <w:rsid w:val="005F7182"/>
    <w:rsid w:val="006026F6"/>
    <w:rsid w:val="00604548"/>
    <w:rsid w:val="006065AF"/>
    <w:rsid w:val="00606F08"/>
    <w:rsid w:val="00607679"/>
    <w:rsid w:val="00611B92"/>
    <w:rsid w:val="006146D5"/>
    <w:rsid w:val="00614825"/>
    <w:rsid w:val="00614999"/>
    <w:rsid w:val="006218A6"/>
    <w:rsid w:val="006223DC"/>
    <w:rsid w:val="006229A2"/>
    <w:rsid w:val="00623324"/>
    <w:rsid w:val="0062630B"/>
    <w:rsid w:val="00626BED"/>
    <w:rsid w:val="00631D1B"/>
    <w:rsid w:val="006320C1"/>
    <w:rsid w:val="0063231F"/>
    <w:rsid w:val="006368D3"/>
    <w:rsid w:val="00636FB9"/>
    <w:rsid w:val="00637451"/>
    <w:rsid w:val="00637A0A"/>
    <w:rsid w:val="00640235"/>
    <w:rsid w:val="00641240"/>
    <w:rsid w:val="006427DB"/>
    <w:rsid w:val="00645222"/>
    <w:rsid w:val="006509E5"/>
    <w:rsid w:val="00651DB2"/>
    <w:rsid w:val="0065398F"/>
    <w:rsid w:val="0065475E"/>
    <w:rsid w:val="0065724F"/>
    <w:rsid w:val="0066017F"/>
    <w:rsid w:val="0066021B"/>
    <w:rsid w:val="00661CF7"/>
    <w:rsid w:val="006627C0"/>
    <w:rsid w:val="0066536D"/>
    <w:rsid w:val="00665606"/>
    <w:rsid w:val="00666C5E"/>
    <w:rsid w:val="006745BC"/>
    <w:rsid w:val="006804CB"/>
    <w:rsid w:val="00680BF4"/>
    <w:rsid w:val="00682617"/>
    <w:rsid w:val="00683ADB"/>
    <w:rsid w:val="00685CEE"/>
    <w:rsid w:val="00691194"/>
    <w:rsid w:val="0069257C"/>
    <w:rsid w:val="006929DF"/>
    <w:rsid w:val="00692C48"/>
    <w:rsid w:val="0069708B"/>
    <w:rsid w:val="006975BC"/>
    <w:rsid w:val="006976C9"/>
    <w:rsid w:val="006A0C97"/>
    <w:rsid w:val="006A19F9"/>
    <w:rsid w:val="006A3FF4"/>
    <w:rsid w:val="006A6C15"/>
    <w:rsid w:val="006B1E0C"/>
    <w:rsid w:val="006B41B5"/>
    <w:rsid w:val="006B6EEE"/>
    <w:rsid w:val="006C0090"/>
    <w:rsid w:val="006C0806"/>
    <w:rsid w:val="006C284C"/>
    <w:rsid w:val="006C4FBC"/>
    <w:rsid w:val="006C5D6D"/>
    <w:rsid w:val="006D0DEA"/>
    <w:rsid w:val="006D380D"/>
    <w:rsid w:val="006D4480"/>
    <w:rsid w:val="006D621E"/>
    <w:rsid w:val="006D7D92"/>
    <w:rsid w:val="006D7DF5"/>
    <w:rsid w:val="006E0C09"/>
    <w:rsid w:val="006E0F1E"/>
    <w:rsid w:val="006E10CF"/>
    <w:rsid w:val="006E2EF4"/>
    <w:rsid w:val="006E308C"/>
    <w:rsid w:val="006E30F2"/>
    <w:rsid w:val="006E3116"/>
    <w:rsid w:val="006E3CDA"/>
    <w:rsid w:val="006E43E5"/>
    <w:rsid w:val="006E4C82"/>
    <w:rsid w:val="006E4D8B"/>
    <w:rsid w:val="006E4EC1"/>
    <w:rsid w:val="006E5D81"/>
    <w:rsid w:val="006E670C"/>
    <w:rsid w:val="006F04C3"/>
    <w:rsid w:val="006F166D"/>
    <w:rsid w:val="006F7210"/>
    <w:rsid w:val="00700F6D"/>
    <w:rsid w:val="00701C15"/>
    <w:rsid w:val="0070415D"/>
    <w:rsid w:val="0070491B"/>
    <w:rsid w:val="00705487"/>
    <w:rsid w:val="00707D11"/>
    <w:rsid w:val="00714057"/>
    <w:rsid w:val="007146CC"/>
    <w:rsid w:val="007160F3"/>
    <w:rsid w:val="00716F0D"/>
    <w:rsid w:val="00720264"/>
    <w:rsid w:val="0072328E"/>
    <w:rsid w:val="00724409"/>
    <w:rsid w:val="00725E51"/>
    <w:rsid w:val="00726156"/>
    <w:rsid w:val="007277A7"/>
    <w:rsid w:val="007279E5"/>
    <w:rsid w:val="0073059C"/>
    <w:rsid w:val="00733CAE"/>
    <w:rsid w:val="0073416A"/>
    <w:rsid w:val="007341D7"/>
    <w:rsid w:val="00742023"/>
    <w:rsid w:val="00742D4B"/>
    <w:rsid w:val="007439E8"/>
    <w:rsid w:val="00744225"/>
    <w:rsid w:val="00744316"/>
    <w:rsid w:val="00745A82"/>
    <w:rsid w:val="007472F7"/>
    <w:rsid w:val="00747A12"/>
    <w:rsid w:val="007500A6"/>
    <w:rsid w:val="00752B5E"/>
    <w:rsid w:val="00753114"/>
    <w:rsid w:val="007535A2"/>
    <w:rsid w:val="00755E0B"/>
    <w:rsid w:val="007567CA"/>
    <w:rsid w:val="007578A5"/>
    <w:rsid w:val="00762150"/>
    <w:rsid w:val="007621EB"/>
    <w:rsid w:val="00762E9A"/>
    <w:rsid w:val="007668B9"/>
    <w:rsid w:val="0077104A"/>
    <w:rsid w:val="0077131D"/>
    <w:rsid w:val="0077204B"/>
    <w:rsid w:val="00772F06"/>
    <w:rsid w:val="007737E0"/>
    <w:rsid w:val="00773EF6"/>
    <w:rsid w:val="00774627"/>
    <w:rsid w:val="007767C3"/>
    <w:rsid w:val="007808F5"/>
    <w:rsid w:val="00781310"/>
    <w:rsid w:val="00782961"/>
    <w:rsid w:val="00783654"/>
    <w:rsid w:val="0078380F"/>
    <w:rsid w:val="0079138E"/>
    <w:rsid w:val="00791598"/>
    <w:rsid w:val="007929F7"/>
    <w:rsid w:val="007930A4"/>
    <w:rsid w:val="00794E71"/>
    <w:rsid w:val="007966BE"/>
    <w:rsid w:val="007A1863"/>
    <w:rsid w:val="007A24F4"/>
    <w:rsid w:val="007A4008"/>
    <w:rsid w:val="007A49A9"/>
    <w:rsid w:val="007A5E9D"/>
    <w:rsid w:val="007A61FC"/>
    <w:rsid w:val="007A69A9"/>
    <w:rsid w:val="007B0FB2"/>
    <w:rsid w:val="007B16F7"/>
    <w:rsid w:val="007B2BE5"/>
    <w:rsid w:val="007B30EE"/>
    <w:rsid w:val="007B3F5E"/>
    <w:rsid w:val="007B65A1"/>
    <w:rsid w:val="007B7D9D"/>
    <w:rsid w:val="007C1FD4"/>
    <w:rsid w:val="007C2C0B"/>
    <w:rsid w:val="007C2FC3"/>
    <w:rsid w:val="007C3B98"/>
    <w:rsid w:val="007C4338"/>
    <w:rsid w:val="007C49F7"/>
    <w:rsid w:val="007C638C"/>
    <w:rsid w:val="007C7112"/>
    <w:rsid w:val="007D2424"/>
    <w:rsid w:val="007D2AF2"/>
    <w:rsid w:val="007D3041"/>
    <w:rsid w:val="007D40F8"/>
    <w:rsid w:val="007D6A76"/>
    <w:rsid w:val="007D7593"/>
    <w:rsid w:val="007E043B"/>
    <w:rsid w:val="007E0CA6"/>
    <w:rsid w:val="007E1C65"/>
    <w:rsid w:val="007E250D"/>
    <w:rsid w:val="007E5ED0"/>
    <w:rsid w:val="007E6F1E"/>
    <w:rsid w:val="007E70AD"/>
    <w:rsid w:val="007E7B54"/>
    <w:rsid w:val="007F08EA"/>
    <w:rsid w:val="007F1FC5"/>
    <w:rsid w:val="007F2041"/>
    <w:rsid w:val="007F52AA"/>
    <w:rsid w:val="007F779B"/>
    <w:rsid w:val="008001C4"/>
    <w:rsid w:val="00801AA5"/>
    <w:rsid w:val="00803588"/>
    <w:rsid w:val="00803B53"/>
    <w:rsid w:val="0080455A"/>
    <w:rsid w:val="008069CD"/>
    <w:rsid w:val="00807588"/>
    <w:rsid w:val="00810BD4"/>
    <w:rsid w:val="00810CF1"/>
    <w:rsid w:val="008118F6"/>
    <w:rsid w:val="00812070"/>
    <w:rsid w:val="00815CD7"/>
    <w:rsid w:val="00815CE5"/>
    <w:rsid w:val="00816DF3"/>
    <w:rsid w:val="0082090A"/>
    <w:rsid w:val="00821110"/>
    <w:rsid w:val="00822EB0"/>
    <w:rsid w:val="00823631"/>
    <w:rsid w:val="008242A3"/>
    <w:rsid w:val="0082485C"/>
    <w:rsid w:val="008276D5"/>
    <w:rsid w:val="00827EBC"/>
    <w:rsid w:val="0083053C"/>
    <w:rsid w:val="00831D18"/>
    <w:rsid w:val="008328C6"/>
    <w:rsid w:val="00833497"/>
    <w:rsid w:val="008342FE"/>
    <w:rsid w:val="0083530F"/>
    <w:rsid w:val="008357D1"/>
    <w:rsid w:val="00836406"/>
    <w:rsid w:val="00836417"/>
    <w:rsid w:val="00836C6F"/>
    <w:rsid w:val="00837AA0"/>
    <w:rsid w:val="00842495"/>
    <w:rsid w:val="00845089"/>
    <w:rsid w:val="00850703"/>
    <w:rsid w:val="00851D70"/>
    <w:rsid w:val="0085303E"/>
    <w:rsid w:val="00854172"/>
    <w:rsid w:val="008548FE"/>
    <w:rsid w:val="00855DD2"/>
    <w:rsid w:val="00855E90"/>
    <w:rsid w:val="0085695F"/>
    <w:rsid w:val="008576C5"/>
    <w:rsid w:val="00857D29"/>
    <w:rsid w:val="008602CF"/>
    <w:rsid w:val="0086031D"/>
    <w:rsid w:val="00860EDD"/>
    <w:rsid w:val="008619AD"/>
    <w:rsid w:val="00861DB4"/>
    <w:rsid w:val="00863ADD"/>
    <w:rsid w:val="008651E5"/>
    <w:rsid w:val="0086720D"/>
    <w:rsid w:val="008703D2"/>
    <w:rsid w:val="008714A8"/>
    <w:rsid w:val="008734E7"/>
    <w:rsid w:val="00880BD9"/>
    <w:rsid w:val="00880F64"/>
    <w:rsid w:val="00882FCC"/>
    <w:rsid w:val="008831B8"/>
    <w:rsid w:val="00885404"/>
    <w:rsid w:val="0088574C"/>
    <w:rsid w:val="008859E1"/>
    <w:rsid w:val="00890816"/>
    <w:rsid w:val="0089154C"/>
    <w:rsid w:val="0089445F"/>
    <w:rsid w:val="00894AA1"/>
    <w:rsid w:val="00895EED"/>
    <w:rsid w:val="008A411C"/>
    <w:rsid w:val="008A69A3"/>
    <w:rsid w:val="008B0822"/>
    <w:rsid w:val="008B1E5A"/>
    <w:rsid w:val="008B2747"/>
    <w:rsid w:val="008B4408"/>
    <w:rsid w:val="008B48FE"/>
    <w:rsid w:val="008B52FB"/>
    <w:rsid w:val="008B7343"/>
    <w:rsid w:val="008C6EB3"/>
    <w:rsid w:val="008C7329"/>
    <w:rsid w:val="008E2351"/>
    <w:rsid w:val="008E38EF"/>
    <w:rsid w:val="008E472F"/>
    <w:rsid w:val="008E5E61"/>
    <w:rsid w:val="008F0061"/>
    <w:rsid w:val="008F1E60"/>
    <w:rsid w:val="008F20AB"/>
    <w:rsid w:val="008F5554"/>
    <w:rsid w:val="008F6227"/>
    <w:rsid w:val="008F6769"/>
    <w:rsid w:val="00902206"/>
    <w:rsid w:val="00903D64"/>
    <w:rsid w:val="0090431C"/>
    <w:rsid w:val="00904891"/>
    <w:rsid w:val="009105DF"/>
    <w:rsid w:val="009109D7"/>
    <w:rsid w:val="00910CA8"/>
    <w:rsid w:val="00910D88"/>
    <w:rsid w:val="00913087"/>
    <w:rsid w:val="0091382D"/>
    <w:rsid w:val="00916769"/>
    <w:rsid w:val="00917776"/>
    <w:rsid w:val="009201FE"/>
    <w:rsid w:val="009238E1"/>
    <w:rsid w:val="00925A45"/>
    <w:rsid w:val="00925ABF"/>
    <w:rsid w:val="00934481"/>
    <w:rsid w:val="00934714"/>
    <w:rsid w:val="009347AF"/>
    <w:rsid w:val="0093538C"/>
    <w:rsid w:val="00940B4D"/>
    <w:rsid w:val="009421CA"/>
    <w:rsid w:val="00943306"/>
    <w:rsid w:val="009437CB"/>
    <w:rsid w:val="0094593C"/>
    <w:rsid w:val="00947727"/>
    <w:rsid w:val="0094794A"/>
    <w:rsid w:val="0095171C"/>
    <w:rsid w:val="00951827"/>
    <w:rsid w:val="00953138"/>
    <w:rsid w:val="009543C4"/>
    <w:rsid w:val="00954DC5"/>
    <w:rsid w:val="00955AAD"/>
    <w:rsid w:val="009561B3"/>
    <w:rsid w:val="0096016D"/>
    <w:rsid w:val="009647FC"/>
    <w:rsid w:val="0096558D"/>
    <w:rsid w:val="0096682F"/>
    <w:rsid w:val="00966A09"/>
    <w:rsid w:val="0097118F"/>
    <w:rsid w:val="00974963"/>
    <w:rsid w:val="00976AFC"/>
    <w:rsid w:val="00985402"/>
    <w:rsid w:val="00986603"/>
    <w:rsid w:val="00986EBC"/>
    <w:rsid w:val="00990F75"/>
    <w:rsid w:val="00991685"/>
    <w:rsid w:val="00993AF5"/>
    <w:rsid w:val="00994FCB"/>
    <w:rsid w:val="00996506"/>
    <w:rsid w:val="009968EC"/>
    <w:rsid w:val="009A0ACD"/>
    <w:rsid w:val="009A18DB"/>
    <w:rsid w:val="009A2BA6"/>
    <w:rsid w:val="009A303C"/>
    <w:rsid w:val="009A675F"/>
    <w:rsid w:val="009A6992"/>
    <w:rsid w:val="009B05E6"/>
    <w:rsid w:val="009B14F2"/>
    <w:rsid w:val="009B24F9"/>
    <w:rsid w:val="009B32DD"/>
    <w:rsid w:val="009B4E98"/>
    <w:rsid w:val="009B5271"/>
    <w:rsid w:val="009B56EF"/>
    <w:rsid w:val="009B58EC"/>
    <w:rsid w:val="009B593B"/>
    <w:rsid w:val="009B6D89"/>
    <w:rsid w:val="009B7656"/>
    <w:rsid w:val="009C004A"/>
    <w:rsid w:val="009C0C53"/>
    <w:rsid w:val="009C126B"/>
    <w:rsid w:val="009C1970"/>
    <w:rsid w:val="009C1DC1"/>
    <w:rsid w:val="009C61F2"/>
    <w:rsid w:val="009C699A"/>
    <w:rsid w:val="009C6E8C"/>
    <w:rsid w:val="009D153E"/>
    <w:rsid w:val="009D3197"/>
    <w:rsid w:val="009D3403"/>
    <w:rsid w:val="009E1335"/>
    <w:rsid w:val="009E2761"/>
    <w:rsid w:val="009E6C2C"/>
    <w:rsid w:val="009E778C"/>
    <w:rsid w:val="009F0A38"/>
    <w:rsid w:val="009F6594"/>
    <w:rsid w:val="009F6E10"/>
    <w:rsid w:val="009F7E21"/>
    <w:rsid w:val="00A02056"/>
    <w:rsid w:val="00A04383"/>
    <w:rsid w:val="00A05548"/>
    <w:rsid w:val="00A06DA3"/>
    <w:rsid w:val="00A11464"/>
    <w:rsid w:val="00A123E3"/>
    <w:rsid w:val="00A13F92"/>
    <w:rsid w:val="00A14C36"/>
    <w:rsid w:val="00A15751"/>
    <w:rsid w:val="00A15FD3"/>
    <w:rsid w:val="00A1651C"/>
    <w:rsid w:val="00A208BD"/>
    <w:rsid w:val="00A20E42"/>
    <w:rsid w:val="00A21691"/>
    <w:rsid w:val="00A21C12"/>
    <w:rsid w:val="00A22514"/>
    <w:rsid w:val="00A25672"/>
    <w:rsid w:val="00A2672F"/>
    <w:rsid w:val="00A32E0A"/>
    <w:rsid w:val="00A3332D"/>
    <w:rsid w:val="00A33A98"/>
    <w:rsid w:val="00A350B9"/>
    <w:rsid w:val="00A3557B"/>
    <w:rsid w:val="00A35C36"/>
    <w:rsid w:val="00A407CC"/>
    <w:rsid w:val="00A408EB"/>
    <w:rsid w:val="00A40CC2"/>
    <w:rsid w:val="00A40F80"/>
    <w:rsid w:val="00A4272A"/>
    <w:rsid w:val="00A45B60"/>
    <w:rsid w:val="00A46540"/>
    <w:rsid w:val="00A47D06"/>
    <w:rsid w:val="00A52506"/>
    <w:rsid w:val="00A53299"/>
    <w:rsid w:val="00A53B68"/>
    <w:rsid w:val="00A56C74"/>
    <w:rsid w:val="00A61C27"/>
    <w:rsid w:val="00A62F85"/>
    <w:rsid w:val="00A632C2"/>
    <w:rsid w:val="00A63964"/>
    <w:rsid w:val="00A67D8B"/>
    <w:rsid w:val="00A7040A"/>
    <w:rsid w:val="00A7281D"/>
    <w:rsid w:val="00A72C17"/>
    <w:rsid w:val="00A7596B"/>
    <w:rsid w:val="00A7690D"/>
    <w:rsid w:val="00A84324"/>
    <w:rsid w:val="00A84AFC"/>
    <w:rsid w:val="00A90F6A"/>
    <w:rsid w:val="00A92459"/>
    <w:rsid w:val="00A9276D"/>
    <w:rsid w:val="00A92A32"/>
    <w:rsid w:val="00A92B67"/>
    <w:rsid w:val="00A939E8"/>
    <w:rsid w:val="00A93BF6"/>
    <w:rsid w:val="00A95125"/>
    <w:rsid w:val="00AA161C"/>
    <w:rsid w:val="00AA19B1"/>
    <w:rsid w:val="00AA2232"/>
    <w:rsid w:val="00AA2414"/>
    <w:rsid w:val="00AA2ED5"/>
    <w:rsid w:val="00AA37CD"/>
    <w:rsid w:val="00AA3BFD"/>
    <w:rsid w:val="00AA5CB2"/>
    <w:rsid w:val="00AB2B1A"/>
    <w:rsid w:val="00AB2E83"/>
    <w:rsid w:val="00AB4C0B"/>
    <w:rsid w:val="00AB527D"/>
    <w:rsid w:val="00AB5302"/>
    <w:rsid w:val="00AC139B"/>
    <w:rsid w:val="00AC1B2C"/>
    <w:rsid w:val="00AC2BE4"/>
    <w:rsid w:val="00AC6333"/>
    <w:rsid w:val="00AC6572"/>
    <w:rsid w:val="00AD111F"/>
    <w:rsid w:val="00AD4929"/>
    <w:rsid w:val="00AD5938"/>
    <w:rsid w:val="00AE00FB"/>
    <w:rsid w:val="00AE158D"/>
    <w:rsid w:val="00AE1A21"/>
    <w:rsid w:val="00AE22BA"/>
    <w:rsid w:val="00AE3747"/>
    <w:rsid w:val="00AE47AD"/>
    <w:rsid w:val="00AE4D55"/>
    <w:rsid w:val="00AE533E"/>
    <w:rsid w:val="00AE6808"/>
    <w:rsid w:val="00AF0C5C"/>
    <w:rsid w:val="00AF2396"/>
    <w:rsid w:val="00AF2C00"/>
    <w:rsid w:val="00AF3F36"/>
    <w:rsid w:val="00AF77F1"/>
    <w:rsid w:val="00AF7872"/>
    <w:rsid w:val="00B0144C"/>
    <w:rsid w:val="00B0152F"/>
    <w:rsid w:val="00B020D7"/>
    <w:rsid w:val="00B04D83"/>
    <w:rsid w:val="00B04FAE"/>
    <w:rsid w:val="00B068D6"/>
    <w:rsid w:val="00B07607"/>
    <w:rsid w:val="00B105F7"/>
    <w:rsid w:val="00B12CC7"/>
    <w:rsid w:val="00B13EE8"/>
    <w:rsid w:val="00B16E54"/>
    <w:rsid w:val="00B177A2"/>
    <w:rsid w:val="00B17FC5"/>
    <w:rsid w:val="00B230BA"/>
    <w:rsid w:val="00B23F4C"/>
    <w:rsid w:val="00B2420E"/>
    <w:rsid w:val="00B2555E"/>
    <w:rsid w:val="00B260D1"/>
    <w:rsid w:val="00B27A3E"/>
    <w:rsid w:val="00B308EB"/>
    <w:rsid w:val="00B30F64"/>
    <w:rsid w:val="00B3313B"/>
    <w:rsid w:val="00B331C0"/>
    <w:rsid w:val="00B3407C"/>
    <w:rsid w:val="00B35851"/>
    <w:rsid w:val="00B36C49"/>
    <w:rsid w:val="00B36C7F"/>
    <w:rsid w:val="00B41274"/>
    <w:rsid w:val="00B41994"/>
    <w:rsid w:val="00B445DA"/>
    <w:rsid w:val="00B45671"/>
    <w:rsid w:val="00B50114"/>
    <w:rsid w:val="00B51166"/>
    <w:rsid w:val="00B51911"/>
    <w:rsid w:val="00B52A03"/>
    <w:rsid w:val="00B55E40"/>
    <w:rsid w:val="00B6170E"/>
    <w:rsid w:val="00B626A6"/>
    <w:rsid w:val="00B66DAD"/>
    <w:rsid w:val="00B7006C"/>
    <w:rsid w:val="00B7025F"/>
    <w:rsid w:val="00B72C4F"/>
    <w:rsid w:val="00B76A1B"/>
    <w:rsid w:val="00B77B1A"/>
    <w:rsid w:val="00B77E4F"/>
    <w:rsid w:val="00B802C5"/>
    <w:rsid w:val="00B80717"/>
    <w:rsid w:val="00B83072"/>
    <w:rsid w:val="00B83367"/>
    <w:rsid w:val="00B8483F"/>
    <w:rsid w:val="00B91EAF"/>
    <w:rsid w:val="00B95730"/>
    <w:rsid w:val="00B95A27"/>
    <w:rsid w:val="00B972AD"/>
    <w:rsid w:val="00B975E8"/>
    <w:rsid w:val="00BA0253"/>
    <w:rsid w:val="00BA03A6"/>
    <w:rsid w:val="00BA143B"/>
    <w:rsid w:val="00BA22FE"/>
    <w:rsid w:val="00BA445B"/>
    <w:rsid w:val="00BA4FDA"/>
    <w:rsid w:val="00BA707B"/>
    <w:rsid w:val="00BB0A13"/>
    <w:rsid w:val="00BB0C5E"/>
    <w:rsid w:val="00BB3AC1"/>
    <w:rsid w:val="00BB407A"/>
    <w:rsid w:val="00BB45D5"/>
    <w:rsid w:val="00BB7026"/>
    <w:rsid w:val="00BB78FE"/>
    <w:rsid w:val="00BC3524"/>
    <w:rsid w:val="00BC4F45"/>
    <w:rsid w:val="00BC641A"/>
    <w:rsid w:val="00BC7731"/>
    <w:rsid w:val="00BD1B90"/>
    <w:rsid w:val="00BD60FE"/>
    <w:rsid w:val="00BD79B7"/>
    <w:rsid w:val="00BE0C23"/>
    <w:rsid w:val="00BE24AB"/>
    <w:rsid w:val="00BE3245"/>
    <w:rsid w:val="00BE3AF0"/>
    <w:rsid w:val="00BE66C7"/>
    <w:rsid w:val="00BE6D21"/>
    <w:rsid w:val="00BF1BF1"/>
    <w:rsid w:val="00BF23C0"/>
    <w:rsid w:val="00BF2628"/>
    <w:rsid w:val="00BF26BF"/>
    <w:rsid w:val="00BF2FC4"/>
    <w:rsid w:val="00BF412E"/>
    <w:rsid w:val="00BF42D8"/>
    <w:rsid w:val="00BF52BA"/>
    <w:rsid w:val="00BF5CE4"/>
    <w:rsid w:val="00BF75AF"/>
    <w:rsid w:val="00BF7E48"/>
    <w:rsid w:val="00C0010B"/>
    <w:rsid w:val="00C005A4"/>
    <w:rsid w:val="00C00C9F"/>
    <w:rsid w:val="00C02A0B"/>
    <w:rsid w:val="00C03B66"/>
    <w:rsid w:val="00C03CF5"/>
    <w:rsid w:val="00C04640"/>
    <w:rsid w:val="00C04919"/>
    <w:rsid w:val="00C05C2D"/>
    <w:rsid w:val="00C07F4E"/>
    <w:rsid w:val="00C10448"/>
    <w:rsid w:val="00C10AA1"/>
    <w:rsid w:val="00C14A77"/>
    <w:rsid w:val="00C15E9A"/>
    <w:rsid w:val="00C169CF"/>
    <w:rsid w:val="00C232B8"/>
    <w:rsid w:val="00C2349F"/>
    <w:rsid w:val="00C24BE4"/>
    <w:rsid w:val="00C24C46"/>
    <w:rsid w:val="00C250C7"/>
    <w:rsid w:val="00C25E4B"/>
    <w:rsid w:val="00C26F36"/>
    <w:rsid w:val="00C27CD0"/>
    <w:rsid w:val="00C336A4"/>
    <w:rsid w:val="00C35445"/>
    <w:rsid w:val="00C41B13"/>
    <w:rsid w:val="00C42069"/>
    <w:rsid w:val="00C43848"/>
    <w:rsid w:val="00C476AD"/>
    <w:rsid w:val="00C50318"/>
    <w:rsid w:val="00C50CFB"/>
    <w:rsid w:val="00C52BB3"/>
    <w:rsid w:val="00C54066"/>
    <w:rsid w:val="00C54629"/>
    <w:rsid w:val="00C55421"/>
    <w:rsid w:val="00C62FB0"/>
    <w:rsid w:val="00C65322"/>
    <w:rsid w:val="00C66210"/>
    <w:rsid w:val="00C67C43"/>
    <w:rsid w:val="00C710C7"/>
    <w:rsid w:val="00C71B36"/>
    <w:rsid w:val="00C73C9D"/>
    <w:rsid w:val="00C76FCE"/>
    <w:rsid w:val="00C81458"/>
    <w:rsid w:val="00C857F8"/>
    <w:rsid w:val="00C920C0"/>
    <w:rsid w:val="00C92B5D"/>
    <w:rsid w:val="00C92F79"/>
    <w:rsid w:val="00C94EA8"/>
    <w:rsid w:val="00C951D7"/>
    <w:rsid w:val="00C974FC"/>
    <w:rsid w:val="00CA189C"/>
    <w:rsid w:val="00CA2217"/>
    <w:rsid w:val="00CA4447"/>
    <w:rsid w:val="00CA57A1"/>
    <w:rsid w:val="00CA6FC9"/>
    <w:rsid w:val="00CB2D18"/>
    <w:rsid w:val="00CB3E45"/>
    <w:rsid w:val="00CB4E16"/>
    <w:rsid w:val="00CB71A8"/>
    <w:rsid w:val="00CC0210"/>
    <w:rsid w:val="00CC0614"/>
    <w:rsid w:val="00CC2D86"/>
    <w:rsid w:val="00CC33DA"/>
    <w:rsid w:val="00CC3A96"/>
    <w:rsid w:val="00CC7DEA"/>
    <w:rsid w:val="00CD02BF"/>
    <w:rsid w:val="00CD2E7A"/>
    <w:rsid w:val="00CD3E47"/>
    <w:rsid w:val="00CD7A5A"/>
    <w:rsid w:val="00CE1412"/>
    <w:rsid w:val="00CE1F49"/>
    <w:rsid w:val="00CE3DC3"/>
    <w:rsid w:val="00CE452B"/>
    <w:rsid w:val="00CE4710"/>
    <w:rsid w:val="00CE4AAE"/>
    <w:rsid w:val="00CE52D2"/>
    <w:rsid w:val="00CE5CBC"/>
    <w:rsid w:val="00CE7DD2"/>
    <w:rsid w:val="00CE7E75"/>
    <w:rsid w:val="00CF151D"/>
    <w:rsid w:val="00CF1ED1"/>
    <w:rsid w:val="00CF3730"/>
    <w:rsid w:val="00CF3B5D"/>
    <w:rsid w:val="00CF473D"/>
    <w:rsid w:val="00CF496F"/>
    <w:rsid w:val="00CF5583"/>
    <w:rsid w:val="00CF55D2"/>
    <w:rsid w:val="00CF77C4"/>
    <w:rsid w:val="00D01C4E"/>
    <w:rsid w:val="00D02659"/>
    <w:rsid w:val="00D0285F"/>
    <w:rsid w:val="00D03ADC"/>
    <w:rsid w:val="00D050DE"/>
    <w:rsid w:val="00D05811"/>
    <w:rsid w:val="00D06466"/>
    <w:rsid w:val="00D072CD"/>
    <w:rsid w:val="00D07D52"/>
    <w:rsid w:val="00D10057"/>
    <w:rsid w:val="00D10711"/>
    <w:rsid w:val="00D1239D"/>
    <w:rsid w:val="00D14377"/>
    <w:rsid w:val="00D1577F"/>
    <w:rsid w:val="00D15815"/>
    <w:rsid w:val="00D15DF6"/>
    <w:rsid w:val="00D16BA4"/>
    <w:rsid w:val="00D17DC8"/>
    <w:rsid w:val="00D200C6"/>
    <w:rsid w:val="00D205CC"/>
    <w:rsid w:val="00D20828"/>
    <w:rsid w:val="00D20CEC"/>
    <w:rsid w:val="00D2219A"/>
    <w:rsid w:val="00D22770"/>
    <w:rsid w:val="00D239E3"/>
    <w:rsid w:val="00D23BBB"/>
    <w:rsid w:val="00D27FAD"/>
    <w:rsid w:val="00D30F42"/>
    <w:rsid w:val="00D32EB7"/>
    <w:rsid w:val="00D32F47"/>
    <w:rsid w:val="00D33ACB"/>
    <w:rsid w:val="00D33EC3"/>
    <w:rsid w:val="00D34157"/>
    <w:rsid w:val="00D35CA8"/>
    <w:rsid w:val="00D36096"/>
    <w:rsid w:val="00D3668B"/>
    <w:rsid w:val="00D371A7"/>
    <w:rsid w:val="00D41580"/>
    <w:rsid w:val="00D42DAB"/>
    <w:rsid w:val="00D4437D"/>
    <w:rsid w:val="00D45014"/>
    <w:rsid w:val="00D45050"/>
    <w:rsid w:val="00D465AF"/>
    <w:rsid w:val="00D466D1"/>
    <w:rsid w:val="00D4739D"/>
    <w:rsid w:val="00D505D6"/>
    <w:rsid w:val="00D50A1F"/>
    <w:rsid w:val="00D51402"/>
    <w:rsid w:val="00D516F5"/>
    <w:rsid w:val="00D52357"/>
    <w:rsid w:val="00D5357C"/>
    <w:rsid w:val="00D55B00"/>
    <w:rsid w:val="00D55D57"/>
    <w:rsid w:val="00D56ECD"/>
    <w:rsid w:val="00D604D3"/>
    <w:rsid w:val="00D63339"/>
    <w:rsid w:val="00D671C9"/>
    <w:rsid w:val="00D6722E"/>
    <w:rsid w:val="00D70920"/>
    <w:rsid w:val="00D71146"/>
    <w:rsid w:val="00D71335"/>
    <w:rsid w:val="00D73B6B"/>
    <w:rsid w:val="00D762AE"/>
    <w:rsid w:val="00D82AC3"/>
    <w:rsid w:val="00D844A0"/>
    <w:rsid w:val="00D84AF0"/>
    <w:rsid w:val="00D854DF"/>
    <w:rsid w:val="00D85624"/>
    <w:rsid w:val="00D87391"/>
    <w:rsid w:val="00D904BD"/>
    <w:rsid w:val="00D91398"/>
    <w:rsid w:val="00D9260F"/>
    <w:rsid w:val="00D9391A"/>
    <w:rsid w:val="00D94E7D"/>
    <w:rsid w:val="00D95999"/>
    <w:rsid w:val="00D96382"/>
    <w:rsid w:val="00DA04DC"/>
    <w:rsid w:val="00DA1D20"/>
    <w:rsid w:val="00DA2A7E"/>
    <w:rsid w:val="00DA428A"/>
    <w:rsid w:val="00DA525D"/>
    <w:rsid w:val="00DA592D"/>
    <w:rsid w:val="00DA6080"/>
    <w:rsid w:val="00DA7BC2"/>
    <w:rsid w:val="00DA7EED"/>
    <w:rsid w:val="00DB16B7"/>
    <w:rsid w:val="00DB27A3"/>
    <w:rsid w:val="00DB4295"/>
    <w:rsid w:val="00DB4736"/>
    <w:rsid w:val="00DB47F8"/>
    <w:rsid w:val="00DB685D"/>
    <w:rsid w:val="00DC0186"/>
    <w:rsid w:val="00DC0779"/>
    <w:rsid w:val="00DC1009"/>
    <w:rsid w:val="00DC1D1B"/>
    <w:rsid w:val="00DC2073"/>
    <w:rsid w:val="00DC3342"/>
    <w:rsid w:val="00DC4DA2"/>
    <w:rsid w:val="00DC61EB"/>
    <w:rsid w:val="00DC7217"/>
    <w:rsid w:val="00DD351D"/>
    <w:rsid w:val="00DD36EA"/>
    <w:rsid w:val="00DD4EFA"/>
    <w:rsid w:val="00DE001F"/>
    <w:rsid w:val="00DE0389"/>
    <w:rsid w:val="00DE0804"/>
    <w:rsid w:val="00DE1634"/>
    <w:rsid w:val="00DE16EF"/>
    <w:rsid w:val="00DE30E5"/>
    <w:rsid w:val="00DE5CD5"/>
    <w:rsid w:val="00DE6648"/>
    <w:rsid w:val="00DE6A2E"/>
    <w:rsid w:val="00DE72AB"/>
    <w:rsid w:val="00DE72C5"/>
    <w:rsid w:val="00DF617F"/>
    <w:rsid w:val="00DF6D87"/>
    <w:rsid w:val="00DF7764"/>
    <w:rsid w:val="00E02E91"/>
    <w:rsid w:val="00E02F20"/>
    <w:rsid w:val="00E068CF"/>
    <w:rsid w:val="00E068E3"/>
    <w:rsid w:val="00E07958"/>
    <w:rsid w:val="00E07F4D"/>
    <w:rsid w:val="00E10029"/>
    <w:rsid w:val="00E10099"/>
    <w:rsid w:val="00E104EA"/>
    <w:rsid w:val="00E10ED4"/>
    <w:rsid w:val="00E120DE"/>
    <w:rsid w:val="00E13644"/>
    <w:rsid w:val="00E13896"/>
    <w:rsid w:val="00E20339"/>
    <w:rsid w:val="00E20C9C"/>
    <w:rsid w:val="00E21EC7"/>
    <w:rsid w:val="00E22102"/>
    <w:rsid w:val="00E227B8"/>
    <w:rsid w:val="00E22D5D"/>
    <w:rsid w:val="00E30099"/>
    <w:rsid w:val="00E33422"/>
    <w:rsid w:val="00E353D1"/>
    <w:rsid w:val="00E3595B"/>
    <w:rsid w:val="00E35975"/>
    <w:rsid w:val="00E3618F"/>
    <w:rsid w:val="00E412D5"/>
    <w:rsid w:val="00E43140"/>
    <w:rsid w:val="00E438A3"/>
    <w:rsid w:val="00E44F25"/>
    <w:rsid w:val="00E46DCE"/>
    <w:rsid w:val="00E47DD0"/>
    <w:rsid w:val="00E5289E"/>
    <w:rsid w:val="00E54C68"/>
    <w:rsid w:val="00E56D68"/>
    <w:rsid w:val="00E56DDC"/>
    <w:rsid w:val="00E6557D"/>
    <w:rsid w:val="00E656F1"/>
    <w:rsid w:val="00E672F6"/>
    <w:rsid w:val="00E67FA1"/>
    <w:rsid w:val="00E7002C"/>
    <w:rsid w:val="00E72B0E"/>
    <w:rsid w:val="00E738C0"/>
    <w:rsid w:val="00E76921"/>
    <w:rsid w:val="00E76EB6"/>
    <w:rsid w:val="00E7780E"/>
    <w:rsid w:val="00E8014D"/>
    <w:rsid w:val="00E81189"/>
    <w:rsid w:val="00E84389"/>
    <w:rsid w:val="00E84C7E"/>
    <w:rsid w:val="00E85C33"/>
    <w:rsid w:val="00E87647"/>
    <w:rsid w:val="00E903C1"/>
    <w:rsid w:val="00E92364"/>
    <w:rsid w:val="00E92830"/>
    <w:rsid w:val="00E9579F"/>
    <w:rsid w:val="00E97E88"/>
    <w:rsid w:val="00EA1DBD"/>
    <w:rsid w:val="00EA3989"/>
    <w:rsid w:val="00EA47D9"/>
    <w:rsid w:val="00EA63D7"/>
    <w:rsid w:val="00EB4201"/>
    <w:rsid w:val="00EB439C"/>
    <w:rsid w:val="00EB7989"/>
    <w:rsid w:val="00EC1664"/>
    <w:rsid w:val="00EC6B35"/>
    <w:rsid w:val="00EC7B83"/>
    <w:rsid w:val="00ED13CF"/>
    <w:rsid w:val="00ED14BF"/>
    <w:rsid w:val="00ED15AD"/>
    <w:rsid w:val="00ED1B86"/>
    <w:rsid w:val="00ED526A"/>
    <w:rsid w:val="00ED5A10"/>
    <w:rsid w:val="00ED6E9A"/>
    <w:rsid w:val="00EE0668"/>
    <w:rsid w:val="00EE22A3"/>
    <w:rsid w:val="00EE271B"/>
    <w:rsid w:val="00EE2D68"/>
    <w:rsid w:val="00EE3452"/>
    <w:rsid w:val="00EE4039"/>
    <w:rsid w:val="00EF0B75"/>
    <w:rsid w:val="00EF0EAD"/>
    <w:rsid w:val="00EF1E83"/>
    <w:rsid w:val="00EF2225"/>
    <w:rsid w:val="00EF2E96"/>
    <w:rsid w:val="00EF35B6"/>
    <w:rsid w:val="00EF3E36"/>
    <w:rsid w:val="00EF6729"/>
    <w:rsid w:val="00EF6C7D"/>
    <w:rsid w:val="00F0033C"/>
    <w:rsid w:val="00F013F9"/>
    <w:rsid w:val="00F05863"/>
    <w:rsid w:val="00F070D0"/>
    <w:rsid w:val="00F074B1"/>
    <w:rsid w:val="00F10898"/>
    <w:rsid w:val="00F1276E"/>
    <w:rsid w:val="00F12B70"/>
    <w:rsid w:val="00F13747"/>
    <w:rsid w:val="00F156B8"/>
    <w:rsid w:val="00F1632D"/>
    <w:rsid w:val="00F1756F"/>
    <w:rsid w:val="00F17933"/>
    <w:rsid w:val="00F25FB7"/>
    <w:rsid w:val="00F2695B"/>
    <w:rsid w:val="00F31BB4"/>
    <w:rsid w:val="00F31BC7"/>
    <w:rsid w:val="00F330D4"/>
    <w:rsid w:val="00F34E02"/>
    <w:rsid w:val="00F35499"/>
    <w:rsid w:val="00F358C0"/>
    <w:rsid w:val="00F41E02"/>
    <w:rsid w:val="00F4437C"/>
    <w:rsid w:val="00F451FD"/>
    <w:rsid w:val="00F50C08"/>
    <w:rsid w:val="00F53675"/>
    <w:rsid w:val="00F538E7"/>
    <w:rsid w:val="00F54E59"/>
    <w:rsid w:val="00F5568E"/>
    <w:rsid w:val="00F5753A"/>
    <w:rsid w:val="00F57DCD"/>
    <w:rsid w:val="00F604CB"/>
    <w:rsid w:val="00F62474"/>
    <w:rsid w:val="00F636DC"/>
    <w:rsid w:val="00F64F09"/>
    <w:rsid w:val="00F65DC9"/>
    <w:rsid w:val="00F70DB2"/>
    <w:rsid w:val="00F71D41"/>
    <w:rsid w:val="00F72E9B"/>
    <w:rsid w:val="00F746AF"/>
    <w:rsid w:val="00F7470F"/>
    <w:rsid w:val="00F74C35"/>
    <w:rsid w:val="00F771F4"/>
    <w:rsid w:val="00F776FE"/>
    <w:rsid w:val="00F8147B"/>
    <w:rsid w:val="00F81816"/>
    <w:rsid w:val="00F81E91"/>
    <w:rsid w:val="00F87C2B"/>
    <w:rsid w:val="00F87E6E"/>
    <w:rsid w:val="00F90F6E"/>
    <w:rsid w:val="00F927B8"/>
    <w:rsid w:val="00F932A7"/>
    <w:rsid w:val="00F937E3"/>
    <w:rsid w:val="00F94060"/>
    <w:rsid w:val="00F9417B"/>
    <w:rsid w:val="00F95291"/>
    <w:rsid w:val="00FA2588"/>
    <w:rsid w:val="00FA3F70"/>
    <w:rsid w:val="00FA4047"/>
    <w:rsid w:val="00FA55C8"/>
    <w:rsid w:val="00FA753E"/>
    <w:rsid w:val="00FB0B0E"/>
    <w:rsid w:val="00FB1065"/>
    <w:rsid w:val="00FB261D"/>
    <w:rsid w:val="00FB4508"/>
    <w:rsid w:val="00FB5887"/>
    <w:rsid w:val="00FB7177"/>
    <w:rsid w:val="00FB73A8"/>
    <w:rsid w:val="00FC11EE"/>
    <w:rsid w:val="00FC44AA"/>
    <w:rsid w:val="00FC57C2"/>
    <w:rsid w:val="00FC5DE9"/>
    <w:rsid w:val="00FD04D0"/>
    <w:rsid w:val="00FD08BA"/>
    <w:rsid w:val="00FD0C3A"/>
    <w:rsid w:val="00FD1FC1"/>
    <w:rsid w:val="00FD26E4"/>
    <w:rsid w:val="00FD38AD"/>
    <w:rsid w:val="00FD44F7"/>
    <w:rsid w:val="00FD6F75"/>
    <w:rsid w:val="00FD72FC"/>
    <w:rsid w:val="00FD77AD"/>
    <w:rsid w:val="00FE1144"/>
    <w:rsid w:val="00FE260C"/>
    <w:rsid w:val="00FE26CF"/>
    <w:rsid w:val="00FE6EA8"/>
    <w:rsid w:val="00FE7414"/>
    <w:rsid w:val="00FE7AAB"/>
    <w:rsid w:val="00FF30C1"/>
    <w:rsid w:val="00FF44A3"/>
    <w:rsid w:val="00FF5072"/>
    <w:rsid w:val="00FF6E6F"/>
    <w:rsid w:val="00FF752F"/>
    <w:rsid w:val="00FF7808"/>
    <w:rsid w:val="00FF793C"/>
    <w:rsid w:val="00FF7A0E"/>
    <w:rsid w:val="00FF7A11"/>
    <w:rsid w:val="03970A41"/>
    <w:rsid w:val="09F150BA"/>
    <w:rsid w:val="16766474"/>
    <w:rsid w:val="1DF556C0"/>
    <w:rsid w:val="28D8094E"/>
    <w:rsid w:val="4DED180A"/>
    <w:rsid w:val="54F974BE"/>
    <w:rsid w:val="598A78EB"/>
    <w:rsid w:val="5A380F0B"/>
    <w:rsid w:val="650B63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99"/>
  </w:style>
  <w:style w:type="paragraph" w:styleId="3">
    <w:name w:val="Balloon Text"/>
    <w:basedOn w:val="1"/>
    <w:link w:val="14"/>
    <w:qFormat/>
    <w:uiPriority w:val="0"/>
    <w:rPr>
      <w:sz w:val="18"/>
      <w:szCs w:val="18"/>
    </w:rPr>
  </w:style>
  <w:style w:type="paragraph" w:styleId="4">
    <w:name w:val="footer"/>
    <w:basedOn w:val="1"/>
    <w:link w:val="13"/>
    <w:uiPriority w:val="99"/>
    <w:pPr>
      <w:tabs>
        <w:tab w:val="center" w:pos="4153"/>
        <w:tab w:val="right" w:pos="8306"/>
      </w:tabs>
      <w:snapToGrid w:val="0"/>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0"/>
    <w:rPr>
      <w:b/>
      <w:bCs/>
    </w:rPr>
  </w:style>
  <w:style w:type="table" w:styleId="8">
    <w:name w:val="Table Grid"/>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0"/>
    <w:rPr>
      <w:color w:val="0000FF" w:themeColor="hyperlink"/>
      <w:u w:val="single"/>
      <w14:textFill>
        <w14:solidFill>
          <w14:schemeClr w14:val="hlink"/>
        </w14:solidFill>
      </w14:textFill>
    </w:rPr>
  </w:style>
  <w:style w:type="character" w:styleId="11">
    <w:name w:val="annotation reference"/>
    <w:basedOn w:val="9"/>
    <w:semiHidden/>
    <w:unhideWhenUsed/>
    <w:qFormat/>
    <w:uiPriority w:val="0"/>
    <w:rPr>
      <w:sz w:val="21"/>
      <w:szCs w:val="21"/>
    </w:rPr>
  </w:style>
  <w:style w:type="character" w:customStyle="1" w:styleId="12">
    <w:name w:val="页眉 Char"/>
    <w:link w:val="5"/>
    <w:qFormat/>
    <w:uiPriority w:val="99"/>
    <w:rPr>
      <w:rFonts w:ascii="宋体" w:hAnsi="宋体" w:eastAsia="宋体" w:cs="宋体"/>
      <w:sz w:val="18"/>
      <w:szCs w:val="18"/>
    </w:rPr>
  </w:style>
  <w:style w:type="character" w:customStyle="1" w:styleId="13">
    <w:name w:val="页脚 Char"/>
    <w:link w:val="4"/>
    <w:qFormat/>
    <w:uiPriority w:val="99"/>
    <w:rPr>
      <w:rFonts w:ascii="宋体" w:hAnsi="宋体" w:eastAsia="宋体" w:cs="宋体"/>
      <w:sz w:val="18"/>
      <w:szCs w:val="18"/>
    </w:rPr>
  </w:style>
  <w:style w:type="character" w:customStyle="1" w:styleId="14">
    <w:name w:val="批注框文本 Char"/>
    <w:link w:val="3"/>
    <w:qFormat/>
    <w:uiPriority w:val="0"/>
    <w:rPr>
      <w:rFonts w:ascii="宋体" w:hAnsi="宋体" w:eastAsia="宋体" w:cs="宋体"/>
      <w:sz w:val="18"/>
      <w:szCs w:val="18"/>
    </w:rPr>
  </w:style>
  <w:style w:type="paragraph" w:customStyle="1" w:styleId="15">
    <w:name w:val="普通(网站)1"/>
    <w:basedOn w:val="1"/>
    <w:qFormat/>
    <w:uiPriority w:val="0"/>
    <w:pPr>
      <w:spacing w:before="100" w:beforeAutospacing="1" w:after="100" w:afterAutospacing="1"/>
    </w:pPr>
  </w:style>
  <w:style w:type="character" w:customStyle="1" w:styleId="16">
    <w:name w:val="批注文字 Char"/>
    <w:basedOn w:val="9"/>
    <w:link w:val="2"/>
    <w:qFormat/>
    <w:uiPriority w:val="99"/>
    <w:rPr>
      <w:rFonts w:ascii="宋体" w:hAnsi="宋体" w:cs="宋体"/>
      <w:sz w:val="24"/>
      <w:szCs w:val="24"/>
    </w:rPr>
  </w:style>
  <w:style w:type="character" w:customStyle="1" w:styleId="17">
    <w:name w:val="批注主题 Char"/>
    <w:basedOn w:val="16"/>
    <w:link w:val="6"/>
    <w:semiHidden/>
    <w:qFormat/>
    <w:uiPriority w:val="0"/>
    <w:rPr>
      <w:rFonts w:ascii="宋体" w:hAnsi="宋体" w:cs="宋体"/>
      <w:b/>
      <w:bCs/>
      <w:sz w:val="24"/>
      <w:szCs w:val="24"/>
    </w:rPr>
  </w:style>
  <w:style w:type="paragraph" w:styleId="18">
    <w:name w:val="List Paragraph"/>
    <w:basedOn w:val="1"/>
    <w:qFormat/>
    <w:uiPriority w:val="34"/>
    <w:pPr>
      <w:ind w:firstLine="420" w:firstLineChars="200"/>
    </w:pPr>
  </w:style>
  <w:style w:type="paragraph" w:customStyle="1" w:styleId="19">
    <w:name w:val="修订1"/>
    <w:hidden/>
    <w:semiHidden/>
    <w:qFormat/>
    <w:uiPriority w:val="99"/>
    <w:rPr>
      <w:rFonts w:ascii="宋体" w:hAnsi="宋体" w:eastAsia="宋体" w:cs="宋体"/>
      <w:sz w:val="24"/>
      <w:szCs w:val="24"/>
      <w:lang w:val="en-US" w:eastAsia="zh-CN" w:bidi="ar-SA"/>
    </w:rPr>
  </w:style>
  <w:style w:type="paragraph" w:customStyle="1" w:styleId="20">
    <w:name w:val="Revision"/>
    <w:hidden/>
    <w:semiHidden/>
    <w:qFormat/>
    <w:uiPriority w:val="99"/>
    <w:rPr>
      <w:rFonts w:ascii="宋体" w:hAnsi="宋体" w:eastAsia="宋体" w:cs="宋体"/>
      <w:sz w:val="24"/>
      <w:szCs w:val="24"/>
      <w:lang w:val="en-US" w:eastAsia="zh-CN" w:bidi="ar-SA"/>
    </w:rPr>
  </w:style>
  <w:style w:type="paragraph" w:customStyle="1" w:styleId="21">
    <w:name w:val="Char Char"/>
    <w:basedOn w:val="1"/>
    <w:qFormat/>
    <w:uiPriority w:val="0"/>
    <w:pPr>
      <w:widowControl w:val="0"/>
      <w:jc w:val="both"/>
    </w:pPr>
    <w:rPr>
      <w:rFonts w:ascii="Times New Roman" w:hAnsi="Times New Roman" w:cs="Times New Roman"/>
      <w:kern w:val="2"/>
      <w:sz w:val="21"/>
      <w:szCs w:val="20"/>
    </w:rPr>
  </w:style>
  <w:style w:type="paragraph" w:customStyle="1" w:styleId="22">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character" w:customStyle="1" w:styleId="24">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ZXB\&#39033;&#30446;&#24211;\04.&#31995;&#32479;&#35774;&#35745;\&#35814;&#32454;&#35774;&#35745;\&#20135;&#21697;&#31649;&#29702;\&#20449;&#24687;&#25259;&#38706;\&#20449;&#24687;&#25259;&#38706;&#27169;&#26495;\&#27169;&#26495;&#25991;&#20214;\Normal_Wordconv"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1C537-5F36-46BF-B783-6D33B83C4AF4}">
  <ds:schemaRefs/>
</ds:datastoreItem>
</file>

<file path=docProps/app.xml><?xml version="1.0" encoding="utf-8"?>
<Properties xmlns="http://schemas.openxmlformats.org/officeDocument/2006/extended-properties" xmlns:vt="http://schemas.openxmlformats.org/officeDocument/2006/docPropsVTypes">
  <Template>Normal_Wordconv</Template>
  <Company>citicbank</Company>
  <Pages>46</Pages>
  <Words>5379</Words>
  <Characters>30666</Characters>
  <Lines>255</Lines>
  <Paragraphs>71</Paragraphs>
  <TotalTime>17</TotalTime>
  <ScaleCrop>false</ScaleCrop>
  <LinksUpToDate>false</LinksUpToDate>
  <CharactersWithSpaces>35974</CharactersWithSpaces>
  <Application>WPS Office_12.8.2.17838_F1E327BC-269C-435d-A152-05C5408002CA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2024-11-04T03:01:00Z</dcterms:created>
  <dc:creator>王晓明</dc:creator>
  <cp:lastModifiedBy>ynjr_zhangguoyou</cp:lastModifiedBy>
  <cp:lastPrinted>2025-08-27T06:02:00Z</cp:lastPrinted>
  <dcterms:modified xsi:type="dcterms:W3CDTF">2025-11-21T08:00:11Z</dcterms:modified>
  <dc:title>产品说明书</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047A6A3E97BC44AEB4428996E06734CE_12</vt:lpwstr>
  </property>
</Properties>
</file>