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EFDC4E3">
      <w:pPr>
        <w:shd w:val="clear" w:color="auto" w:fill="FFFFFF"/>
        <w:spacing w:line="300" w:lineRule="exact"/>
        <w:jc w:val="center"/>
        <w:outlineLvl w:val="1"/>
        <w:rPr>
          <w:rFonts w:ascii="Times New Roman" w:hAnsi="Times New Roman" w:eastAsia="黑体" w:cs="Times New Roman"/>
          <w:sz w:val="22"/>
        </w:rPr>
      </w:pPr>
      <w:r>
        <w:rPr>
          <w:rFonts w:hint="eastAsia" w:ascii="Times New Roman" w:hAnsi="Times New Roman" w:eastAsia="黑体" w:cs="Times New Roman"/>
          <w:sz w:val="22"/>
        </w:rPr>
        <w:t>信银理财理财产品投资协议书</w:t>
      </w:r>
    </w:p>
    <w:p w14:paraId="21CB3519">
      <w:pPr>
        <w:spacing w:line="300" w:lineRule="exact"/>
        <w:ind w:firstLine="480"/>
        <w:rPr>
          <w:rFonts w:ascii="Times New Roman" w:hAnsi="Times New Roman" w:eastAsia="楷体_GB2312" w:cs="Times New Roman"/>
          <w:sz w:val="20"/>
          <w:szCs w:val="20"/>
        </w:rPr>
      </w:pPr>
    </w:p>
    <w:p w14:paraId="3D270852">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甲方：投资者（投资者信息详见签署页）</w:t>
      </w:r>
    </w:p>
    <w:p w14:paraId="0D7D5D7D">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乙方：信银理财有限责任公司</w:t>
      </w:r>
    </w:p>
    <w:p w14:paraId="412A7EAC">
      <w:pPr>
        <w:spacing w:line="300" w:lineRule="exact"/>
        <w:ind w:firstLine="480"/>
        <w:rPr>
          <w:rFonts w:ascii="Times New Roman" w:hAnsi="Times New Roman" w:eastAsia="楷体_GB2312" w:cs="Times New Roman"/>
          <w:sz w:val="20"/>
          <w:szCs w:val="20"/>
        </w:rPr>
      </w:pPr>
      <w:bookmarkStart w:id="2" w:name="_GoBack"/>
      <w:bookmarkEnd w:id="2"/>
    </w:p>
    <w:p w14:paraId="6CD57B25">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经甲方和乙方平等协商，就甲方认购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申购乙方发行的理财产品（以下简称</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理财产品</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），达成本协议如下：</w:t>
      </w:r>
    </w:p>
    <w:p w14:paraId="22832313">
      <w:pPr>
        <w:spacing w:line="300" w:lineRule="exact"/>
        <w:ind w:firstLine="480"/>
        <w:rPr>
          <w:rFonts w:ascii="Times New Roman" w:hAnsi="Times New Roman" w:eastAsia="楷体_GB2312" w:cs="Times New Roman"/>
          <w:b/>
          <w:bCs/>
          <w:sz w:val="20"/>
          <w:szCs w:val="20"/>
        </w:rPr>
      </w:pPr>
    </w:p>
    <w:p w14:paraId="1E300DFE">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b/>
          <w:bCs/>
          <w:sz w:val="20"/>
          <w:szCs w:val="20"/>
        </w:rPr>
        <w:t>一、适用范围</w:t>
      </w:r>
    </w:p>
    <w:p w14:paraId="0D2C01F2">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甲方在认购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申购乙方发行的理财产品之前应签署本协议。本协议生效后，甲方认购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申购乙方发行的理财产品的，均适用本协议。</w:t>
      </w:r>
    </w:p>
    <w:p w14:paraId="771958BC">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本协议为规范甲乙双方在理财业务中权利与义务的法律文件，与甲方认购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申购理财产品对应的《信银理财理财产品产品说明书》《信银理财理财产品风险揭示书》等相关文件与本协议共同构成理财产品合同的有效组成部分，与本协议具有同等法律效力。甲方认购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申购乙方多支理财产品时，不同理财产品对应的《信银理财理财产品产品说明书》《信银理财理财产品风险揭示书》组成的理财产品合同互相独立。</w:t>
      </w:r>
    </w:p>
    <w:p w14:paraId="0E1C46FA">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本协议不作为甲方认购</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申购或持有理财产品的凭证。</w:t>
      </w:r>
    </w:p>
    <w:p w14:paraId="0207684D">
      <w:pPr>
        <w:spacing w:line="300" w:lineRule="exact"/>
        <w:ind w:firstLine="482"/>
        <w:rPr>
          <w:rFonts w:ascii="Times New Roman" w:hAnsi="Times New Roman" w:eastAsia="楷体_GB2312" w:cs="Times New Roman"/>
          <w:sz w:val="20"/>
          <w:szCs w:val="20"/>
        </w:rPr>
      </w:pPr>
    </w:p>
    <w:p w14:paraId="2EB53CEB">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二、风险提示</w:t>
      </w:r>
    </w:p>
    <w:p w14:paraId="2AEC00B1">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本产品为</w:t>
      </w:r>
      <w:r>
        <w:rPr>
          <w:rFonts w:ascii="Times New Roman" w:hAnsi="Times New Roman" w:eastAsia="楷体_GB2312" w:cs="Times New Roman"/>
          <w:b/>
          <w:bCs/>
          <w:sz w:val="20"/>
          <w:szCs w:val="20"/>
        </w:rPr>
        <w:t>【固定收益类】</w:t>
      </w:r>
      <w:r>
        <w:rPr>
          <w:rFonts w:hint="eastAsia" w:ascii="Times New Roman" w:hAnsi="Times New Roman" w:eastAsia="楷体_GB2312" w:cs="Times New Roman"/>
          <w:b/>
          <w:bCs/>
          <w:sz w:val="20"/>
          <w:szCs w:val="20"/>
        </w:rPr>
        <w:t>产品</w:t>
      </w:r>
      <w:r>
        <w:rPr>
          <w:rFonts w:ascii="Times New Roman" w:hAnsi="Times New Roman" w:eastAsia="楷体_GB2312" w:cs="Times New Roman"/>
          <w:b/>
          <w:bCs/>
          <w:sz w:val="20"/>
          <w:szCs w:val="20"/>
        </w:rPr>
        <w:t>，</w:t>
      </w:r>
      <w:r>
        <w:rPr>
          <w:rFonts w:hint="eastAsia" w:ascii="Times New Roman" w:hAnsi="Times New Roman" w:eastAsia="楷体_GB2312" w:cs="Times New Roman"/>
          <w:b/>
          <w:bCs/>
          <w:sz w:val="20"/>
          <w:szCs w:val="20"/>
        </w:rPr>
        <w:t>具体投资对象</w:t>
      </w:r>
      <w:r>
        <w:rPr>
          <w:rFonts w:ascii="Times New Roman" w:hAnsi="Times New Roman" w:eastAsia="楷体_GB2312" w:cs="Times New Roman"/>
          <w:b/>
          <w:bCs/>
          <w:sz w:val="20"/>
          <w:szCs w:val="20"/>
        </w:rPr>
        <w:t>投资比例如下：</w:t>
      </w:r>
    </w:p>
    <w:tbl>
      <w:tblPr>
        <w:tblStyle w:val="8"/>
        <w:tblW w:w="3503" w:type="pct"/>
        <w:tblInd w:w="127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26"/>
        <w:gridCol w:w="1749"/>
      </w:tblGrid>
      <w:tr w14:paraId="12233F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14:paraId="3FCCD65B">
            <w:pPr>
              <w:ind w:right="29" w:rightChars="12"/>
              <w:jc w:val="center"/>
              <w:rPr>
                <w:rFonts w:ascii="楷体" w:hAnsi="楷体" w:eastAsia="楷体"/>
                <w:b/>
                <w:bCs/>
                <w:color w:val="000000"/>
                <w:sz w:val="20"/>
                <w:szCs w:val="20"/>
              </w:rPr>
            </w:pPr>
            <w:r>
              <w:rPr>
                <w:rFonts w:hint="eastAsia" w:ascii="楷体" w:hAnsi="楷体" w:eastAsia="楷体"/>
                <w:b/>
                <w:bCs/>
                <w:color w:val="000000"/>
                <w:sz w:val="20"/>
                <w:szCs w:val="20"/>
              </w:rPr>
              <w:t>资产种类</w:t>
            </w:r>
          </w:p>
        </w:tc>
        <w:tc>
          <w:tcPr>
            <w:tcW w:w="1463" w:type="pct"/>
            <w:vAlign w:val="center"/>
          </w:tcPr>
          <w:p w14:paraId="75A66A34">
            <w:pPr>
              <w:ind w:right="29" w:rightChars="12"/>
              <w:jc w:val="center"/>
              <w:rPr>
                <w:rFonts w:ascii="楷体" w:hAnsi="楷体" w:eastAsia="楷体"/>
                <w:b/>
                <w:bCs/>
                <w:color w:val="000000"/>
                <w:sz w:val="20"/>
                <w:szCs w:val="20"/>
              </w:rPr>
            </w:pPr>
            <w:r>
              <w:rPr>
                <w:rFonts w:hint="eastAsia" w:ascii="楷体" w:hAnsi="楷体" w:eastAsia="楷体"/>
                <w:b/>
                <w:bCs/>
                <w:color w:val="000000"/>
                <w:sz w:val="20"/>
                <w:szCs w:val="20"/>
              </w:rPr>
              <w:t>投资比例</w:t>
            </w:r>
          </w:p>
        </w:tc>
      </w:tr>
      <w:tr w14:paraId="16E93B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14:paraId="0D01BED9">
            <w:pPr>
              <w:ind w:right="29" w:rightChars="12"/>
              <w:jc w:val="center"/>
              <w:rPr>
                <w:rFonts w:ascii="楷体" w:hAnsi="楷体" w:eastAsia="楷体"/>
                <w:color w:val="000000"/>
                <w:sz w:val="20"/>
                <w:szCs w:val="20"/>
              </w:rPr>
            </w:pPr>
            <w:r>
              <w:rPr>
                <w:rFonts w:hint="eastAsia" w:ascii="楷体" w:hAnsi="楷体" w:eastAsia="楷体"/>
                <w:color w:val="000000"/>
                <w:sz w:val="20"/>
                <w:szCs w:val="20"/>
              </w:rPr>
              <w:t>债权类资产</w:t>
            </w:r>
          </w:p>
        </w:tc>
        <w:tc>
          <w:tcPr>
            <w:tcW w:w="1463" w:type="pct"/>
            <w:vAlign w:val="center"/>
          </w:tcPr>
          <w:p w14:paraId="070B1D5A">
            <w:pPr>
              <w:ind w:right="29" w:rightChars="12"/>
              <w:jc w:val="center"/>
              <w:rPr>
                <w:rFonts w:ascii="楷体" w:hAnsi="楷体" w:eastAsia="楷体"/>
                <w:color w:val="000000"/>
                <w:sz w:val="20"/>
                <w:szCs w:val="20"/>
              </w:rPr>
            </w:pPr>
            <w:r>
              <w:rPr>
                <w:rFonts w:hint="eastAsia" w:ascii="楷体" w:hAnsi="楷体" w:eastAsia="楷体"/>
                <w:sz w:val="20"/>
                <w:szCs w:val="20"/>
              </w:rPr>
              <w:t>【100%】</w:t>
            </w:r>
          </w:p>
        </w:tc>
      </w:tr>
      <w:tr w14:paraId="4E2B89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14:paraId="1868E34D">
            <w:pPr>
              <w:ind w:right="29" w:rightChars="12"/>
              <w:jc w:val="center"/>
              <w:rPr>
                <w:rFonts w:ascii="楷体" w:hAnsi="楷体" w:eastAsia="楷体"/>
                <w:color w:val="000000"/>
                <w:sz w:val="20"/>
                <w:szCs w:val="20"/>
              </w:rPr>
            </w:pPr>
            <w:r>
              <w:rPr>
                <w:rFonts w:hint="eastAsia" w:ascii="楷体" w:hAnsi="楷体" w:eastAsia="楷体"/>
                <w:color w:val="000000"/>
                <w:sz w:val="20"/>
                <w:szCs w:val="20"/>
              </w:rPr>
              <w:t>其中</w:t>
            </w:r>
            <w:r>
              <w:rPr>
                <w:rFonts w:ascii="楷体" w:hAnsi="楷体" w:eastAsia="楷体"/>
                <w:color w:val="000000"/>
                <w:sz w:val="20"/>
                <w:szCs w:val="20"/>
              </w:rPr>
              <w:t>，非标准化债权类资产</w:t>
            </w:r>
          </w:p>
        </w:tc>
        <w:tc>
          <w:tcPr>
            <w:tcW w:w="1463" w:type="pct"/>
            <w:vAlign w:val="center"/>
          </w:tcPr>
          <w:p w14:paraId="4A3A9E30">
            <w:pPr>
              <w:ind w:right="29" w:rightChars="12"/>
              <w:jc w:val="center"/>
              <w:rPr>
                <w:rFonts w:ascii="楷体" w:hAnsi="楷体" w:eastAsia="楷体"/>
                <w:color w:val="000000"/>
                <w:sz w:val="20"/>
                <w:szCs w:val="20"/>
              </w:rPr>
            </w:pPr>
            <w:r>
              <w:rPr>
                <w:rFonts w:hint="eastAsia" w:ascii="楷体" w:hAnsi="楷体" w:eastAsia="楷体"/>
                <w:sz w:val="20"/>
                <w:szCs w:val="20"/>
              </w:rPr>
              <w:t>【0%</w:t>
            </w:r>
            <w:r>
              <w:rPr>
                <w:rFonts w:ascii="楷体" w:hAnsi="楷体" w:eastAsia="楷体"/>
                <w:sz w:val="20"/>
                <w:szCs w:val="20"/>
              </w:rPr>
              <w:t>】</w:t>
            </w:r>
          </w:p>
        </w:tc>
      </w:tr>
      <w:tr w14:paraId="628E5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14:paraId="155B3D40">
            <w:pPr>
              <w:ind w:right="29" w:rightChars="12"/>
              <w:jc w:val="center"/>
              <w:rPr>
                <w:rFonts w:ascii="楷体" w:hAnsi="楷体" w:eastAsia="楷体"/>
                <w:color w:val="000000"/>
                <w:sz w:val="20"/>
                <w:szCs w:val="20"/>
              </w:rPr>
            </w:pPr>
            <w:r>
              <w:rPr>
                <w:rFonts w:hint="eastAsia" w:ascii="楷体" w:hAnsi="楷体" w:eastAsia="楷体"/>
                <w:color w:val="000000"/>
                <w:sz w:val="20"/>
                <w:szCs w:val="20"/>
              </w:rPr>
              <w:t>权益类资产</w:t>
            </w:r>
          </w:p>
        </w:tc>
        <w:tc>
          <w:tcPr>
            <w:tcW w:w="1463" w:type="pct"/>
            <w:vAlign w:val="center"/>
          </w:tcPr>
          <w:p w14:paraId="7573B412">
            <w:pPr>
              <w:ind w:right="29" w:rightChars="12"/>
              <w:jc w:val="center"/>
              <w:rPr>
                <w:rFonts w:ascii="楷体" w:hAnsi="楷体" w:eastAsia="楷体"/>
                <w:color w:val="000000"/>
                <w:sz w:val="20"/>
                <w:szCs w:val="20"/>
              </w:rPr>
            </w:pPr>
            <w:r>
              <w:rPr>
                <w:rFonts w:hint="eastAsia" w:ascii="楷体" w:hAnsi="楷体" w:eastAsia="楷体"/>
                <w:sz w:val="20"/>
                <w:szCs w:val="20"/>
              </w:rPr>
              <w:t>【0%】</w:t>
            </w:r>
          </w:p>
        </w:tc>
      </w:tr>
      <w:tr w14:paraId="2F40BC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37" w:type="pct"/>
            <w:vAlign w:val="center"/>
          </w:tcPr>
          <w:p w14:paraId="239466E7">
            <w:pPr>
              <w:ind w:right="29" w:rightChars="12"/>
              <w:jc w:val="center"/>
              <w:rPr>
                <w:rFonts w:ascii="楷体" w:hAnsi="楷体" w:eastAsia="楷体"/>
                <w:color w:val="000000"/>
                <w:sz w:val="20"/>
                <w:szCs w:val="20"/>
              </w:rPr>
            </w:pPr>
            <w:r>
              <w:rPr>
                <w:rFonts w:hint="eastAsia" w:ascii="楷体" w:hAnsi="楷体" w:eastAsia="楷体"/>
                <w:color w:val="000000"/>
                <w:sz w:val="20"/>
                <w:szCs w:val="20"/>
              </w:rPr>
              <w:t>商品</w:t>
            </w:r>
            <w:r>
              <w:rPr>
                <w:rFonts w:ascii="楷体" w:hAnsi="楷体" w:eastAsia="楷体"/>
                <w:color w:val="000000"/>
                <w:sz w:val="20"/>
                <w:szCs w:val="20"/>
              </w:rPr>
              <w:t>及</w:t>
            </w:r>
            <w:r>
              <w:rPr>
                <w:rFonts w:hint="eastAsia" w:ascii="楷体" w:hAnsi="楷体" w:eastAsia="楷体"/>
                <w:color w:val="000000"/>
                <w:sz w:val="20"/>
                <w:szCs w:val="20"/>
              </w:rPr>
              <w:t>金融</w:t>
            </w:r>
            <w:r>
              <w:rPr>
                <w:rFonts w:ascii="楷体" w:hAnsi="楷体" w:eastAsia="楷体"/>
                <w:color w:val="000000"/>
                <w:sz w:val="20"/>
                <w:szCs w:val="20"/>
              </w:rPr>
              <w:t>衍生品类</w:t>
            </w:r>
            <w:r>
              <w:rPr>
                <w:rFonts w:hint="eastAsia" w:ascii="楷体" w:hAnsi="楷体" w:eastAsia="楷体"/>
                <w:color w:val="000000"/>
                <w:sz w:val="20"/>
                <w:szCs w:val="20"/>
              </w:rPr>
              <w:t>资产：持仓合约价值</w:t>
            </w:r>
          </w:p>
        </w:tc>
        <w:tc>
          <w:tcPr>
            <w:tcW w:w="1463" w:type="pct"/>
            <w:vAlign w:val="center"/>
          </w:tcPr>
          <w:p w14:paraId="617061A5">
            <w:pPr>
              <w:ind w:right="29" w:rightChars="12"/>
              <w:jc w:val="center"/>
              <w:rPr>
                <w:rFonts w:ascii="楷体" w:hAnsi="楷体" w:eastAsia="楷体"/>
                <w:color w:val="000000"/>
                <w:sz w:val="20"/>
                <w:szCs w:val="20"/>
              </w:rPr>
            </w:pPr>
            <w:r>
              <w:rPr>
                <w:rFonts w:hint="eastAsia" w:ascii="楷体" w:hAnsi="楷体" w:eastAsia="楷体"/>
                <w:sz w:val="20"/>
                <w:szCs w:val="20"/>
              </w:rPr>
              <w:t>【0%】</w:t>
            </w:r>
          </w:p>
        </w:tc>
      </w:tr>
      <w:tr w14:paraId="269569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 w:hRule="atLeast"/>
        </w:trPr>
        <w:tc>
          <w:tcPr>
            <w:tcW w:w="3537" w:type="pct"/>
            <w:vAlign w:val="center"/>
          </w:tcPr>
          <w:p w14:paraId="4B9C0772">
            <w:pPr>
              <w:ind w:right="29" w:rightChars="12"/>
              <w:jc w:val="center"/>
              <w:rPr>
                <w:rFonts w:ascii="楷体" w:hAnsi="楷体" w:eastAsia="楷体"/>
                <w:color w:val="000000"/>
                <w:sz w:val="20"/>
                <w:szCs w:val="20"/>
              </w:rPr>
            </w:pPr>
            <w:r>
              <w:rPr>
                <w:rFonts w:hint="eastAsia" w:ascii="楷体" w:hAnsi="楷体" w:eastAsia="楷体"/>
                <w:color w:val="000000"/>
                <w:sz w:val="20"/>
                <w:szCs w:val="20"/>
              </w:rPr>
              <w:t>商品</w:t>
            </w:r>
            <w:r>
              <w:rPr>
                <w:rFonts w:ascii="楷体" w:hAnsi="楷体" w:eastAsia="楷体"/>
                <w:color w:val="000000"/>
                <w:sz w:val="20"/>
                <w:szCs w:val="20"/>
              </w:rPr>
              <w:t>及</w:t>
            </w:r>
            <w:r>
              <w:rPr>
                <w:rFonts w:hint="eastAsia" w:ascii="楷体" w:hAnsi="楷体" w:eastAsia="楷体"/>
                <w:color w:val="000000"/>
                <w:sz w:val="20"/>
                <w:szCs w:val="20"/>
              </w:rPr>
              <w:t>金融</w:t>
            </w:r>
            <w:r>
              <w:rPr>
                <w:rFonts w:ascii="楷体" w:hAnsi="楷体" w:eastAsia="楷体"/>
                <w:color w:val="000000"/>
                <w:sz w:val="20"/>
                <w:szCs w:val="20"/>
              </w:rPr>
              <w:t>衍生品类</w:t>
            </w:r>
            <w:r>
              <w:rPr>
                <w:rFonts w:hint="eastAsia" w:ascii="楷体" w:hAnsi="楷体" w:eastAsia="楷体"/>
                <w:color w:val="000000"/>
                <w:sz w:val="20"/>
                <w:szCs w:val="20"/>
              </w:rPr>
              <w:t>资产：衍生品账户权益</w:t>
            </w:r>
          </w:p>
        </w:tc>
        <w:tc>
          <w:tcPr>
            <w:tcW w:w="1463" w:type="pct"/>
            <w:vAlign w:val="center"/>
          </w:tcPr>
          <w:p w14:paraId="65EB7075">
            <w:pPr>
              <w:ind w:right="29" w:rightChars="12"/>
              <w:jc w:val="center"/>
              <w:rPr>
                <w:rFonts w:ascii="楷体" w:hAnsi="楷体" w:eastAsia="楷体"/>
                <w:color w:val="000000"/>
                <w:sz w:val="20"/>
                <w:szCs w:val="20"/>
              </w:rPr>
            </w:pPr>
            <w:r>
              <w:rPr>
                <w:rFonts w:hint="eastAsia" w:ascii="楷体" w:hAnsi="楷体" w:eastAsia="楷体"/>
                <w:sz w:val="20"/>
                <w:szCs w:val="20"/>
              </w:rPr>
              <w:t>【0%】</w:t>
            </w:r>
          </w:p>
        </w:tc>
      </w:tr>
    </w:tbl>
    <w:p w14:paraId="104EBC47">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投资者投资本产品可能面临的特定风险主要包括（但不限于）</w:t>
      </w:r>
    </w:p>
    <w:p w14:paraId="351EA229">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（1）投资债权类资产的风险</w:t>
      </w:r>
    </w:p>
    <w:p w14:paraId="76E39A27">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1）投资标准化债权类资产的风险</w:t>
      </w:r>
    </w:p>
    <w:p w14:paraId="0B8FEC4F">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4D7ABA9E">
      <w:pPr>
        <w:spacing w:line="300" w:lineRule="exact"/>
        <w:ind w:firstLine="480"/>
        <w:rPr>
          <w:rFonts w:ascii="Times New Roman" w:hAnsi="Times New Roman" w:eastAsia="楷体_GB2312" w:cs="Times New Roman"/>
          <w:b/>
          <w:bCs/>
          <w:sz w:val="20"/>
          <w:szCs w:val="20"/>
        </w:rPr>
      </w:pPr>
      <w:r>
        <w:rPr>
          <w:rFonts w:ascii="Times New Roman" w:hAnsi="Times New Roman" w:eastAsia="楷体_GB2312" w:cs="Times New Roman"/>
          <w:b/>
          <w:bCs/>
          <w:sz w:val="20"/>
          <w:szCs w:val="20"/>
        </w:rPr>
        <w:t>2</w:t>
      </w:r>
      <w:r>
        <w:rPr>
          <w:rFonts w:hint="eastAsia" w:ascii="Times New Roman" w:hAnsi="Times New Roman" w:eastAsia="楷体_GB2312" w:cs="Times New Roman"/>
          <w:b/>
          <w:bCs/>
          <w:sz w:val="20"/>
          <w:szCs w:val="20"/>
        </w:rPr>
        <w:t>）投资非标准化债权类资产的风险</w:t>
      </w:r>
    </w:p>
    <w:p w14:paraId="68C8E2BE">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非标债权类资产时可能面临以下风险：由于融资主体/增信主体/其他义务人还款履约能力可能的变化导致的信用风险（包括但不限于：融资主体提前还款、延期还款或逾期还款的风险；增信主体未能履行增信义务（例如：保证担保、差额补足、远期回购、流动性支持等增信措施）的风险）；非标债权类资产可能因其无法等分化交易、信息披露不充分、未能集中登记和独立托管、缺乏公允性定价和流动机制不完善、未在银行间市场、证券交易所市场等国务院同意设立的交易市场交易等原因，从而缺乏交易对手，导致流动性风险等。</w:t>
      </w:r>
    </w:p>
    <w:p w14:paraId="6E6DDFE0">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w:t>
      </w:r>
      <w:r>
        <w:rPr>
          <w:rFonts w:ascii="Times New Roman" w:hAnsi="Times New Roman" w:eastAsia="楷体_GB2312" w:cs="Times New Roman"/>
          <w:b/>
          <w:bCs/>
          <w:sz w:val="20"/>
          <w:szCs w:val="20"/>
        </w:rPr>
        <w:t>2</w:t>
      </w:r>
      <w:r>
        <w:rPr>
          <w:rFonts w:hint="eastAsia" w:ascii="Times New Roman" w:hAnsi="Times New Roman" w:eastAsia="楷体_GB2312" w:cs="Times New Roman"/>
          <w:b/>
          <w:bCs/>
          <w:sz w:val="20"/>
          <w:szCs w:val="20"/>
        </w:rPr>
        <w:t>）投资权益类资产的风险</w:t>
      </w:r>
    </w:p>
    <w:p w14:paraId="7ABBC8EF">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1）投资普通股票可能面临的风险</w:t>
      </w:r>
    </w:p>
    <w:p w14:paraId="2F4E0900">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 xml:space="preserve">本产品投资普通股票时可能面临以下风险：国家政策、经济周期、利率、汇率、股票发行人经营情况等因素可能发生变化导致的市场风险；因市场、技术、竞争、管理、财务等导致公司盈利发生变化，其股票价格可能下跌，影响投资者收益；股票定向增发等可能的流通和转让限制导致的流动性风险等。 </w:t>
      </w:r>
    </w:p>
    <w:p w14:paraId="7C25A036">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2）投资优先股可能面临的风险</w:t>
      </w:r>
    </w:p>
    <w:p w14:paraId="0F265B15">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优先股时可能面临的以下风险：国家政策、经济周期、利率、汇率、股票发行人经营情况等因素可能发生变化导致的市场风险；因公司基本面改变导致影响优先股的股利支付、在触发事件发生时优先股可能被强制转换为普通股的信用风险；向特定对象发行的优先股只能挂牌转让等优先股可能的流通和转让限制导致的流动性风险等。</w:t>
      </w:r>
    </w:p>
    <w:p w14:paraId="0ACB2A62">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w:t>
      </w:r>
      <w:r>
        <w:rPr>
          <w:rFonts w:ascii="Times New Roman" w:hAnsi="Times New Roman" w:eastAsia="楷体_GB2312" w:cs="Times New Roman"/>
          <w:b/>
          <w:bCs/>
          <w:sz w:val="20"/>
          <w:szCs w:val="20"/>
        </w:rPr>
        <w:t>3</w:t>
      </w:r>
      <w:r>
        <w:rPr>
          <w:rFonts w:hint="eastAsia" w:ascii="Times New Roman" w:hAnsi="Times New Roman" w:eastAsia="楷体_GB2312" w:cs="Times New Roman"/>
          <w:b/>
          <w:bCs/>
          <w:sz w:val="20"/>
          <w:szCs w:val="20"/>
        </w:rPr>
        <w:t>）投资商品及金融衍生品类资产的风险</w:t>
      </w:r>
    </w:p>
    <w:p w14:paraId="08887C82">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本产品投资商品及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09F49AD6">
      <w:pPr>
        <w:spacing w:line="300" w:lineRule="exact"/>
        <w:ind w:firstLine="480"/>
        <w:rPr>
          <w:rFonts w:ascii="Times New Roman" w:hAnsi="Times New Roman" w:eastAsia="楷体_GB2312" w:cs="Times New Roman"/>
          <w:b/>
          <w:bCs/>
          <w:sz w:val="20"/>
          <w:szCs w:val="20"/>
        </w:rPr>
      </w:pPr>
    </w:p>
    <w:p w14:paraId="302231DB">
      <w:pPr>
        <w:spacing w:line="300" w:lineRule="exact"/>
        <w:ind w:firstLine="480"/>
        <w:rPr>
          <w:rFonts w:ascii="Times New Roman" w:hAnsi="Times New Roman" w:eastAsia="楷体_GB2312" w:cs="Times New Roman"/>
          <w:b/>
          <w:bCs/>
          <w:i/>
          <w:szCs w:val="20"/>
          <w:u w:val="single"/>
        </w:rPr>
      </w:pPr>
      <w:r>
        <w:rPr>
          <w:rFonts w:hint="eastAsia" w:ascii="Times New Roman" w:hAnsi="Times New Roman" w:eastAsia="楷体_GB2312" w:cs="Times New Roman"/>
          <w:b/>
          <w:bCs/>
          <w:i/>
          <w:szCs w:val="20"/>
          <w:u w:val="single"/>
        </w:rPr>
        <w:t>注：以上特定风险仅为列举性质，未能详尽列明投资本产品可能面临的全部风险和可能导致投资者投资本金及收益损失的所有因素。</w:t>
      </w:r>
    </w:p>
    <w:p w14:paraId="1717CBDF">
      <w:pPr>
        <w:spacing w:line="300" w:lineRule="exact"/>
        <w:ind w:firstLine="480"/>
        <w:rPr>
          <w:rFonts w:ascii="Times New Roman" w:hAnsi="Times New Roman" w:eastAsia="楷体_GB2312" w:cs="Times New Roman"/>
          <w:b/>
          <w:bCs/>
          <w:sz w:val="20"/>
          <w:szCs w:val="20"/>
        </w:rPr>
      </w:pPr>
    </w:p>
    <w:p w14:paraId="00AD8DA7">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理财非存款、产品有风险、投资须谨慎，理财产品过往业绩不代表其未来表现，不等于理财产品实际收益。投资者投资理财产品的，请关注产品各类</w:t>
      </w:r>
      <w:r>
        <w:rPr>
          <w:rFonts w:ascii="Times New Roman" w:hAnsi="Times New Roman" w:eastAsia="楷体_GB2312" w:cs="Times New Roman"/>
          <w:b/>
          <w:bCs/>
          <w:sz w:val="20"/>
          <w:szCs w:val="20"/>
        </w:rPr>
        <w:t>投资对象</w:t>
      </w:r>
      <w:r>
        <w:rPr>
          <w:rFonts w:hint="eastAsia" w:ascii="Times New Roman" w:hAnsi="Times New Roman" w:eastAsia="楷体_GB2312" w:cs="Times New Roman"/>
          <w:b/>
          <w:bCs/>
          <w:sz w:val="20"/>
          <w:szCs w:val="20"/>
        </w:rPr>
        <w:t>的</w:t>
      </w:r>
      <w:r>
        <w:rPr>
          <w:rFonts w:ascii="Times New Roman" w:hAnsi="Times New Roman" w:eastAsia="楷体_GB2312" w:cs="Times New Roman"/>
          <w:b/>
          <w:bCs/>
          <w:sz w:val="20"/>
          <w:szCs w:val="20"/>
        </w:rPr>
        <w:t>投资比例及相应</w:t>
      </w:r>
      <w:r>
        <w:rPr>
          <w:rFonts w:hint="eastAsia" w:ascii="Times New Roman" w:hAnsi="Times New Roman" w:eastAsia="楷体_GB2312" w:cs="Times New Roman"/>
          <w:b/>
          <w:bCs/>
          <w:sz w:val="20"/>
          <w:szCs w:val="20"/>
        </w:rPr>
        <w:t>投资</w:t>
      </w:r>
      <w:r>
        <w:rPr>
          <w:rFonts w:ascii="Times New Roman" w:hAnsi="Times New Roman" w:eastAsia="楷体_GB2312" w:cs="Times New Roman"/>
          <w:b/>
          <w:bCs/>
          <w:sz w:val="20"/>
          <w:szCs w:val="20"/>
        </w:rPr>
        <w:t>风险</w:t>
      </w:r>
      <w:r>
        <w:rPr>
          <w:rFonts w:hint="eastAsia" w:ascii="Times New Roman" w:hAnsi="Times New Roman" w:eastAsia="楷体_GB2312" w:cs="Times New Roman"/>
          <w:b/>
          <w:bCs/>
          <w:sz w:val="20"/>
          <w:szCs w:val="20"/>
        </w:rPr>
        <w:t>，基于所投资的不同理财产品可能面临包括但不限于信用风险、市场风险、流动性风险、提前终止风险、政策风险、信息传递风险、管理风险、延期清算风险、理财产品不成立风险、不可抗力及意外事件风险、理财本金全部损失风险、合作销售机构（代销机构）风险、操作风险、关联交易风险等风险，具体风险请甲方仔细阅读认购</w:t>
      </w:r>
      <w:r>
        <w:rPr>
          <w:rFonts w:ascii="Times New Roman" w:hAnsi="Times New Roman" w:eastAsia="楷体_GB2312" w:cs="Times New Roman"/>
          <w:b/>
          <w:bCs/>
          <w:sz w:val="20"/>
          <w:szCs w:val="20"/>
        </w:rPr>
        <w:t>/</w:t>
      </w:r>
      <w:r>
        <w:rPr>
          <w:rFonts w:hint="eastAsia" w:ascii="Times New Roman" w:hAnsi="Times New Roman" w:eastAsia="楷体_GB2312" w:cs="Times New Roman"/>
          <w:b/>
          <w:bCs/>
          <w:sz w:val="20"/>
          <w:szCs w:val="20"/>
        </w:rPr>
        <w:t>申购的理财产品的《信银理财理财产品产品说明书》和《信银理财理财产品风险揭示书》中的相应条款。</w:t>
      </w:r>
    </w:p>
    <w:p w14:paraId="0C62F646">
      <w:pPr>
        <w:spacing w:line="300" w:lineRule="exact"/>
        <w:ind w:firstLine="482"/>
        <w:rPr>
          <w:rFonts w:ascii="Times New Roman" w:hAnsi="Times New Roman" w:eastAsia="楷体_GB2312" w:cs="Times New Roman"/>
          <w:sz w:val="20"/>
          <w:szCs w:val="20"/>
        </w:rPr>
      </w:pPr>
    </w:p>
    <w:p w14:paraId="025901B2">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三、投资条款</w:t>
      </w:r>
    </w:p>
    <w:p w14:paraId="0008CF10">
      <w:pPr>
        <w:spacing w:line="300" w:lineRule="exact"/>
        <w:ind w:firstLine="482"/>
        <w:rPr>
          <w:rFonts w:ascii="Times New Roman" w:hAnsi="Times New Roman" w:eastAsia="楷体_GB2312" w:cs="Times New Roman"/>
          <w:bCs/>
          <w:sz w:val="20"/>
          <w:szCs w:val="20"/>
        </w:rPr>
      </w:pPr>
      <w:r>
        <w:rPr>
          <w:rFonts w:hint="eastAsia" w:ascii="Times New Roman" w:hAnsi="Times New Roman" w:eastAsia="楷体_GB2312" w:cs="Times New Roman"/>
          <w:bCs/>
          <w:sz w:val="20"/>
          <w:szCs w:val="20"/>
        </w:rPr>
        <w:t>甲方认购</w:t>
      </w:r>
      <w:r>
        <w:rPr>
          <w:rFonts w:ascii="Times New Roman" w:hAnsi="Times New Roman" w:eastAsia="楷体_GB2312" w:cs="Times New Roman"/>
          <w:bCs/>
          <w:sz w:val="20"/>
          <w:szCs w:val="20"/>
        </w:rPr>
        <w:t>/</w:t>
      </w:r>
      <w:r>
        <w:rPr>
          <w:rFonts w:hint="eastAsia" w:ascii="Times New Roman" w:hAnsi="Times New Roman" w:eastAsia="楷体_GB2312" w:cs="Times New Roman"/>
          <w:bCs/>
          <w:sz w:val="20"/>
          <w:szCs w:val="20"/>
        </w:rPr>
        <w:t>申购理财产品的具体认购</w:t>
      </w:r>
      <w:r>
        <w:rPr>
          <w:rFonts w:ascii="Times New Roman" w:hAnsi="Times New Roman" w:eastAsia="楷体_GB2312" w:cs="Times New Roman"/>
          <w:bCs/>
          <w:sz w:val="20"/>
          <w:szCs w:val="20"/>
        </w:rPr>
        <w:t>/</w:t>
      </w:r>
      <w:r>
        <w:rPr>
          <w:rFonts w:hint="eastAsia" w:ascii="Times New Roman" w:hAnsi="Times New Roman" w:eastAsia="楷体_GB2312" w:cs="Times New Roman"/>
          <w:bCs/>
          <w:sz w:val="20"/>
          <w:szCs w:val="20"/>
        </w:rPr>
        <w:t>申购条件、流程、金额、份额、费用以及其他投资条款，由甲方实际认购</w:t>
      </w:r>
      <w:r>
        <w:rPr>
          <w:rFonts w:ascii="Times New Roman" w:hAnsi="Times New Roman" w:eastAsia="楷体_GB2312" w:cs="Times New Roman"/>
          <w:bCs/>
          <w:sz w:val="20"/>
          <w:szCs w:val="20"/>
        </w:rPr>
        <w:t>/</w:t>
      </w:r>
      <w:r>
        <w:rPr>
          <w:rFonts w:hint="eastAsia" w:ascii="Times New Roman" w:hAnsi="Times New Roman" w:eastAsia="楷体_GB2312" w:cs="Times New Roman"/>
          <w:bCs/>
          <w:sz w:val="20"/>
          <w:szCs w:val="20"/>
        </w:rPr>
        <w:t>申购的理财产品的《信银理财理财产品产品说明书》具体约定。</w:t>
      </w:r>
    </w:p>
    <w:p w14:paraId="3D669BFD">
      <w:pPr>
        <w:spacing w:line="300" w:lineRule="exact"/>
        <w:ind w:firstLine="482"/>
        <w:rPr>
          <w:rFonts w:ascii="Times New Roman" w:hAnsi="Times New Roman" w:eastAsia="楷体_GB2312" w:cs="Times New Roman"/>
          <w:b/>
          <w:bCs/>
          <w:sz w:val="20"/>
          <w:szCs w:val="20"/>
        </w:rPr>
      </w:pPr>
    </w:p>
    <w:p w14:paraId="6F29F843">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b/>
          <w:bCs/>
          <w:sz w:val="20"/>
          <w:szCs w:val="20"/>
        </w:rPr>
        <w:t>四、甲方的权利与义务</w:t>
      </w:r>
    </w:p>
    <w:p w14:paraId="5E2EA9DB">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（一）甲方具有完全民事行为能力，有完全适当的资格与能力订立并履行理财产品销售文件，不存在法律、行政法规有关规定禁止或限制投资理财产品的情形（适用于个人投资者）；</w:t>
      </w:r>
    </w:p>
    <w:p w14:paraId="0A3FFB94">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甲方确认签署和履行理财产品销售文件系其真实意思表示，已经按照其章程或者其它内部管理文件的要求取得合法、有效的授权且不会违反对其有约束力的任何合同和其他法律文件；甲方已经取得签订和履行理财产品销售文件所需的一切有关批准、许可、备案或者登记（适用于机构投资者）</w:t>
      </w:r>
    </w:p>
    <w:p w14:paraId="331FF63A">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（二）甲方保证以真实身份投资本理财产品，保证提供给产品管理人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代销机构的信息和资料均真实、准确、完整、合法。如甲方的信息和</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或资料发生变更，应当及时书面告知产品管理人或代销机构；</w:t>
      </w:r>
    </w:p>
    <w:p w14:paraId="3EF4282D">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（三）甲方声明熟悉理财产品类型特征及不同销售渠道的法律法规规定；</w:t>
      </w:r>
    </w:p>
    <w:p w14:paraId="55F4B60B">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（四）甲方承诺：如委托他人购买本产品，代理人须出具具有法律效力的授权委托书；</w:t>
      </w:r>
    </w:p>
    <w:p w14:paraId="1BD5B0E8">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（五）甲方保证理财投资资金来源和用途合法，保证可向产品管理人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代销机构提供合法筹集的证明文件；</w:t>
      </w:r>
    </w:p>
    <w:p w14:paraId="3B8B186A">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（六）甲方不得利用理财业务及理财产品销售文件项下理财产品从事违法活动；</w:t>
      </w:r>
    </w:p>
    <w:p w14:paraId="29D5F4EE">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（七）甲方保证遵守国家反洗钱法律、法规及相关政策要求，不从事涉及洗钱、恐怖融资、逃税、逃废债务、套取现金等违法违规活动，积极配合管理人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代销机构开展投资者身份识别、交易记录保存、投资者身份及交易背景尽职调查、大额和可疑交易报告等各项反洗钱工作，并按要求提供相关证明材料；</w:t>
      </w:r>
    </w:p>
    <w:p w14:paraId="7AAA8DAE">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（八）甲方不属于联合国、欧盟或美国等制裁名单，及中国政府部门或有权机关发布的涉恐及反洗钱相关风险名单内的企业或个人；不位于被联合国、欧盟或美国等制裁的国家和地区；</w:t>
      </w:r>
    </w:p>
    <w:p w14:paraId="433F3C2E">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（九）甲方保证不使用贷款、发行债券等筹集的非自有资金投资理财产品，保证投资本理财产品不存在违反监管要求的产品嵌套，以及以投资本理财产品规避投资范围、杠杆约束等监管要求等违规行为。</w:t>
      </w:r>
    </w:p>
    <w:p w14:paraId="6A738772">
      <w:pPr>
        <w:spacing w:line="300" w:lineRule="exact"/>
        <w:ind w:firstLine="482"/>
        <w:rPr>
          <w:rFonts w:ascii="Times New Roman" w:hAnsi="Times New Roman" w:eastAsia="楷体_GB2312" w:cs="Times New Roman"/>
          <w:sz w:val="20"/>
          <w:szCs w:val="20"/>
        </w:rPr>
      </w:pPr>
    </w:p>
    <w:p w14:paraId="574C2AFB">
      <w:pPr>
        <w:spacing w:line="300" w:lineRule="exact"/>
        <w:ind w:firstLine="480"/>
        <w:rPr>
          <w:rFonts w:ascii="Times New Roman" w:hAnsi="Times New Roman" w:eastAsia="楷体_GB2312" w:cs="Times New Roman"/>
          <w:sz w:val="20"/>
          <w:szCs w:val="20"/>
        </w:rPr>
      </w:pPr>
      <w:r>
        <w:rPr>
          <w:rFonts w:hint="eastAsia" w:ascii="Times New Roman" w:hAnsi="Times New Roman" w:eastAsia="楷体_GB2312" w:cs="Times New Roman"/>
          <w:b/>
          <w:bCs/>
          <w:sz w:val="20"/>
          <w:szCs w:val="20"/>
        </w:rPr>
        <w:t>五、乙方的权利与义务</w:t>
      </w:r>
    </w:p>
    <w:p w14:paraId="07570B36">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（一）乙方具有开办理财业务的经营资质，保证以诚实守信、勤勉尽职的原则管理和运用理财资金；</w:t>
      </w:r>
    </w:p>
    <w:p w14:paraId="67379E4C">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（二）乙方具有完全适当的资格和能力订立与履行理财产品合同。</w:t>
      </w:r>
    </w:p>
    <w:p w14:paraId="615BBCE0">
      <w:pPr>
        <w:spacing w:line="300" w:lineRule="exact"/>
        <w:ind w:firstLine="482"/>
        <w:rPr>
          <w:rFonts w:ascii="Times New Roman" w:hAnsi="Times New Roman" w:eastAsia="楷体_GB2312" w:cs="Times New Roman"/>
          <w:sz w:val="20"/>
          <w:szCs w:val="20"/>
        </w:rPr>
      </w:pPr>
    </w:p>
    <w:p w14:paraId="21639942">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bCs/>
          <w:sz w:val="20"/>
          <w:szCs w:val="20"/>
        </w:rPr>
        <w:t>六、违约责任</w:t>
      </w:r>
    </w:p>
    <w:p w14:paraId="22C79ABB">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双方因违反本协议约定而给对方造成损失的，违约方应赔偿因此给对方造成的直接损失。</w:t>
      </w:r>
    </w:p>
    <w:p w14:paraId="3A043BAE">
      <w:pPr>
        <w:spacing w:line="300" w:lineRule="exact"/>
        <w:ind w:firstLine="482"/>
        <w:rPr>
          <w:rFonts w:ascii="Times New Roman" w:hAnsi="Times New Roman" w:eastAsia="楷体_GB2312" w:cs="Times New Roman"/>
          <w:b/>
          <w:bCs/>
          <w:sz w:val="20"/>
          <w:szCs w:val="20"/>
        </w:rPr>
      </w:pPr>
    </w:p>
    <w:p w14:paraId="325F3F5E">
      <w:pPr>
        <w:spacing w:line="300" w:lineRule="exact"/>
        <w:ind w:firstLine="480"/>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七、免责内容</w:t>
      </w:r>
    </w:p>
    <w:p w14:paraId="3EFFC5CF">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因法律法规或监管政策变化、自然灾害、意外事故、战争、系统故障、通讯故障等信银理财客观不能预见、不能避免、不能克服的不可抗力事件或意外事件，导致信银理财无法或延后履行本协议及《信银理财理财产品产品说明书》有关义务的，信银理财不承担责任，但因信银理财故意或重大过失造成的系统故障、通讯故障的除外。前述约定不免除因信银理财过错导致依法应由产品管理人承担的责任。乙方应在条件允许的情况下，采取必要的补救措施以减少不可抗力造成的损失</w:t>
      </w:r>
      <w:r>
        <w:rPr>
          <w:rFonts w:ascii="Times New Roman" w:hAnsi="Times New Roman" w:eastAsia="楷体_GB2312" w:cs="Times New Roman"/>
          <w:b/>
          <w:bCs/>
          <w:sz w:val="20"/>
          <w:szCs w:val="20"/>
        </w:rPr>
        <w:t>。</w:t>
      </w:r>
    </w:p>
    <w:p w14:paraId="6385830E">
      <w:pPr>
        <w:spacing w:line="300" w:lineRule="exact"/>
        <w:ind w:firstLine="482"/>
        <w:rPr>
          <w:rFonts w:ascii="Times New Roman" w:hAnsi="Times New Roman" w:eastAsia="楷体_GB2312" w:cs="Times New Roman"/>
          <w:b/>
          <w:bCs/>
          <w:sz w:val="20"/>
          <w:szCs w:val="20"/>
        </w:rPr>
      </w:pPr>
    </w:p>
    <w:p w14:paraId="2E98FB24">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bCs/>
          <w:sz w:val="20"/>
          <w:szCs w:val="20"/>
        </w:rPr>
        <w:t>八、争议解决</w:t>
      </w:r>
    </w:p>
    <w:p w14:paraId="6BCB870B">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sz w:val="20"/>
          <w:szCs w:val="20"/>
        </w:rPr>
        <w:t>（一）本协议及其他理财产品合同适用中华人民共和国法律（为履行理财产品合同之目的，不包括中国香港特别行政区、澳门特别行政区及台湾地区法律）。</w:t>
      </w:r>
    </w:p>
    <w:p w14:paraId="74688105">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（二）凡因</w:t>
      </w:r>
      <w:r>
        <w:rPr>
          <w:rFonts w:hint="eastAsia" w:ascii="Times New Roman" w:hAnsi="Times New Roman" w:eastAsia="楷体_GB2312" w:cs="Times New Roman"/>
          <w:b/>
          <w:sz w:val="20"/>
          <w:szCs w:val="20"/>
        </w:rPr>
        <w:t>本协议/</w:t>
      </w:r>
      <w:r>
        <w:rPr>
          <w:rFonts w:hint="eastAsia" w:ascii="Times New Roman" w:hAnsi="Times New Roman" w:eastAsia="楷体_GB2312" w:cs="Times New Roman"/>
          <w:b/>
          <w:bCs/>
          <w:sz w:val="20"/>
          <w:szCs w:val="20"/>
        </w:rPr>
        <w:t>理财产品合同引起的或与本协议/理财产品合同有关的任何争议，甲乙双方应本着诚实信用的原则通过协商解决。如通过协商仍不能解决争议时，双方应将该等争议提交上海仲裁委员会仲裁，仲裁地在上海。仲裁裁决是终局性的，对双方均有约束力。除非仲裁裁决另有规定，双方为仲裁而实际支付的费用（包括但不限于仲裁费和律师费）由败诉方承担。</w:t>
      </w:r>
    </w:p>
    <w:p w14:paraId="1691E295">
      <w:pPr>
        <w:spacing w:line="300" w:lineRule="exact"/>
        <w:ind w:firstLine="482"/>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（三）在协商或仲裁期间，对于本协议/理财产品合同不涉及争议部分的条款，双方仍须履行。</w:t>
      </w:r>
    </w:p>
    <w:p w14:paraId="2535759E">
      <w:pPr>
        <w:spacing w:line="300" w:lineRule="exact"/>
        <w:ind w:firstLine="482"/>
        <w:rPr>
          <w:rFonts w:ascii="Times New Roman" w:hAnsi="Times New Roman" w:eastAsia="楷体_GB2312" w:cs="Times New Roman"/>
          <w:b/>
          <w:sz w:val="20"/>
          <w:szCs w:val="20"/>
        </w:rPr>
      </w:pPr>
    </w:p>
    <w:p w14:paraId="4F09AA4C">
      <w:pPr>
        <w:spacing w:line="300" w:lineRule="exact"/>
        <w:ind w:firstLine="480"/>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九、附则</w:t>
      </w:r>
    </w:p>
    <w:p w14:paraId="4315DBC5">
      <w:pPr>
        <w:spacing w:line="300" w:lineRule="exact"/>
        <w:ind w:firstLine="482"/>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（一）本协议通过纸质形式签署的，自甲方签署（甲方为自然人的，应签字；甲方为机构或产品的，应加盖机构或产品管理人公章且其法定代表人或授权代表签章）且甲方产品认购</w:t>
      </w:r>
      <w:r>
        <w:rPr>
          <w:rFonts w:ascii="Times New Roman" w:hAnsi="Times New Roman" w:eastAsia="楷体_GB2312" w:cs="Times New Roman"/>
          <w:b/>
          <w:sz w:val="20"/>
          <w:szCs w:val="20"/>
        </w:rPr>
        <w:t>/</w:t>
      </w:r>
      <w:r>
        <w:rPr>
          <w:rFonts w:hint="eastAsia" w:ascii="Times New Roman" w:hAnsi="Times New Roman" w:eastAsia="楷体_GB2312" w:cs="Times New Roman"/>
          <w:b/>
          <w:sz w:val="20"/>
          <w:szCs w:val="20"/>
        </w:rPr>
        <w:t>申购份额经乙方确认后生效。本协议通过电子形式签署的，自甲方通过乙方产品的各电子销售渠道（包括直销和代销）在线点击确认或勾选且甲方产品认购</w:t>
      </w:r>
      <w:r>
        <w:rPr>
          <w:rFonts w:ascii="Times New Roman" w:hAnsi="Times New Roman" w:eastAsia="楷体_GB2312" w:cs="Times New Roman"/>
          <w:b/>
          <w:sz w:val="20"/>
          <w:szCs w:val="20"/>
        </w:rPr>
        <w:t>/</w:t>
      </w:r>
      <w:r>
        <w:rPr>
          <w:rFonts w:hint="eastAsia" w:ascii="Times New Roman" w:hAnsi="Times New Roman" w:eastAsia="楷体_GB2312" w:cs="Times New Roman"/>
          <w:b/>
          <w:sz w:val="20"/>
          <w:szCs w:val="20"/>
        </w:rPr>
        <w:t>申购份额经乙方确认后生效。甲方知悉并确认，乙方对于甲方认购</w:t>
      </w:r>
      <w:r>
        <w:rPr>
          <w:rFonts w:ascii="Times New Roman" w:hAnsi="Times New Roman" w:eastAsia="楷体_GB2312" w:cs="Times New Roman"/>
          <w:b/>
          <w:sz w:val="20"/>
          <w:szCs w:val="20"/>
        </w:rPr>
        <w:t>/</w:t>
      </w:r>
      <w:r>
        <w:rPr>
          <w:rFonts w:hint="eastAsia" w:ascii="Times New Roman" w:hAnsi="Times New Roman" w:eastAsia="楷体_GB2312" w:cs="Times New Roman"/>
          <w:b/>
          <w:sz w:val="20"/>
          <w:szCs w:val="20"/>
        </w:rPr>
        <w:t>申购份额的确认即视为乙方对于本协议的签署和认可，甲方不得以乙方未在本协议上盖章为由主张本协议无效。</w:t>
      </w:r>
    </w:p>
    <w:p w14:paraId="3D5F85EF">
      <w:pPr>
        <w:spacing w:line="300" w:lineRule="exact"/>
        <w:ind w:firstLine="482"/>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（二）本协议条款与《信银理财理财产品产品说明书》条款不一致的，以《信银理财理财产品产品说明书》的约定为准。</w:t>
      </w:r>
    </w:p>
    <w:p w14:paraId="6FDFACF6">
      <w:pPr>
        <w:spacing w:line="300" w:lineRule="exact"/>
        <w:ind w:firstLine="482"/>
        <w:rPr>
          <w:rFonts w:ascii="Times New Roman" w:hAnsi="Times New Roman" w:eastAsia="楷体_GB2312" w:cs="Times New Roman"/>
          <w:b/>
          <w:sz w:val="20"/>
          <w:szCs w:val="20"/>
        </w:rPr>
      </w:pPr>
      <w:r>
        <w:rPr>
          <w:rFonts w:hint="eastAsia" w:ascii="Times New Roman" w:hAnsi="Times New Roman" w:eastAsia="楷体_GB2312" w:cs="Times New Roman"/>
          <w:b/>
          <w:sz w:val="20"/>
          <w:szCs w:val="20"/>
        </w:rPr>
        <w:t>（三）如果由于任何原因使本协议下的任何条款或者内容成为无效或者依法被撤销，本协议其他条款或内容的合法性，有效性和可执行性不受影响。</w:t>
      </w:r>
    </w:p>
    <w:p w14:paraId="2601213B">
      <w:pPr>
        <w:spacing w:line="300" w:lineRule="exact"/>
        <w:rPr>
          <w:rFonts w:ascii="Times New Roman" w:hAnsi="Times New Roman" w:eastAsia="楷体_GB2312" w:cs="Times New Roman"/>
          <w:sz w:val="20"/>
          <w:szCs w:val="20"/>
        </w:rPr>
      </w:pPr>
    </w:p>
    <w:p w14:paraId="233723FB">
      <w:pPr>
        <w:spacing w:line="300" w:lineRule="exact"/>
        <w:rPr>
          <w:rFonts w:ascii="Times New Roman" w:hAnsi="Times New Roman" w:eastAsia="楷体_GB2312" w:cs="Times New Roman"/>
          <w:b/>
          <w:sz w:val="20"/>
          <w:szCs w:val="20"/>
        </w:rPr>
      </w:pPr>
    </w:p>
    <w:p w14:paraId="5798A60D">
      <w:pPr>
        <w:spacing w:line="300" w:lineRule="exact"/>
        <w:rPr>
          <w:rFonts w:ascii="Times New Roman" w:hAnsi="Times New Roman" w:eastAsia="楷体_GB2312" w:cs="Times New Roman"/>
          <w:b/>
          <w:sz w:val="20"/>
          <w:szCs w:val="20"/>
        </w:rPr>
      </w:pPr>
    </w:p>
    <w:p w14:paraId="3F100B86">
      <w:pPr>
        <w:spacing w:line="300" w:lineRule="exact"/>
        <w:rPr>
          <w:rFonts w:ascii="Times New Roman" w:hAnsi="Times New Roman" w:eastAsia="楷体_GB2312" w:cs="Times New Roman"/>
          <w:b/>
          <w:sz w:val="20"/>
          <w:szCs w:val="20"/>
        </w:rPr>
      </w:pPr>
    </w:p>
    <w:p w14:paraId="4601F589">
      <w:pPr>
        <w:spacing w:line="300" w:lineRule="exact"/>
        <w:rPr>
          <w:rFonts w:ascii="Times New Roman" w:hAnsi="Times New Roman" w:eastAsia="楷体_GB2312" w:cs="Times New Roman"/>
          <w:sz w:val="20"/>
          <w:szCs w:val="20"/>
        </w:rPr>
      </w:pPr>
      <w:r>
        <w:rPr>
          <w:rFonts w:ascii="Times New Roman" w:hAnsi="Times New Roman" w:eastAsia="楷体_GB2312" w:cs="Times New Roman"/>
          <w:b/>
          <w:sz w:val="20"/>
          <w:szCs w:val="20"/>
        </w:rPr>
        <w:t>甲方</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个人投资者（签字）</w:t>
      </w:r>
      <w:r>
        <w:rPr>
          <w:rFonts w:ascii="Times New Roman" w:hAnsi="Times New Roman" w:eastAsia="楷体_GB2312" w:cs="Times New Roman"/>
          <w:sz w:val="20"/>
          <w:szCs w:val="20"/>
        </w:rPr>
        <w:t xml:space="preserve">:               </w:t>
      </w:r>
    </w:p>
    <w:p w14:paraId="0E563D5D">
      <w:pPr>
        <w:spacing w:line="300" w:lineRule="exact"/>
        <w:ind w:firstLine="600" w:firstLineChars="300"/>
        <w:rPr>
          <w:rFonts w:ascii="Times New Roman" w:hAnsi="Times New Roman" w:eastAsia="楷体_GB2312" w:cs="Times New Roman"/>
          <w:sz w:val="20"/>
          <w:szCs w:val="20"/>
        </w:rPr>
      </w:pPr>
    </w:p>
    <w:p w14:paraId="2B5857CB">
      <w:pPr>
        <w:spacing w:line="300" w:lineRule="exact"/>
        <w:ind w:firstLine="600" w:firstLineChars="300"/>
        <w:rPr>
          <w:rFonts w:ascii="Times New Roman" w:hAnsi="Times New Roman" w:eastAsia="楷体_GB2312" w:cs="Times New Roman"/>
          <w:sz w:val="20"/>
          <w:szCs w:val="20"/>
        </w:rPr>
      </w:pPr>
    </w:p>
    <w:p w14:paraId="5EC312D2">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机构投资者（公章）</w:t>
      </w:r>
      <w:r>
        <w:rPr>
          <w:rFonts w:ascii="Times New Roman" w:hAnsi="Times New Roman" w:eastAsia="楷体_GB2312" w:cs="Times New Roman"/>
          <w:sz w:val="20"/>
          <w:szCs w:val="20"/>
        </w:rPr>
        <w:t xml:space="preserve">:               </w:t>
      </w:r>
    </w:p>
    <w:p w14:paraId="45E80DBD">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法定代表人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负责人</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授权代表（签字</w:t>
      </w:r>
      <w:r>
        <w:rPr>
          <w:rFonts w:ascii="Times New Roman" w:hAnsi="Times New Roman" w:eastAsia="楷体_GB2312" w:cs="Times New Roman"/>
          <w:sz w:val="20"/>
          <w:szCs w:val="20"/>
        </w:rPr>
        <w:t>/</w:t>
      </w:r>
      <w:r>
        <w:rPr>
          <w:rFonts w:hint="eastAsia" w:ascii="Times New Roman" w:hAnsi="Times New Roman" w:eastAsia="楷体_GB2312" w:cs="Times New Roman"/>
          <w:sz w:val="20"/>
          <w:szCs w:val="20"/>
        </w:rPr>
        <w:t>盖章）：</w:t>
      </w:r>
    </w:p>
    <w:p w14:paraId="758BAC4B">
      <w:pPr>
        <w:spacing w:line="300" w:lineRule="exact"/>
        <w:ind w:firstLine="600" w:firstLineChars="300"/>
        <w:rPr>
          <w:rFonts w:ascii="Times New Roman" w:hAnsi="Times New Roman" w:eastAsia="楷体_GB2312" w:cs="Times New Roman"/>
          <w:sz w:val="20"/>
          <w:szCs w:val="20"/>
        </w:rPr>
      </w:pPr>
    </w:p>
    <w:p w14:paraId="16E099C0">
      <w:pPr>
        <w:spacing w:line="300" w:lineRule="exact"/>
        <w:ind w:firstLine="600" w:firstLineChars="300"/>
        <w:rPr>
          <w:rFonts w:ascii="Times New Roman" w:hAnsi="Times New Roman" w:eastAsia="楷体_GB2312" w:cs="Times New Roman"/>
          <w:sz w:val="20"/>
          <w:szCs w:val="20"/>
        </w:rPr>
      </w:pPr>
    </w:p>
    <w:p w14:paraId="5D35B52E">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证件类别（个人投资者）：</w:t>
      </w:r>
      <w:r>
        <w:rPr>
          <w:rFonts w:ascii="Times New Roman" w:hAnsi="Times New Roman" w:eastAsia="楷体_GB2312" w:cs="Times New Roman"/>
          <w:sz w:val="20"/>
          <w:szCs w:val="20"/>
        </w:rPr>
        <w:t xml:space="preserve">             </w:t>
      </w:r>
    </w:p>
    <w:p w14:paraId="65A837FA">
      <w:pPr>
        <w:spacing w:line="300" w:lineRule="exact"/>
        <w:ind w:firstLine="600" w:firstLineChars="300"/>
        <w:rPr>
          <w:rFonts w:ascii="Times New Roman" w:hAnsi="Times New Roman" w:eastAsia="楷体_GB2312" w:cs="Times New Roman"/>
          <w:sz w:val="20"/>
          <w:szCs w:val="20"/>
        </w:rPr>
      </w:pPr>
    </w:p>
    <w:p w14:paraId="5F8C7176">
      <w:pPr>
        <w:spacing w:line="300" w:lineRule="exact"/>
        <w:ind w:firstLine="600" w:firstLineChars="300"/>
        <w:rPr>
          <w:rFonts w:ascii="Times New Roman" w:hAnsi="Times New Roman" w:eastAsia="楷体_GB2312" w:cs="Times New Roman"/>
          <w:sz w:val="20"/>
          <w:szCs w:val="20"/>
        </w:rPr>
      </w:pPr>
    </w:p>
    <w:p w14:paraId="7F737DEA">
      <w:pPr>
        <w:spacing w:line="300" w:lineRule="exact"/>
        <w:ind w:firstLine="600" w:firstLineChars="300"/>
        <w:rPr>
          <w:rFonts w:ascii="Times New Roman" w:hAnsi="Times New Roman" w:eastAsia="楷体_GB2312" w:cs="Times New Roman"/>
          <w:sz w:val="20"/>
          <w:szCs w:val="20"/>
        </w:rPr>
      </w:pPr>
      <w:r>
        <w:rPr>
          <w:rFonts w:hint="eastAsia" w:ascii="Times New Roman" w:hAnsi="Times New Roman" w:eastAsia="楷体_GB2312" w:cs="Times New Roman"/>
          <w:sz w:val="20"/>
          <w:szCs w:val="20"/>
        </w:rPr>
        <w:t>证件号（个人投资者）：</w:t>
      </w:r>
      <w:r>
        <w:rPr>
          <w:rFonts w:ascii="Times New Roman" w:hAnsi="Times New Roman" w:eastAsia="楷体_GB2312" w:cs="Times New Roman"/>
          <w:sz w:val="20"/>
          <w:szCs w:val="20"/>
        </w:rPr>
        <w:t xml:space="preserve">                </w:t>
      </w:r>
    </w:p>
    <w:p w14:paraId="0E5F1944">
      <w:pPr>
        <w:spacing w:line="300" w:lineRule="exact"/>
        <w:ind w:firstLine="600" w:firstLineChars="300"/>
        <w:rPr>
          <w:rFonts w:ascii="Times New Roman" w:hAnsi="Times New Roman" w:eastAsia="楷体_GB2312" w:cs="Times New Roman"/>
          <w:sz w:val="20"/>
          <w:szCs w:val="20"/>
        </w:rPr>
      </w:pPr>
      <w:r>
        <w:rPr>
          <w:rFonts w:ascii="Times New Roman" w:hAnsi="Times New Roman" w:eastAsia="楷体_GB2312" w:cs="Times New Roman"/>
          <w:sz w:val="20"/>
          <w:szCs w:val="20"/>
        </w:rPr>
        <w:t xml:space="preserve">             </w:t>
      </w:r>
    </w:p>
    <w:p w14:paraId="48010C1F">
      <w:pPr>
        <w:spacing w:line="300" w:lineRule="exact"/>
        <w:ind w:firstLine="600" w:firstLineChars="300"/>
        <w:rPr>
          <w:rFonts w:ascii="Times New Roman" w:hAnsi="Times New Roman" w:eastAsia="楷体_GB2312" w:cs="Times New Roman"/>
          <w:sz w:val="20"/>
          <w:szCs w:val="20"/>
        </w:rPr>
      </w:pPr>
    </w:p>
    <w:p w14:paraId="2120E203">
      <w:pPr>
        <w:spacing w:line="300" w:lineRule="exact"/>
        <w:ind w:firstLine="600" w:firstLineChars="300"/>
        <w:rPr>
          <w:rFonts w:ascii="Times New Roman" w:hAnsi="Times New Roman" w:eastAsia="楷体_GB2312" w:cs="Times New Roman"/>
          <w:sz w:val="20"/>
          <w:szCs w:val="20"/>
        </w:rPr>
        <w:sectPr>
          <w:headerReference r:id="rId3" w:type="default"/>
          <w:footerReference r:id="rId4" w:type="default"/>
          <w:pgSz w:w="11906" w:h="16838"/>
          <w:pgMar w:top="1440" w:right="1797" w:bottom="1440" w:left="1797" w:header="851" w:footer="992" w:gutter="0"/>
          <w:pgNumType w:start="1"/>
          <w:cols w:space="720" w:num="1"/>
          <w:docGrid w:linePitch="326" w:charSpace="0"/>
        </w:sectPr>
      </w:pPr>
    </w:p>
    <w:p w14:paraId="21268BE4">
      <w:pPr>
        <w:spacing w:line="300" w:lineRule="exact"/>
        <w:ind w:left="-821" w:leftChars="-342" w:right="-792" w:rightChars="-330"/>
        <w:jc w:val="center"/>
        <w:rPr>
          <w:rFonts w:ascii="黑体" w:hAnsi="楷体_GB2312" w:eastAsia="黑体" w:cs="黑体"/>
          <w:b/>
          <w:bCs/>
          <w:color w:val="000000" w:themeColor="text1"/>
          <w14:textFill>
            <w14:solidFill>
              <w14:schemeClr w14:val="tx1"/>
            </w14:solidFill>
          </w14:textFill>
        </w:rPr>
      </w:pPr>
      <w:bookmarkStart w:id="0" w:name="_Hlk142658372"/>
      <w:r>
        <w:rPr>
          <w:rFonts w:hint="eastAsia" w:ascii="黑体" w:hAnsi="楷体_GB2312" w:eastAsia="黑体" w:cs="黑体"/>
          <w:b/>
          <w:bCs/>
          <w:color w:val="000000" w:themeColor="text1"/>
          <w14:textFill>
            <w14:solidFill>
              <w14:schemeClr w14:val="tx1"/>
            </w14:solidFill>
          </w14:textFill>
        </w:rPr>
        <w:t>信银理财理财产品风险揭示书</w:t>
      </w:r>
    </w:p>
    <w:p w14:paraId="1F568FDA">
      <w:pPr>
        <w:spacing w:line="300" w:lineRule="exact"/>
        <w:ind w:left="-821" w:leftChars="-342" w:right="-792" w:rightChars="-330"/>
        <w:jc w:val="center"/>
        <w:rPr>
          <w:rFonts w:ascii="楷体_GB2312" w:eastAsia="楷体_GB2312"/>
          <w:color w:val="000000" w:themeColor="text1"/>
          <w14:textFill>
            <w14:solidFill>
              <w14:schemeClr w14:val="tx1"/>
            </w14:solidFill>
          </w14:textFill>
        </w:rPr>
      </w:pPr>
      <w:r>
        <w:rPr>
          <w:rFonts w:ascii="黑体" w:eastAsia="黑体"/>
          <w:b/>
          <w:bCs/>
          <w:color w:val="000000" w:themeColor="text1"/>
          <w14:textFill>
            <w14:solidFill>
              <w14:schemeClr w14:val="tx1"/>
            </w14:solidFill>
          </w14:textFill>
        </w:rPr>
        <w:t> </w:t>
      </w:r>
    </w:p>
    <w:p w14:paraId="6B411692">
      <w:pPr>
        <w:jc w:val="both"/>
        <w:rPr>
          <w:rFonts w:ascii="楷体_GB2312" w:eastAsia="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尊敬的客户：</w:t>
      </w:r>
      <w:r>
        <w:rPr>
          <w:rFonts w:ascii="楷体_GB2312" w:hAnsi="Arial" w:eastAsia="楷体_GB2312" w:cs="楷体_GB2312"/>
          <w:color w:val="000000" w:themeColor="text1"/>
          <w14:textFill>
            <w14:solidFill>
              <w14:schemeClr w14:val="tx1"/>
            </w14:solidFill>
          </w14:textFill>
        </w:rPr>
        <w:t xml:space="preserve"> </w:t>
      </w:r>
    </w:p>
    <w:p w14:paraId="236544D5">
      <w:pPr>
        <w:ind w:firstLine="482" w:firstLineChars="200"/>
        <w:jc w:val="both"/>
        <w:rPr>
          <w:b/>
          <w:color w:val="000000" w:themeColor="text1"/>
          <w14:textFill>
            <w14:solidFill>
              <w14:schemeClr w14:val="tx1"/>
            </w14:solidFill>
          </w14:textFill>
        </w:rPr>
      </w:pPr>
      <w:r>
        <w:rPr>
          <w:rFonts w:hint="eastAsia" w:ascii="楷体_GB2312" w:hAnsi="Arial" w:eastAsia="楷体_GB2312" w:cs="楷体_GB2312"/>
          <w:b/>
          <w:color w:val="000000" w:themeColor="text1"/>
          <w14:textFill>
            <w14:solidFill>
              <w14:schemeClr w14:val="tx1"/>
            </w14:solidFill>
          </w14:textFill>
        </w:rPr>
        <w:t>理财资金管理运用过程中，可能会面临多种风险因素，包括但不限于信用风险、市场风险、流动性风险、提前终止风险、政策风险、信息传递风险、管理风险、延期清算风险、理财产品不成立风险、不可抗力及意外事件风险、理财本金全部损失风险、合作销售机构（代销机构）风险、操作风险、关联交易风险等风险。具体风险的含义，请您认真阅读本理财产品说明书中相应的风险揭示部分。</w:t>
      </w:r>
    </w:p>
    <w:p w14:paraId="72D58239">
      <w:pPr>
        <w:ind w:firstLine="482" w:firstLineChars="200"/>
        <w:jc w:val="both"/>
        <w:rPr>
          <w:b/>
          <w:color w:val="000000" w:themeColor="text1"/>
          <w14:textFill>
            <w14:solidFill>
              <w14:schemeClr w14:val="tx1"/>
            </w14:solidFill>
          </w14:textFill>
        </w:rPr>
      </w:pPr>
      <w:r>
        <w:rPr>
          <w:rFonts w:hint="eastAsia" w:ascii="楷体_GB2312" w:hAnsi="Arial" w:eastAsia="楷体_GB2312" w:cs="楷体_GB2312"/>
          <w:b/>
          <w:color w:val="000000" w:themeColor="text1"/>
          <w14:textFill>
            <w14:solidFill>
              <w14:schemeClr w14:val="tx1"/>
            </w14:solidFill>
          </w14:textFill>
        </w:rPr>
        <w:t>由于相关风险因素可能导致您的本金及收益全部或部分损失，因此，在您选择购买本理财产品前，请仔细阅读理财产品销售文件，包括理财产品销售总协议、理财产品投资协议书、理财产品说明书、风险揭示书及客户权益须知等，了解本理财产品具体情况</w:t>
      </w:r>
      <w:r>
        <w:rPr>
          <w:rFonts w:hint="eastAsia" w:ascii="楷体_GB2312" w:hAnsi="Arial" w:eastAsia="楷体_GB2312" w:cs="楷体_GB2312"/>
          <w:b/>
          <w:bCs/>
          <w:color w:val="000000" w:themeColor="text1"/>
          <w14:textFill>
            <w14:solidFill>
              <w14:schemeClr w14:val="tx1"/>
            </w14:solidFill>
          </w14:textFill>
        </w:rPr>
        <w:t>。</w:t>
      </w:r>
    </w:p>
    <w:p w14:paraId="24343222">
      <w:pPr>
        <w:ind w:firstLine="480" w:firstLineChars="200"/>
        <w:jc w:val="both"/>
        <w:rPr>
          <w:rFonts w:ascii="楷体_GB2312" w:eastAsia="楷体_GB2312"/>
          <w:color w:val="000000" w:themeColor="text1"/>
          <w14:textFill>
            <w14:solidFill>
              <w14:schemeClr w14:val="tx1"/>
            </w14:solidFill>
          </w14:textFill>
        </w:rPr>
      </w:pPr>
    </w:p>
    <w:p w14:paraId="3747F7BB">
      <w:pPr>
        <w:ind w:firstLine="480" w:firstLineChars="200"/>
        <w:jc w:val="both"/>
        <w:rPr>
          <w:rFonts w:ascii="楷体_GB2312" w:hAnsi="Arial" w:eastAsia="楷体_GB2312" w:cs="楷体_GB2312"/>
          <w:color w:val="000000" w:themeColor="text1"/>
          <w:highlight w:val="yellow"/>
          <w14:textFill>
            <w14:solidFill>
              <w14:schemeClr w14:val="tx1"/>
            </w14:solidFill>
          </w14:textFill>
        </w:rPr>
      </w:pPr>
      <w:r>
        <w:rPr>
          <w:rFonts w:hint="eastAsia" w:ascii="Arial" w:hAnsi="Arial" w:eastAsia="楷体_GB2312" w:cs="楷体_GB2312"/>
          <w:color w:val="000000" w:themeColor="text1"/>
          <w14:textFill>
            <w14:solidFill>
              <w14:schemeClr w14:val="tx1"/>
            </w14:solidFill>
          </w14:textFill>
        </w:rPr>
        <w:t>本理财产品名称为</w:t>
      </w:r>
      <w:r>
        <w:rPr>
          <w:rFonts w:hint="eastAsia" w:ascii="楷体_GB2312" w:hAnsi="楷体_GB2312" w:eastAsia="楷体_GB2312" w:cs="楷体_GB2312"/>
          <w:b/>
          <w:bCs/>
          <w:color w:val="000000" w:themeColor="text1"/>
          <w14:textFill>
            <w14:solidFill>
              <w14:schemeClr w14:val="tx1"/>
            </w14:solidFill>
          </w14:textFill>
        </w:rPr>
        <w:t>【</w:t>
      </w:r>
      <w:r>
        <w:rPr>
          <w:rFonts w:hint="eastAsia" w:ascii="楷体_GB2312" w:hAnsi="楷体_GB2312" w:eastAsia="楷体_GB2312" w:cs="楷体_GB2312"/>
          <w:b/>
          <w:bCs/>
        </w:rPr>
        <w:t>信银理财安盈象固收稳利三个月持有期27号理财产品</w:t>
      </w:r>
      <w:r>
        <w:rPr>
          <w:rFonts w:ascii="楷体_GB2312" w:hAnsi="楷体_GB2312" w:eastAsia="楷体_GB2312" w:cs="楷体_GB2312"/>
          <w:b/>
          <w:bCs/>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，产品代码为【</w:t>
      </w:r>
      <w:r>
        <w:rPr>
          <w:rFonts w:ascii="楷体_GB2312" w:hAnsi="Arial" w:eastAsia="楷体_GB2312" w:cs="楷体_GB2312"/>
          <w:color w:val="000000" w:themeColor="text1"/>
          <w14:textFill>
            <w14:solidFill>
              <w14:schemeClr w14:val="tx1"/>
            </w14:solidFill>
          </w14:textFill>
        </w:rPr>
        <w:t>AF247784</w:t>
      </w:r>
      <w:r>
        <w:rPr>
          <w:rFonts w:hint="eastAsia" w:ascii="楷体_GB2312" w:hAnsi="Arial" w:eastAsia="楷体_GB2312" w:cs="楷体_GB2312"/>
          <w:color w:val="000000" w:themeColor="text1"/>
          <w14:textFill>
            <w14:solidFill>
              <w14:schemeClr w14:val="tx1"/>
            </w14:solidFill>
          </w14:textFill>
        </w:rPr>
        <w:t>】，类型为公募、【固定收益类</w:t>
      </w:r>
      <w:r>
        <w:rPr>
          <w:rFonts w:ascii="楷体_GB2312" w:hAnsi="Arial" w:eastAsia="楷体_GB2312" w:cs="楷体_GB2312"/>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、开放</w:t>
      </w:r>
      <w:r>
        <w:rPr>
          <w:rFonts w:ascii="楷体_GB2312" w:hAnsi="Arial" w:eastAsia="楷体_GB2312" w:cs="楷体_GB2312"/>
          <w:color w:val="000000" w:themeColor="text1"/>
          <w14:textFill>
            <w14:solidFill>
              <w14:schemeClr w14:val="tx1"/>
            </w14:solidFill>
          </w14:textFill>
        </w:rPr>
        <w:t>式</w:t>
      </w:r>
      <w:r>
        <w:rPr>
          <w:rFonts w:hint="eastAsia" w:ascii="楷体_GB2312" w:hAnsi="Arial" w:eastAsia="楷体_GB2312" w:cs="楷体_GB2312"/>
          <w:color w:val="000000" w:themeColor="text1"/>
          <w14:textFill>
            <w14:solidFill>
              <w14:schemeClr w14:val="tx1"/>
            </w14:solidFill>
          </w14:textFill>
        </w:rPr>
        <w:t>产品，产品无固定期限，风险评级为【PR2】，适合购买客户为风险承受能力为【稳健型】及以上的客户。【固定收益类产品仅是按照投资性质分类，并非指收益固定或保本。】</w:t>
      </w:r>
    </w:p>
    <w:p w14:paraId="03500A16">
      <w:pPr>
        <w:ind w:firstLine="480" w:firstLineChars="200"/>
        <w:jc w:val="both"/>
        <w:rPr>
          <w:rFonts w:ascii="楷体_GB2312" w:hAnsi="Arial" w:eastAsia="楷体_GB2312" w:cs="楷体_GB2312"/>
          <w:color w:val="000000" w:themeColor="text1"/>
          <w14:textFill>
            <w14:solidFill>
              <w14:schemeClr w14:val="tx1"/>
            </w14:solidFill>
          </w14:textFill>
        </w:rPr>
      </w:pPr>
    </w:p>
    <w:p w14:paraId="0377E53B">
      <w:pPr>
        <w:ind w:firstLine="480" w:firstLineChars="200"/>
        <w:jc w:val="both"/>
        <w:rPr>
          <w:rFonts w:ascii="楷体_GB2312" w:hAnsi="Arial" w:eastAsia="楷体_GB2312"/>
          <w:color w:val="000000" w:themeColor="text1"/>
          <w14:textFill>
            <w14:solidFill>
              <w14:schemeClr w14:val="tx1"/>
            </w14:solidFill>
          </w14:textFill>
        </w:rPr>
      </w:pPr>
      <w:r>
        <w:rPr>
          <w:rFonts w:hint="eastAsia" w:ascii="黑体" w:hAnsi="Times New Roman" w:eastAsia="黑体" w:cs="黑体"/>
          <w:color w:val="000000" w:themeColor="text1"/>
          <w14:textFill>
            <w14:solidFill>
              <w14:schemeClr w14:val="tx1"/>
            </w14:solidFill>
          </w14:textFill>
        </w:rPr>
        <w:t>重要提示</w:t>
      </w:r>
      <w:r>
        <w:rPr>
          <w:rFonts w:hint="eastAsia" w:ascii="楷体_GB2312" w:hAnsi="Arial" w:eastAsia="楷体_GB2312" w:cs="楷体_GB2312"/>
          <w:color w:val="000000" w:themeColor="text1"/>
          <w14:textFill>
            <w14:solidFill>
              <w14:schemeClr w14:val="tx1"/>
            </w14:solidFill>
          </w14:textFill>
        </w:rPr>
        <w:t>：信银理财</w:t>
      </w:r>
      <w:r>
        <w:rPr>
          <w:rFonts w:ascii="楷体_GB2312" w:hAnsi="Arial" w:eastAsia="楷体_GB2312" w:cs="楷体_GB2312"/>
          <w:color w:val="000000" w:themeColor="text1"/>
          <w14:textFill>
            <w14:solidFill>
              <w14:schemeClr w14:val="tx1"/>
            </w14:solidFill>
          </w14:textFill>
        </w:rPr>
        <w:t>作为本理财</w:t>
      </w:r>
      <w:r>
        <w:rPr>
          <w:rFonts w:hint="eastAsia" w:ascii="楷体_GB2312" w:hAnsi="Arial" w:eastAsia="楷体_GB2312" w:cs="楷体_GB2312"/>
          <w:color w:val="000000" w:themeColor="text1"/>
          <w14:textFill>
            <w14:solidFill>
              <w14:schemeClr w14:val="tx1"/>
            </w14:solidFill>
          </w14:textFill>
        </w:rPr>
        <w:t>产品</w:t>
      </w:r>
      <w:r>
        <w:rPr>
          <w:rFonts w:ascii="楷体_GB2312" w:hAnsi="Arial" w:eastAsia="楷体_GB2312" w:cs="楷体_GB2312"/>
          <w:color w:val="000000" w:themeColor="text1"/>
          <w14:textFill>
            <w14:solidFill>
              <w14:schemeClr w14:val="tx1"/>
            </w14:solidFill>
          </w14:textFill>
        </w:rPr>
        <w:t>管理人承诺以诚实守信、</w:t>
      </w:r>
      <w:r>
        <w:rPr>
          <w:rFonts w:hint="eastAsia" w:ascii="楷体_GB2312" w:hAnsi="Arial" w:eastAsia="楷体_GB2312" w:cs="楷体_GB2312"/>
          <w:color w:val="000000" w:themeColor="text1"/>
          <w14:textFill>
            <w14:solidFill>
              <w14:schemeClr w14:val="tx1"/>
            </w14:solidFill>
          </w14:textFill>
        </w:rPr>
        <w:t>勤勉</w:t>
      </w:r>
      <w:r>
        <w:rPr>
          <w:rFonts w:ascii="楷体_GB2312" w:hAnsi="Arial" w:eastAsia="楷体_GB2312" w:cs="楷体_GB2312"/>
          <w:color w:val="000000" w:themeColor="text1"/>
          <w14:textFill>
            <w14:solidFill>
              <w14:schemeClr w14:val="tx1"/>
            </w14:solidFill>
          </w14:textFill>
        </w:rPr>
        <w:t>尽职的原则管理和运用理财产品</w:t>
      </w:r>
      <w:r>
        <w:rPr>
          <w:rFonts w:hint="eastAsia" w:ascii="楷体_GB2312" w:hAnsi="Arial" w:eastAsia="楷体_GB2312" w:cs="楷体_GB2312"/>
          <w:color w:val="000000" w:themeColor="text1"/>
          <w14:textFill>
            <w14:solidFill>
              <w14:schemeClr w14:val="tx1"/>
            </w14:solidFill>
          </w14:textFill>
        </w:rPr>
        <w:t>资金</w:t>
      </w:r>
      <w:r>
        <w:rPr>
          <w:rFonts w:ascii="楷体_GB2312" w:hAnsi="Arial" w:eastAsia="楷体_GB2312" w:cs="楷体_GB2312"/>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但</w:t>
      </w:r>
      <w:r>
        <w:rPr>
          <w:rFonts w:ascii="楷体_GB2312" w:hAnsi="Arial" w:eastAsia="楷体_GB2312" w:cs="楷体_GB2312"/>
          <w:b/>
          <w:color w:val="000000" w:themeColor="text1"/>
          <w14:textFill>
            <w14:solidFill>
              <w14:schemeClr w14:val="tx1"/>
            </w14:solidFill>
          </w14:textFill>
        </w:rPr>
        <w:t>不保证</w:t>
      </w:r>
      <w:r>
        <w:rPr>
          <w:rFonts w:hint="eastAsia" w:ascii="楷体_GB2312" w:hAnsi="Arial" w:eastAsia="楷体_GB2312" w:cs="楷体_GB2312"/>
          <w:b/>
          <w:color w:val="000000" w:themeColor="text1"/>
          <w14:textFill>
            <w14:solidFill>
              <w14:schemeClr w14:val="tx1"/>
            </w14:solidFill>
          </w14:textFill>
        </w:rPr>
        <w:t>本金和</w:t>
      </w:r>
      <w:r>
        <w:rPr>
          <w:rFonts w:ascii="楷体_GB2312" w:hAnsi="Arial" w:eastAsia="楷体_GB2312" w:cs="楷体_GB2312"/>
          <w:b/>
          <w:color w:val="000000" w:themeColor="text1"/>
          <w14:textFill>
            <w14:solidFill>
              <w14:schemeClr w14:val="tx1"/>
            </w14:solidFill>
          </w14:textFill>
        </w:rPr>
        <w:t>收益，您可能因市场变动</w:t>
      </w:r>
      <w:r>
        <w:rPr>
          <w:rFonts w:hint="eastAsia" w:ascii="楷体_GB2312" w:hAnsi="Arial" w:eastAsia="楷体_GB2312" w:cs="楷体_GB2312"/>
          <w:b/>
          <w:color w:val="000000" w:themeColor="text1"/>
          <w14:textFill>
            <w14:solidFill>
              <w14:schemeClr w14:val="tx1"/>
            </w14:solidFill>
          </w14:textFill>
        </w:rPr>
        <w:t>而</w:t>
      </w:r>
      <w:r>
        <w:rPr>
          <w:rFonts w:ascii="楷体_GB2312" w:hAnsi="Arial" w:eastAsia="楷体_GB2312" w:cs="楷体_GB2312"/>
          <w:b/>
          <w:color w:val="000000" w:themeColor="text1"/>
          <w14:textFill>
            <w14:solidFill>
              <w14:schemeClr w14:val="tx1"/>
            </w14:solidFill>
          </w14:textFill>
        </w:rPr>
        <w:t>损失全部本金</w:t>
      </w:r>
      <w:r>
        <w:rPr>
          <w:rFonts w:hint="eastAsia" w:ascii="楷体_GB2312" w:hAnsi="Arial" w:eastAsia="楷体_GB2312" w:cs="楷体_GB2312"/>
          <w:b/>
          <w:color w:val="000000" w:themeColor="text1"/>
          <w14:textFill>
            <w14:solidFill>
              <w14:schemeClr w14:val="tx1"/>
            </w14:solidFill>
          </w14:textFill>
        </w:rPr>
        <w:t>且</w:t>
      </w:r>
      <w:r>
        <w:rPr>
          <w:rFonts w:ascii="楷体_GB2312" w:hAnsi="Arial" w:eastAsia="楷体_GB2312" w:cs="楷体_GB2312"/>
          <w:b/>
          <w:color w:val="000000" w:themeColor="text1"/>
          <w14:textFill>
            <w14:solidFill>
              <w14:schemeClr w14:val="tx1"/>
            </w14:solidFill>
          </w14:textFill>
        </w:rPr>
        <w:t>无法取得任何收益</w:t>
      </w:r>
      <w:r>
        <w:rPr>
          <w:rFonts w:hint="eastAsia" w:ascii="楷体_GB2312" w:hAnsi="Arial" w:eastAsia="楷体_GB2312" w:cs="楷体_GB2312"/>
          <w:color w:val="000000" w:themeColor="text1"/>
          <w14:textFill>
            <w14:solidFill>
              <w14:schemeClr w14:val="tx1"/>
            </w14:solidFill>
          </w14:textFill>
        </w:rPr>
        <w:t>。</w:t>
      </w:r>
      <w:r>
        <w:rPr>
          <w:rFonts w:hint="eastAsia" w:ascii="楷体" w:hAnsi="楷体" w:eastAsia="楷体"/>
          <w:b/>
        </w:rPr>
        <w:t>理财产品过往业绩不代表其未来表现，不等于理财产品实际收益，投资须谨慎。</w:t>
      </w:r>
      <w:r>
        <w:rPr>
          <w:rFonts w:hint="eastAsia" w:ascii="楷体_GB2312" w:hAnsi="Arial" w:eastAsia="楷体_GB2312" w:cs="楷体_GB2312"/>
          <w:color w:val="000000" w:themeColor="text1"/>
          <w14:textFill>
            <w14:solidFill>
              <w14:schemeClr w14:val="tx1"/>
            </w14:solidFill>
          </w14:textFill>
        </w:rPr>
        <w:t>信银理财提醒您</w:t>
      </w:r>
      <w:r>
        <w:rPr>
          <w:rFonts w:ascii="楷体_GB2312" w:hAnsi="Arial" w:eastAsia="楷体_GB2312" w:cs="楷体_GB2312"/>
          <w:color w:val="000000" w:themeColor="text1"/>
          <w14:textFill>
            <w14:solidFill>
              <w14:schemeClr w14:val="tx1"/>
            </w14:solidFill>
          </w14:textFill>
        </w:rPr>
        <w:t>理财</w:t>
      </w:r>
      <w:r>
        <w:rPr>
          <w:rFonts w:hint="eastAsia" w:ascii="楷体_GB2312" w:hAnsi="Arial" w:eastAsia="楷体_GB2312" w:cs="楷体_GB2312"/>
          <w:color w:val="000000" w:themeColor="text1"/>
          <w14:textFill>
            <w14:solidFill>
              <w14:schemeClr w14:val="tx1"/>
            </w14:solidFill>
          </w14:textFill>
        </w:rPr>
        <w:t>产品</w:t>
      </w:r>
      <w:r>
        <w:rPr>
          <w:rFonts w:ascii="楷体_GB2312" w:hAnsi="Arial" w:eastAsia="楷体_GB2312" w:cs="楷体_GB2312"/>
          <w:color w:val="000000" w:themeColor="text1"/>
          <w14:textFill>
            <w14:solidFill>
              <w14:schemeClr w14:val="tx1"/>
            </w14:solidFill>
          </w14:textFill>
        </w:rPr>
        <w:t>投资</w:t>
      </w:r>
      <w:r>
        <w:rPr>
          <w:rFonts w:hint="eastAsia" w:ascii="楷体_GB2312" w:hAnsi="Arial" w:eastAsia="楷体_GB2312" w:cs="楷体_GB2312"/>
          <w:color w:val="000000" w:themeColor="text1"/>
          <w14:textFill>
            <w14:solidFill>
              <w14:schemeClr w14:val="tx1"/>
            </w14:solidFill>
          </w14:textFill>
        </w:rPr>
        <w:t>风险</w:t>
      </w:r>
      <w:r>
        <w:rPr>
          <w:rFonts w:ascii="楷体_GB2312" w:hAnsi="Arial" w:eastAsia="楷体_GB2312" w:cs="楷体_GB2312"/>
          <w:color w:val="000000" w:themeColor="text1"/>
          <w14:textFill>
            <w14:solidFill>
              <w14:schemeClr w14:val="tx1"/>
            </w14:solidFill>
          </w14:textFill>
        </w:rPr>
        <w:t>由</w:t>
      </w:r>
      <w:r>
        <w:rPr>
          <w:rFonts w:hint="eastAsia" w:ascii="楷体_GB2312" w:hAnsi="Arial" w:eastAsia="楷体_GB2312" w:cs="楷体_GB2312"/>
          <w:color w:val="000000" w:themeColor="text1"/>
          <w14:textFill>
            <w14:solidFill>
              <w14:schemeClr w14:val="tx1"/>
            </w14:solidFill>
          </w14:textFill>
        </w:rPr>
        <w:t>买者自负</w:t>
      </w:r>
      <w:r>
        <w:rPr>
          <w:rFonts w:ascii="楷体_GB2312" w:hAnsi="Arial" w:eastAsia="楷体_GB2312" w:cs="楷体_GB2312"/>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您应充分认识投资风险，谨慎投资！</w:t>
      </w:r>
      <w:r>
        <w:rPr>
          <w:rFonts w:ascii="楷体_GB2312" w:hAnsi="Arial" w:eastAsia="楷体_GB2312"/>
          <w:color w:val="000000" w:themeColor="text1"/>
          <w14:textFill>
            <w14:solidFill>
              <w14:schemeClr w14:val="tx1"/>
            </w14:solidFill>
          </w14:textFill>
        </w:rPr>
        <w:t> </w:t>
      </w:r>
    </w:p>
    <w:p w14:paraId="30624B3F">
      <w:pPr>
        <w:ind w:firstLine="480" w:firstLineChars="200"/>
        <w:jc w:val="both"/>
        <w:rPr>
          <w:rFonts w:ascii="楷体_GB2312" w:hAnsi="Arial" w:eastAsia="楷体_GB2312"/>
          <w:color w:val="000000" w:themeColor="text1"/>
          <w14:textFill>
            <w14:solidFill>
              <w14:schemeClr w14:val="tx1"/>
            </w14:solidFill>
          </w14:textFill>
        </w:rPr>
      </w:pPr>
    </w:p>
    <w:p w14:paraId="489E4093">
      <w:pPr>
        <w:ind w:firstLine="482" w:firstLineChars="200"/>
        <w:jc w:val="both"/>
        <w:rPr>
          <w:rFonts w:ascii="楷体_GB2312" w:hAnsi="楷体_GB2312" w:eastAsia="楷体_GB2312" w:cs="楷体_GB2312"/>
          <w:b/>
          <w:bCs/>
          <w:color w:val="000000" w:themeColor="text1"/>
          <w14:textFill>
            <w14:solidFill>
              <w14:schemeClr w14:val="tx1"/>
            </w14:solidFill>
          </w14:textFill>
        </w:rPr>
      </w:pPr>
      <w:r>
        <w:rPr>
          <w:rFonts w:hint="eastAsia" w:ascii="楷体_GB2312" w:hAnsi="楷体_GB2312" w:eastAsia="楷体_GB2312" w:cs="楷体_GB2312"/>
          <w:b/>
          <w:bCs/>
          <w:color w:val="000000" w:themeColor="text1"/>
          <w14:textFill>
            <w14:solidFill>
              <w14:schemeClr w14:val="tx1"/>
            </w14:solidFill>
          </w14:textFill>
        </w:rPr>
        <w:t>【示例】：若投资者购买本理财产品，假设理财产品本金为</w:t>
      </w:r>
      <w:r>
        <w:rPr>
          <w:rFonts w:ascii="楷体_GB2312" w:hAnsi="楷体_GB2312" w:eastAsia="楷体_GB2312" w:cs="楷体_GB2312"/>
          <w:b/>
          <w:bCs/>
          <w:color w:val="000000" w:themeColor="text1"/>
          <w14:textFill>
            <w14:solidFill>
              <w14:schemeClr w14:val="tx1"/>
            </w14:solidFill>
          </w14:textFill>
        </w:rPr>
        <w:t>1</w:t>
      </w:r>
      <w:r>
        <w:rPr>
          <w:rFonts w:hint="eastAsia" w:ascii="楷体_GB2312" w:hAnsi="楷体_GB2312" w:eastAsia="楷体_GB2312" w:cs="楷体_GB2312"/>
          <w:b/>
          <w:bCs/>
          <w:color w:val="000000" w:themeColor="text1"/>
          <w14:textFill>
            <w14:solidFill>
              <w14:schemeClr w14:val="tx1"/>
            </w14:solidFill>
          </w14:textFill>
        </w:rPr>
        <w:t>.00亿元，在最不利情况下，理财本金及收益全部损失。</w:t>
      </w:r>
    </w:p>
    <w:p w14:paraId="167166DB">
      <w:pPr>
        <w:ind w:firstLine="482" w:firstLineChars="200"/>
        <w:jc w:val="both"/>
        <w:rPr>
          <w:rFonts w:ascii="楷体_GB2312" w:hAnsi="楷体_GB2312" w:eastAsia="楷体_GB2312" w:cs="楷体_GB2312"/>
          <w:b/>
          <w:bCs/>
          <w:color w:val="000000" w:themeColor="text1"/>
          <w14:textFill>
            <w14:solidFill>
              <w14:schemeClr w14:val="tx1"/>
            </w14:solidFill>
          </w14:textFill>
        </w:rPr>
      </w:pPr>
    </w:p>
    <w:p w14:paraId="0E01D9A0">
      <w:pPr>
        <w:ind w:firstLine="482" w:firstLineChars="200"/>
        <w:jc w:val="both"/>
        <w:rPr>
          <w:rFonts w:ascii="黑体" w:hAnsi="黑体" w:eastAsia="黑体"/>
          <w:b/>
          <w:color w:val="000000" w:themeColor="text1"/>
          <w14:textFill>
            <w14:solidFill>
              <w14:schemeClr w14:val="tx1"/>
            </w14:solidFill>
          </w14:textFill>
        </w:rPr>
      </w:pPr>
      <w:r>
        <w:rPr>
          <w:rFonts w:hint="eastAsia" w:ascii="黑体" w:hAnsi="黑体" w:eastAsia="黑体"/>
          <w:b/>
          <w:color w:val="000000" w:themeColor="text1"/>
          <w14:textFill>
            <w14:solidFill>
              <w14:schemeClr w14:val="tx1"/>
            </w14:solidFill>
          </w14:textFill>
        </w:rPr>
        <w:t>理财非存款</w:t>
      </w:r>
      <w:r>
        <w:rPr>
          <w:rFonts w:ascii="黑体" w:hAnsi="黑体" w:eastAsia="黑体"/>
          <w:b/>
          <w:color w:val="000000" w:themeColor="text1"/>
          <w14:textFill>
            <w14:solidFill>
              <w14:schemeClr w14:val="tx1"/>
            </w14:solidFill>
          </w14:textFill>
        </w:rPr>
        <w:t>、产品</w:t>
      </w:r>
      <w:r>
        <w:rPr>
          <w:rFonts w:hint="eastAsia" w:ascii="黑体" w:hAnsi="黑体" w:eastAsia="黑体"/>
          <w:b/>
          <w:color w:val="000000" w:themeColor="text1"/>
          <w14:textFill>
            <w14:solidFill>
              <w14:schemeClr w14:val="tx1"/>
            </w14:solidFill>
          </w14:textFill>
        </w:rPr>
        <w:t>有</w:t>
      </w:r>
      <w:r>
        <w:rPr>
          <w:rFonts w:ascii="黑体" w:hAnsi="黑体" w:eastAsia="黑体"/>
          <w:b/>
          <w:color w:val="000000" w:themeColor="text1"/>
          <w14:textFill>
            <w14:solidFill>
              <w14:schemeClr w14:val="tx1"/>
            </w14:solidFill>
          </w14:textFill>
        </w:rPr>
        <w:t>风险、投资须谨慎</w:t>
      </w:r>
      <w:r>
        <w:rPr>
          <w:rFonts w:hint="eastAsia" w:ascii="黑体" w:hAnsi="黑体" w:eastAsia="黑体"/>
          <w:b/>
          <w:color w:val="000000" w:themeColor="text1"/>
          <w14:textFill>
            <w14:solidFill>
              <w14:schemeClr w14:val="tx1"/>
            </w14:solidFill>
          </w14:textFill>
        </w:rPr>
        <w:t>！</w:t>
      </w:r>
    </w:p>
    <w:p w14:paraId="58400198">
      <w:pPr>
        <w:ind w:firstLine="482" w:firstLineChars="200"/>
        <w:jc w:val="both"/>
        <w:rPr>
          <w:rFonts w:ascii="黑体" w:hAnsi="黑体" w:eastAsia="黑体"/>
          <w:b/>
          <w:color w:val="000000" w:themeColor="text1"/>
          <w14:textFill>
            <w14:solidFill>
              <w14:schemeClr w14:val="tx1"/>
            </w14:solidFill>
          </w14:textFill>
        </w:rPr>
      </w:pPr>
    </w:p>
    <w:p w14:paraId="04EB2FE5">
      <w:pPr>
        <w:ind w:firstLine="480" w:firstLineChars="200"/>
        <w:jc w:val="both"/>
        <w:rPr>
          <w:rFonts w:ascii="楷体_GB2312" w:eastAsia="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如影响您风险承受能力的因素发生变化，请及时告知信银理财或</w:t>
      </w:r>
      <w:r>
        <w:rPr>
          <w:rFonts w:ascii="楷体_GB2312" w:hAnsi="Arial" w:eastAsia="楷体_GB2312" w:cs="楷体_GB2312"/>
          <w:color w:val="000000" w:themeColor="text1"/>
          <w14:textFill>
            <w14:solidFill>
              <w14:schemeClr w14:val="tx1"/>
            </w14:solidFill>
          </w14:textFill>
        </w:rPr>
        <w:t>代销机构</w:t>
      </w:r>
      <w:r>
        <w:rPr>
          <w:rFonts w:hint="eastAsia" w:ascii="楷体_GB2312" w:hAnsi="Arial" w:eastAsia="楷体_GB2312" w:cs="楷体_GB2312"/>
          <w:color w:val="000000" w:themeColor="text1"/>
          <w14:textFill>
            <w14:solidFill>
              <w14:schemeClr w14:val="tx1"/>
            </w14:solidFill>
          </w14:textFill>
        </w:rPr>
        <w:t>并重新进行风险承受能力评估。</w:t>
      </w:r>
      <w:r>
        <w:rPr>
          <w:rFonts w:ascii="楷体_GB2312" w:hAnsi="Arial" w:eastAsia="楷体_GB2312" w:cs="楷体_GB2312"/>
          <w:color w:val="000000" w:themeColor="text1"/>
          <w14:textFill>
            <w14:solidFill>
              <w14:schemeClr w14:val="tx1"/>
            </w14:solidFill>
          </w14:textFill>
        </w:rPr>
        <w:t xml:space="preserve"> </w:t>
      </w:r>
    </w:p>
    <w:p w14:paraId="67C6A0D0">
      <w:pPr>
        <w:jc w:val="right"/>
        <w:rPr>
          <w:rFonts w:ascii="楷体_GB2312" w:eastAsia="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风险揭示方：</w:t>
      </w:r>
      <w:r>
        <w:rPr>
          <w:rFonts w:ascii="楷体_GB2312" w:hAnsi="Arial" w:eastAsia="楷体_GB2312" w:cs="楷体_GB2312"/>
          <w:color w:val="000000" w:themeColor="text1"/>
          <w14:textFill>
            <w14:solidFill>
              <w14:schemeClr w14:val="tx1"/>
            </w14:solidFill>
          </w14:textFill>
        </w:rPr>
        <w:t xml:space="preserve"> </w:t>
      </w:r>
      <w:r>
        <w:rPr>
          <w:rFonts w:hint="eastAsia" w:ascii="楷体_GB2312" w:hAnsi="Arial" w:eastAsia="楷体_GB2312" w:cs="楷体_GB2312"/>
          <w:color w:val="000000" w:themeColor="text1"/>
          <w14:textFill>
            <w14:solidFill>
              <w14:schemeClr w14:val="tx1"/>
            </w14:solidFill>
          </w14:textFill>
        </w:rPr>
        <w:t>信银理财有限责任公司</w:t>
      </w:r>
    </w:p>
    <w:p w14:paraId="785895A5">
      <w:pPr>
        <w:jc w:val="right"/>
        <w:rPr>
          <w:rFonts w:ascii="楷体_GB2312" w:eastAsia="楷体_GB2312"/>
          <w:color w:val="000000" w:themeColor="text1"/>
          <w14:textFill>
            <w14:solidFill>
              <w14:schemeClr w14:val="tx1"/>
            </w14:solidFill>
          </w14:textFill>
        </w:rPr>
      </w:pPr>
    </w:p>
    <w:p w14:paraId="4FE5D49C">
      <w:pPr>
        <w:rPr>
          <w:rFonts w:ascii="楷体_GB2312" w:hAnsi="Arial" w:eastAsia="楷体_GB2312" w:cs="楷体_GB2312"/>
          <w:b/>
          <w:bCs/>
          <w:color w:val="000000" w:themeColor="text1"/>
          <w:u w:val="single"/>
          <w14:textFill>
            <w14:solidFill>
              <w14:schemeClr w14:val="tx1"/>
            </w14:solidFill>
          </w14:textFill>
        </w:rPr>
      </w:pPr>
    </w:p>
    <w:p w14:paraId="6368FDDD">
      <w:pPr>
        <w:jc w:val="center"/>
        <w:rPr>
          <w:rFonts w:ascii="楷体_GB2312" w:hAnsi="Arial" w:eastAsia="楷体_GB2312" w:cs="楷体_GB2312"/>
          <w:b/>
          <w:bCs/>
          <w:color w:val="000000" w:themeColor="text1"/>
          <w:u w:val="single"/>
          <w14:textFill>
            <w14:solidFill>
              <w14:schemeClr w14:val="tx1"/>
            </w14:solidFill>
          </w14:textFill>
        </w:rPr>
      </w:pPr>
    </w:p>
    <w:p w14:paraId="37E92553">
      <w:pPr>
        <w:jc w:val="center"/>
        <w:rPr>
          <w:rFonts w:ascii="楷体_GB2312" w:eastAsia="楷体_GB2312"/>
          <w:color w:val="000000" w:themeColor="text1"/>
          <w14:textFill>
            <w14:solidFill>
              <w14:schemeClr w14:val="tx1"/>
            </w14:solidFill>
          </w14:textFill>
        </w:rPr>
      </w:pPr>
      <w:r>
        <w:rPr>
          <w:rFonts w:hint="eastAsia" w:ascii="楷体_GB2312" w:hAnsi="Arial" w:eastAsia="楷体_GB2312" w:cs="楷体_GB2312"/>
          <w:b/>
          <w:bCs/>
          <w:color w:val="000000" w:themeColor="text1"/>
          <w:u w:val="single"/>
          <w14:textFill>
            <w14:solidFill>
              <w14:schemeClr w14:val="tx1"/>
            </w14:solidFill>
          </w14:textFill>
        </w:rPr>
        <w:t>客</w:t>
      </w:r>
      <w:r>
        <w:rPr>
          <w:rFonts w:ascii="楷体_GB2312" w:hAnsi="Arial" w:eastAsia="楷体_GB2312" w:cs="楷体_GB2312"/>
          <w:b/>
          <w:bCs/>
          <w:color w:val="000000" w:themeColor="text1"/>
          <w:u w:val="single"/>
          <w14:textFill>
            <w14:solidFill>
              <w14:schemeClr w14:val="tx1"/>
            </w14:solidFill>
          </w14:textFill>
        </w:rPr>
        <w:t xml:space="preserve"> </w:t>
      </w:r>
      <w:r>
        <w:rPr>
          <w:rFonts w:hint="eastAsia" w:ascii="楷体_GB2312" w:hAnsi="Arial" w:eastAsia="楷体_GB2312" w:cs="楷体_GB2312"/>
          <w:b/>
          <w:bCs/>
          <w:color w:val="000000" w:themeColor="text1"/>
          <w:u w:val="single"/>
          <w14:textFill>
            <w14:solidFill>
              <w14:schemeClr w14:val="tx1"/>
            </w14:solidFill>
          </w14:textFill>
        </w:rPr>
        <w:t>户</w:t>
      </w:r>
      <w:r>
        <w:rPr>
          <w:rFonts w:ascii="楷体_GB2312" w:hAnsi="Arial" w:eastAsia="楷体_GB2312" w:cs="楷体_GB2312"/>
          <w:b/>
          <w:bCs/>
          <w:color w:val="000000" w:themeColor="text1"/>
          <w:u w:val="single"/>
          <w14:textFill>
            <w14:solidFill>
              <w14:schemeClr w14:val="tx1"/>
            </w14:solidFill>
          </w14:textFill>
        </w:rPr>
        <w:t xml:space="preserve"> </w:t>
      </w:r>
      <w:r>
        <w:rPr>
          <w:rFonts w:hint="eastAsia" w:ascii="楷体_GB2312" w:hAnsi="Arial" w:eastAsia="楷体_GB2312" w:cs="楷体_GB2312"/>
          <w:b/>
          <w:bCs/>
          <w:color w:val="000000" w:themeColor="text1"/>
          <w:u w:val="single"/>
          <w14:textFill>
            <w14:solidFill>
              <w14:schemeClr w14:val="tx1"/>
            </w14:solidFill>
          </w14:textFill>
        </w:rPr>
        <w:t>确</w:t>
      </w:r>
      <w:r>
        <w:rPr>
          <w:rFonts w:ascii="楷体_GB2312" w:hAnsi="Arial" w:eastAsia="楷体_GB2312" w:cs="楷体_GB2312"/>
          <w:b/>
          <w:bCs/>
          <w:color w:val="000000" w:themeColor="text1"/>
          <w:u w:val="single"/>
          <w14:textFill>
            <w14:solidFill>
              <w14:schemeClr w14:val="tx1"/>
            </w14:solidFill>
          </w14:textFill>
        </w:rPr>
        <w:t xml:space="preserve"> </w:t>
      </w:r>
      <w:r>
        <w:rPr>
          <w:rFonts w:hint="eastAsia" w:ascii="楷体_GB2312" w:hAnsi="Arial" w:eastAsia="楷体_GB2312" w:cs="楷体_GB2312"/>
          <w:b/>
          <w:bCs/>
          <w:color w:val="000000" w:themeColor="text1"/>
          <w:u w:val="single"/>
          <w14:textFill>
            <w14:solidFill>
              <w14:schemeClr w14:val="tx1"/>
            </w14:solidFill>
          </w14:textFill>
        </w:rPr>
        <w:t>认</w:t>
      </w:r>
      <w:r>
        <w:rPr>
          <w:rFonts w:ascii="楷体_GB2312" w:hAnsi="Arial" w:eastAsia="楷体_GB2312" w:cs="楷体_GB2312"/>
          <w:b/>
          <w:bCs/>
          <w:color w:val="000000" w:themeColor="text1"/>
          <w:u w:val="single"/>
          <w14:textFill>
            <w14:solidFill>
              <w14:schemeClr w14:val="tx1"/>
            </w14:solidFill>
          </w14:textFill>
        </w:rPr>
        <w:t xml:space="preserve"> </w:t>
      </w:r>
      <w:r>
        <w:rPr>
          <w:rFonts w:hint="eastAsia" w:ascii="楷体_GB2312" w:hAnsi="Arial" w:eastAsia="楷体_GB2312" w:cs="楷体_GB2312"/>
          <w:b/>
          <w:bCs/>
          <w:color w:val="000000" w:themeColor="text1"/>
          <w:u w:val="single"/>
          <w14:textFill>
            <w14:solidFill>
              <w14:schemeClr w14:val="tx1"/>
            </w14:solidFill>
          </w14:textFill>
        </w:rPr>
        <w:t>栏</w:t>
      </w:r>
    </w:p>
    <w:p w14:paraId="22757838">
      <w:pPr>
        <w:pStyle w:val="19"/>
        <w:ind w:firstLine="480" w:firstLineChars="0"/>
        <w:jc w:val="both"/>
        <w:rPr>
          <w:rFonts w:ascii="楷体_GB2312" w:hAnsi="Arial" w:eastAsia="楷体_GB2312" w:cs="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本人/本单位确认，本人/本单位购买该理财产品为本人/本单位真实的意思表示</w:t>
      </w:r>
      <w:r>
        <w:rPr>
          <w:rFonts w:ascii="楷体_GB2312" w:hAnsi="Arial" w:eastAsia="楷体_GB2312" w:cs="楷体_GB2312"/>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并认为该理财产品完全适合本人/本单位的投资目标、投资预期以及风险承受能力，本人/本单位自愿承担由此带来的一切后果。本人/本单位确认信银理财/代销</w:t>
      </w:r>
      <w:r>
        <w:rPr>
          <w:rFonts w:ascii="楷体_GB2312" w:hAnsi="Arial" w:eastAsia="楷体_GB2312" w:cs="楷体_GB2312"/>
          <w:color w:val="000000" w:themeColor="text1"/>
          <w14:textFill>
            <w14:solidFill>
              <w14:schemeClr w14:val="tx1"/>
            </w14:solidFill>
          </w14:textFill>
        </w:rPr>
        <w:t>机构</w:t>
      </w:r>
      <w:r>
        <w:rPr>
          <w:rFonts w:hint="eastAsia" w:ascii="楷体_GB2312" w:hAnsi="Arial" w:eastAsia="楷体_GB2312" w:cs="楷体_GB2312"/>
          <w:color w:val="000000" w:themeColor="text1"/>
          <w14:textFill>
            <w14:solidFill>
              <w14:schemeClr w14:val="tx1"/>
            </w14:solidFill>
          </w14:textFill>
        </w:rPr>
        <w:t>相关业务人员对于理财产品销售文件中限制或排除本人/本单位权利、增加或加重本人/本单位义务或责任以及有关免除或减轻信银理财责任或信银理财单方面拥有某些权利的条款已向本人/本单位予以说明，本人/本单位已完全理解并自愿接受。</w:t>
      </w:r>
      <w:bookmarkEnd w:id="0"/>
    </w:p>
    <w:p w14:paraId="7F98A07F">
      <w:pPr>
        <w:pStyle w:val="19"/>
        <w:ind w:firstLine="480" w:firstLineChars="0"/>
        <w:jc w:val="both"/>
        <w:rPr>
          <w:rFonts w:ascii="楷体_GB2312" w:eastAsia="楷体_GB2312"/>
          <w:b/>
          <w:color w:val="000000" w:themeColor="text1"/>
          <w14:textFill>
            <w14:solidFill>
              <w14:schemeClr w14:val="tx1"/>
            </w14:solidFill>
          </w14:textFill>
        </w:rPr>
      </w:pPr>
      <w:r>
        <w:rPr>
          <w:rFonts w:hint="eastAsia" w:ascii="楷体_GB2312" w:eastAsia="楷体_GB2312"/>
          <w:b/>
          <w:color w:val="000000" w:themeColor="text1"/>
          <w14:textFill>
            <w14:solidFill>
              <w14:schemeClr w14:val="tx1"/>
            </w14:solidFill>
          </w14:textFill>
        </w:rPr>
        <w:t>本人</w:t>
      </w:r>
      <w:r>
        <w:rPr>
          <w:rFonts w:hint="eastAsia" w:ascii="楷体_GB2312" w:hAnsi="Arial" w:eastAsia="楷体_GB2312" w:cs="楷体_GB2312"/>
          <w:b/>
          <w:color w:val="000000" w:themeColor="text1"/>
          <w14:textFill>
            <w14:solidFill>
              <w14:schemeClr w14:val="tx1"/>
            </w14:solidFill>
          </w14:textFill>
        </w:rPr>
        <w:t>/本单位</w:t>
      </w:r>
      <w:r>
        <w:rPr>
          <w:rFonts w:hint="eastAsia" w:ascii="楷体_GB2312" w:eastAsia="楷体_GB2312"/>
          <w:b/>
          <w:color w:val="000000" w:themeColor="text1"/>
          <w14:textFill>
            <w14:solidFill>
              <w14:schemeClr w14:val="tx1"/>
            </w14:solidFill>
          </w14:textFill>
        </w:rPr>
        <w:t>确认，将向本理财产品销售机构真实提供信息，自主作出认（申</w:t>
      </w:r>
      <w:r>
        <w:rPr>
          <w:rFonts w:ascii="楷体_GB2312" w:eastAsia="楷体_GB2312"/>
          <w:b/>
          <w:color w:val="000000" w:themeColor="text1"/>
          <w14:textFill>
            <w14:solidFill>
              <w14:schemeClr w14:val="tx1"/>
            </w14:solidFill>
          </w14:textFill>
        </w:rPr>
        <w:t>）</w:t>
      </w:r>
      <w:r>
        <w:rPr>
          <w:rFonts w:hint="eastAsia" w:ascii="楷体_GB2312" w:eastAsia="楷体_GB2312"/>
          <w:b/>
          <w:color w:val="000000" w:themeColor="text1"/>
          <w14:textFill>
            <w14:solidFill>
              <w14:schemeClr w14:val="tx1"/>
            </w14:solidFill>
          </w14:textFill>
        </w:rPr>
        <w:t>购/赎回等决定，独立对销售文件进行签字</w:t>
      </w:r>
      <w:r>
        <w:rPr>
          <w:rFonts w:ascii="楷体_GB2312" w:eastAsia="楷体_GB2312"/>
          <w:b/>
          <w:color w:val="000000" w:themeColor="text1"/>
          <w14:textFill>
            <w14:solidFill>
              <w14:schemeClr w14:val="tx1"/>
            </w14:solidFill>
          </w14:textFill>
        </w:rPr>
        <w:t>/盖章确认，自主承担投资风险。本人</w:t>
      </w:r>
      <w:r>
        <w:rPr>
          <w:rFonts w:hint="eastAsia" w:ascii="楷体_GB2312" w:eastAsia="楷体_GB2312"/>
          <w:b/>
          <w:color w:val="000000" w:themeColor="text1"/>
          <w14:textFill>
            <w14:solidFill>
              <w14:schemeClr w14:val="tx1"/>
            </w14:solidFill>
          </w14:textFill>
        </w:rPr>
        <w:t>/本单位</w:t>
      </w:r>
      <w:r>
        <w:rPr>
          <w:rFonts w:ascii="楷体_GB2312" w:eastAsia="楷体_GB2312"/>
          <w:b/>
          <w:color w:val="000000" w:themeColor="text1"/>
          <w14:textFill>
            <w14:solidFill>
              <w14:schemeClr w14:val="tx1"/>
            </w14:solidFill>
          </w14:textFill>
        </w:rPr>
        <w:t>拒绝向销售机构提供或者未按照要求提供信息的，销售机构有权告知本人</w:t>
      </w:r>
      <w:r>
        <w:rPr>
          <w:rFonts w:hint="eastAsia" w:ascii="楷体_GB2312" w:eastAsia="楷体_GB2312"/>
          <w:b/>
          <w:color w:val="000000" w:themeColor="text1"/>
          <w14:textFill>
            <w14:solidFill>
              <w14:schemeClr w14:val="tx1"/>
            </w14:solidFill>
          </w14:textFill>
        </w:rPr>
        <w:t>/本单位</w:t>
      </w:r>
      <w:r>
        <w:rPr>
          <w:rFonts w:ascii="楷体_GB2312" w:eastAsia="楷体_GB2312"/>
          <w:b/>
          <w:color w:val="000000" w:themeColor="text1"/>
          <w14:textFill>
            <w14:solidFill>
              <w14:schemeClr w14:val="tx1"/>
            </w14:solidFill>
          </w14:textFill>
        </w:rPr>
        <w:t>相应的后果和责任，并有权拒绝向本人</w:t>
      </w:r>
      <w:r>
        <w:rPr>
          <w:rFonts w:hint="eastAsia" w:ascii="楷体_GB2312" w:eastAsia="楷体_GB2312"/>
          <w:b/>
          <w:color w:val="000000" w:themeColor="text1"/>
          <w14:textFill>
            <w14:solidFill>
              <w14:schemeClr w14:val="tx1"/>
            </w14:solidFill>
          </w14:textFill>
        </w:rPr>
        <w:t>/本单位</w:t>
      </w:r>
      <w:r>
        <w:rPr>
          <w:rFonts w:ascii="楷体_GB2312" w:eastAsia="楷体_GB2312"/>
          <w:b/>
          <w:color w:val="000000" w:themeColor="text1"/>
          <w14:textFill>
            <w14:solidFill>
              <w14:schemeClr w14:val="tx1"/>
            </w14:solidFill>
          </w14:textFill>
        </w:rPr>
        <w:t>提供销售服务。</w:t>
      </w:r>
    </w:p>
    <w:p w14:paraId="3CC2391B">
      <w:pPr>
        <w:pStyle w:val="19"/>
        <w:ind w:firstLine="480" w:firstLineChars="0"/>
        <w:jc w:val="both"/>
        <w:rPr>
          <w:rFonts w:ascii="楷体_GB2312" w:eastAsia="楷体_GB2312"/>
          <w:color w:val="000000" w:themeColor="text1"/>
          <w14:textFill>
            <w14:solidFill>
              <w14:schemeClr w14:val="tx1"/>
            </w14:solidFill>
          </w14:textFill>
        </w:rPr>
      </w:pPr>
      <w:r>
        <w:rPr>
          <w:rFonts w:hint="eastAsia" w:ascii="楷体_GB2312" w:eastAsia="楷体_GB2312"/>
          <w:color w:val="000000" w:themeColor="text1"/>
          <w14:textFill>
            <w14:solidFill>
              <w14:schemeClr w14:val="tx1"/>
            </w14:solidFill>
          </w14:textFill>
        </w:rPr>
        <w:t>本人</w:t>
      </w:r>
      <w:r>
        <w:rPr>
          <w:rFonts w:hint="eastAsia" w:ascii="楷体_GB2312" w:hAnsi="Arial" w:eastAsia="楷体_GB2312" w:cs="楷体_GB2312"/>
          <w:color w:val="000000" w:themeColor="text1"/>
          <w14:textFill>
            <w14:solidFill>
              <w14:schemeClr w14:val="tx1"/>
            </w14:solidFill>
          </w14:textFill>
        </w:rPr>
        <w:t>/本单位</w:t>
      </w:r>
      <w:r>
        <w:rPr>
          <w:rFonts w:hint="eastAsia" w:ascii="楷体_GB2312" w:eastAsia="楷体_GB2312"/>
          <w:color w:val="000000" w:themeColor="text1"/>
          <w14:textFill>
            <w14:solidFill>
              <w14:schemeClr w14:val="tx1"/>
            </w14:solidFill>
          </w14:textFill>
        </w:rPr>
        <w:t>确认</w:t>
      </w:r>
      <w:r>
        <w:rPr>
          <w:rFonts w:ascii="楷体_GB2312" w:eastAsia="楷体_GB2312"/>
          <w:color w:val="000000" w:themeColor="text1"/>
          <w14:textFill>
            <w14:solidFill>
              <w14:schemeClr w14:val="tx1"/>
            </w14:solidFill>
          </w14:textFill>
        </w:rPr>
        <w:t>，</w:t>
      </w:r>
      <w:r>
        <w:rPr>
          <w:rFonts w:hint="eastAsia" w:ascii="楷体_GB2312" w:eastAsia="楷体_GB2312"/>
          <w:color w:val="000000" w:themeColor="text1"/>
          <w14:textFill>
            <w14:solidFill>
              <w14:schemeClr w14:val="tx1"/>
            </w14:solidFill>
          </w14:textFill>
        </w:rPr>
        <w:t>投资</w:t>
      </w:r>
      <w:r>
        <w:rPr>
          <w:rFonts w:ascii="楷体_GB2312" w:eastAsia="楷体_GB2312"/>
          <w:color w:val="000000" w:themeColor="text1"/>
          <w14:textFill>
            <w14:solidFill>
              <w14:schemeClr w14:val="tx1"/>
            </w14:solidFill>
          </w14:textFill>
        </w:rPr>
        <w:t>本理财产品的</w:t>
      </w:r>
      <w:r>
        <w:rPr>
          <w:rFonts w:hint="eastAsia" w:ascii="楷体_GB2312" w:eastAsia="楷体_GB2312"/>
          <w:color w:val="000000" w:themeColor="text1"/>
          <w14:textFill>
            <w14:solidFill>
              <w14:schemeClr w14:val="tx1"/>
            </w14:solidFill>
          </w14:textFill>
        </w:rPr>
        <w:t>资金非贷款</w:t>
      </w:r>
      <w:r>
        <w:rPr>
          <w:rFonts w:ascii="楷体_GB2312" w:eastAsia="楷体_GB2312"/>
          <w:color w:val="000000" w:themeColor="text1"/>
          <w14:textFill>
            <w14:solidFill>
              <w14:schemeClr w14:val="tx1"/>
            </w14:solidFill>
          </w14:textFill>
        </w:rPr>
        <w:t>、发行债券等募集的非自有资金。</w:t>
      </w:r>
    </w:p>
    <w:p w14:paraId="659EA3D0">
      <w:pPr>
        <w:ind w:firstLine="480" w:firstLineChars="200"/>
        <w:jc w:val="both"/>
        <w:rPr>
          <w:rFonts w:ascii="楷体_GB2312" w:hAnsi="Arial" w:eastAsia="楷体_GB2312" w:cs="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本人/本单位确认已阅知客户权益须知，完全清楚理财产品购买流程、风险评估、产品评级含义、信息披露方式及渠道、信银理财及代销机构联系方式及投诉程序等内容。</w:t>
      </w:r>
    </w:p>
    <w:p w14:paraId="47CBC674">
      <w:pPr>
        <w:ind w:firstLine="480" w:firstLineChars="200"/>
        <w:jc w:val="both"/>
        <w:rPr>
          <w:rFonts w:ascii="楷体_GB2312" w:hAnsi="Arial" w:eastAsia="楷体_GB2312" w:cs="楷体_GB2312"/>
          <w:color w:val="000000" w:themeColor="text1"/>
          <w14:textFill>
            <w14:solidFill>
              <w14:schemeClr w14:val="tx1"/>
            </w14:solidFill>
          </w14:textFill>
        </w:rPr>
      </w:pPr>
    </w:p>
    <w:p w14:paraId="3E331428">
      <w:pPr>
        <w:ind w:firstLine="480" w:firstLineChars="200"/>
        <w:jc w:val="both"/>
        <w:rPr>
          <w:rFonts w:ascii="楷体_GB2312" w:hAnsi="Arial" w:eastAsia="楷体_GB2312" w:cs="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本人/本单位确认如下：</w:t>
      </w:r>
      <w:r>
        <w:rPr>
          <w:rFonts w:ascii="楷体_GB2312" w:hAnsi="Arial" w:eastAsia="楷体_GB2312" w:cs="楷体_GB2312"/>
          <w:color w:val="000000" w:themeColor="text1"/>
          <w14:textFill>
            <w14:solidFill>
              <w14:schemeClr w14:val="tx1"/>
            </w14:solidFill>
          </w14:textFill>
        </w:rPr>
        <w:t xml:space="preserve"> </w:t>
      </w:r>
    </w:p>
    <w:p w14:paraId="0A4F1761">
      <w:pPr>
        <w:ind w:firstLine="480" w:firstLineChars="200"/>
        <w:jc w:val="both"/>
        <w:rPr>
          <w:rFonts w:ascii="楷体_GB2312" w:hAnsi="Arial" w:eastAsia="楷体_GB2312" w:cs="楷体_GB2312"/>
          <w:color w:val="000000" w:themeColor="text1"/>
          <w14:textFill>
            <w14:solidFill>
              <w14:schemeClr w14:val="tx1"/>
            </w14:solidFill>
          </w14:textFill>
        </w:rPr>
      </w:pPr>
    </w:p>
    <w:p w14:paraId="73D57221">
      <w:pPr>
        <w:ind w:firstLine="482" w:firstLineChars="200"/>
        <w:jc w:val="both"/>
        <w:rPr>
          <w:rFonts w:ascii="楷体_GB2312" w:hAnsi="Arial" w:eastAsia="楷体_GB2312" w:cs="楷体_GB2312"/>
          <w:b/>
          <w:bCs/>
          <w:color w:val="000000" w:themeColor="text1"/>
          <w14:textFill>
            <w14:solidFill>
              <w14:schemeClr w14:val="tx1"/>
            </w14:solidFill>
          </w14:textFill>
        </w:rPr>
      </w:pPr>
      <w:r>
        <w:rPr>
          <w:rFonts w:hint="eastAsia" w:ascii="楷体_GB2312" w:hAnsi="Arial" w:eastAsia="楷体_GB2312" w:cs="楷体_GB2312"/>
          <w:b/>
          <w:bCs/>
          <w:color w:val="000000" w:themeColor="text1"/>
          <w14:textFill>
            <w14:solidFill>
              <w14:schemeClr w14:val="tx1"/>
            </w14:solidFill>
          </w14:textFill>
        </w:rPr>
        <w:t>本理财产品可能委托信银理财的关联方【中信银行股份有限公司、中信百信银行股份有限公司】销售，【中信银行股份有限公司】系信银理财的【唯一股东】，【中信百信银行股份有限公司】系中信银行股份有限公司控股子公司，与信银</w:t>
      </w:r>
      <w:r>
        <w:rPr>
          <w:rFonts w:ascii="楷体_GB2312" w:hAnsi="Arial" w:eastAsia="楷体_GB2312" w:cs="楷体_GB2312"/>
          <w:b/>
          <w:bCs/>
          <w:color w:val="000000" w:themeColor="text1"/>
          <w14:textFill>
            <w14:solidFill>
              <w14:schemeClr w14:val="tx1"/>
            </w14:solidFill>
          </w14:textFill>
        </w:rPr>
        <w:t>理财</w:t>
      </w:r>
      <w:r>
        <w:rPr>
          <w:rFonts w:hint="eastAsia" w:ascii="楷体_GB2312" w:hAnsi="Arial" w:eastAsia="楷体_GB2312" w:cs="楷体_GB2312"/>
          <w:b/>
          <w:bCs/>
          <w:color w:val="000000" w:themeColor="text1"/>
          <w14:textFill>
            <w14:solidFill>
              <w14:schemeClr w14:val="tx1"/>
            </w14:solidFill>
          </w14:textFill>
        </w:rPr>
        <w:t>具有关联关系。信银理财委托【中信银行股份有限公司、中信百信银行股份有限公司】销售本理财产品的，存在关联交易风险，请投资者仔细阅读</w:t>
      </w:r>
      <w:r>
        <w:rPr>
          <w:rFonts w:hint="eastAsia" w:ascii="楷体_GB2312" w:hAnsi="Arial" w:eastAsia="楷体_GB2312" w:cs="楷体_GB2312"/>
          <w:b/>
          <w:color w:val="000000" w:themeColor="text1"/>
          <w14:textFill>
            <w14:solidFill>
              <w14:schemeClr w14:val="tx1"/>
            </w14:solidFill>
          </w14:textFill>
        </w:rPr>
        <w:t>理财产品说明书中相应风险揭示部分</w:t>
      </w:r>
      <w:r>
        <w:rPr>
          <w:rFonts w:hint="eastAsia" w:ascii="楷体_GB2312" w:hAnsi="Arial" w:eastAsia="楷体_GB2312" w:cs="楷体_GB2312"/>
          <w:b/>
          <w:bCs/>
          <w:color w:val="000000" w:themeColor="text1"/>
          <w14:textFill>
            <w14:solidFill>
              <w14:schemeClr w14:val="tx1"/>
            </w14:solidFill>
          </w14:textFill>
        </w:rPr>
        <w:t>。</w:t>
      </w:r>
    </w:p>
    <w:p w14:paraId="3B4BAC78">
      <w:pPr>
        <w:ind w:firstLine="482" w:firstLineChars="200"/>
        <w:jc w:val="both"/>
        <w:rPr>
          <w:rFonts w:ascii="楷体_GB2312" w:hAnsi="Arial" w:eastAsia="楷体_GB2312" w:cs="楷体_GB2312"/>
          <w:b/>
          <w:bCs/>
          <w:color w:val="000000" w:themeColor="text1"/>
          <w14:textFill>
            <w14:solidFill>
              <w14:schemeClr w14:val="tx1"/>
            </w14:solidFill>
          </w14:textFill>
        </w:rPr>
      </w:pPr>
      <w:r>
        <w:rPr>
          <w:rFonts w:hint="eastAsia" w:ascii="楷体_GB2312" w:hAnsi="Arial" w:eastAsia="楷体_GB2312" w:cs="楷体_GB2312"/>
          <w:b/>
          <w:bCs/>
          <w:color w:val="000000" w:themeColor="text1"/>
          <w14:textFill>
            <w14:solidFill>
              <w14:schemeClr w14:val="tx1"/>
            </w14:solidFill>
          </w14:textFill>
        </w:rPr>
        <w:t>本人/本单位确认，已知悉上述关联交易，愿意承担相应投资风险。</w:t>
      </w:r>
    </w:p>
    <w:p w14:paraId="5C57F3D6">
      <w:pPr>
        <w:ind w:firstLine="480" w:firstLineChars="200"/>
        <w:jc w:val="both"/>
        <w:rPr>
          <w:color w:val="000000" w:themeColor="text1"/>
          <w14:textFill>
            <w14:solidFill>
              <w14:schemeClr w14:val="tx1"/>
            </w14:solidFill>
          </w14:textFill>
        </w:rPr>
      </w:pPr>
    </w:p>
    <w:p w14:paraId="25324694">
      <w:pPr>
        <w:ind w:firstLine="480" w:firstLineChars="200"/>
        <w:jc w:val="both"/>
        <w:rPr>
          <w:rFonts w:ascii="楷体_GB2312" w:eastAsia="楷体_GB2312"/>
          <w:color w:val="000000" w:themeColor="text1"/>
          <w14:textFill>
            <w14:solidFill>
              <w14:schemeClr w14:val="tx1"/>
            </w14:solidFill>
          </w14:textFill>
        </w:rPr>
      </w:pPr>
      <w:r>
        <w:rPr>
          <w:rFonts w:hint="eastAsia" w:ascii="楷体_GB2312" w:hAnsi="Arial" w:eastAsia="楷体_GB2312" w:cs="楷体_GB2312"/>
          <w:color w:val="000000" w:themeColor="text1"/>
          <w14:textFill>
            <w14:solidFill>
              <w14:schemeClr w14:val="tx1"/>
            </w14:solidFill>
          </w14:textFill>
        </w:rPr>
        <w:t>本人/本单位风险承受能力评级为（由个人客户本人</w:t>
      </w:r>
      <w:r>
        <w:rPr>
          <w:rFonts w:ascii="楷体_GB2312" w:hAnsi="Arial" w:eastAsia="楷体_GB2312" w:cs="楷体_GB2312"/>
          <w:color w:val="000000" w:themeColor="text1"/>
          <w14:textFill>
            <w14:solidFill>
              <w14:schemeClr w14:val="tx1"/>
            </w14:solidFill>
          </w14:textFill>
        </w:rPr>
        <w:t>/机构客户</w:t>
      </w:r>
      <w:r>
        <w:rPr>
          <w:rFonts w:hint="eastAsia" w:ascii="楷体_GB2312" w:hAnsi="Arial" w:eastAsia="楷体_GB2312" w:cs="楷体_GB2312"/>
          <w:color w:val="000000" w:themeColor="text1"/>
          <w14:textFill>
            <w14:solidFill>
              <w14:schemeClr w14:val="tx1"/>
            </w14:solidFill>
          </w14:textFill>
        </w:rPr>
        <w:t>授权</w:t>
      </w:r>
      <w:r>
        <w:rPr>
          <w:rFonts w:ascii="楷体_GB2312" w:hAnsi="Arial" w:eastAsia="楷体_GB2312" w:cs="楷体_GB2312"/>
          <w:color w:val="000000" w:themeColor="text1"/>
          <w14:textFill>
            <w14:solidFill>
              <w14:schemeClr w14:val="tx1"/>
            </w14:solidFill>
          </w14:textFill>
        </w:rPr>
        <w:t>经办人</w:t>
      </w:r>
      <w:r>
        <w:rPr>
          <w:rFonts w:hint="eastAsia" w:ascii="楷体_GB2312" w:hAnsi="Arial" w:eastAsia="楷体_GB2312" w:cs="楷体_GB2312"/>
          <w:color w:val="000000" w:themeColor="text1"/>
          <w14:textFill>
            <w14:solidFill>
              <w14:schemeClr w14:val="tx1"/>
            </w14:solidFill>
          </w14:textFill>
        </w:rPr>
        <w:t>填写）：</w:t>
      </w:r>
      <w:r>
        <w:rPr>
          <w:rFonts w:ascii="楷体_GB2312" w:hAnsi="Arial" w:eastAsia="楷体_GB2312"/>
          <w:color w:val="000000" w:themeColor="text1"/>
          <w14:textFill>
            <w14:solidFill>
              <w14:schemeClr w14:val="tx1"/>
            </w14:solidFill>
          </w14:textFill>
        </w:rPr>
        <w:t> </w:t>
      </w:r>
      <w:r>
        <w:rPr>
          <w:rFonts w:ascii="Arial" w:hAnsi="Arial" w:cs="Arial"/>
          <w:color w:val="000000" w:themeColor="text1"/>
          <w:sz w:val="18"/>
          <w:szCs w:val="18"/>
          <w14:textFill>
            <w14:solidFill>
              <w14:schemeClr w14:val="tx1"/>
            </w14:solidFill>
          </w14:textFill>
        </w:rPr>
        <w:t> </w:t>
      </w:r>
    </w:p>
    <w:p w14:paraId="67AE39A5">
      <w:pPr>
        <w:snapToGrid w:val="0"/>
        <w:jc w:val="both"/>
        <w:rPr>
          <w:rFonts w:ascii="楷体_GB2312" w:eastAsia="楷体_GB2312"/>
          <w:color w:val="000000" w:themeColor="text1"/>
          <w14:textFill>
            <w14:solidFill>
              <w14:schemeClr w14:val="tx1"/>
            </w14:solidFill>
          </w14:textFill>
        </w:rPr>
      </w:pPr>
      <w:r>
        <w:rPr>
          <w:rFonts w:hint="eastAsia" w:ascii="楷体_GB2312" w:eastAsia="楷体_GB2312" w:cs="楷体_GB2312"/>
          <w:color w:val="000000" w:themeColor="text1"/>
          <w14:textFill>
            <w14:solidFill>
              <w14:schemeClr w14:val="tx1"/>
            </w14:solidFill>
          </w14:textFill>
        </w:rPr>
        <w:t>（</w:t>
      </w:r>
      <w:r>
        <w:rPr>
          <w:rFonts w:hint="eastAsia" w:ascii="楷体_GB2312" w:hAnsi="Arial" w:eastAsia="楷体_GB2312" w:cs="楷体_GB2312"/>
          <w:color w:val="000000" w:themeColor="text1"/>
          <w14:textFill>
            <w14:solidFill>
              <w14:schemeClr w14:val="tx1"/>
            </w14:solidFill>
          </w14:textFill>
        </w:rPr>
        <w:t>个人客户本人/机构客户授权经办人需全文抄录以下文字以完成确认</w:t>
      </w:r>
      <w:r>
        <w:rPr>
          <w:rFonts w:hint="eastAsia" w:ascii="楷体_GB2312" w:eastAsia="楷体_GB2312" w:cs="楷体_GB2312"/>
          <w:color w:val="000000" w:themeColor="text1"/>
          <w14:textFill>
            <w14:solidFill>
              <w14:schemeClr w14:val="tx1"/>
            </w14:solidFill>
          </w14:textFill>
        </w:rPr>
        <w:t>：</w:t>
      </w:r>
      <w:r>
        <w:rPr>
          <w:rFonts w:hint="eastAsia" w:ascii="楷体_GB2312" w:eastAsia="楷体_GB2312" w:cs="楷体_GB2312"/>
          <w:b/>
          <w:bCs/>
          <w:color w:val="000000" w:themeColor="text1"/>
          <w14:textFill>
            <w14:solidFill>
              <w14:schemeClr w14:val="tx1"/>
            </w14:solidFill>
          </w14:textFill>
        </w:rPr>
        <w:t>本人</w:t>
      </w:r>
      <w:r>
        <w:rPr>
          <w:rFonts w:ascii="楷体_GB2312" w:hAnsi="Arial" w:eastAsia="楷体_GB2312" w:cs="楷体_GB2312"/>
          <w:b/>
          <w:bCs/>
          <w:color w:val="000000" w:themeColor="text1"/>
          <w14:textFill>
            <w14:solidFill>
              <w14:schemeClr w14:val="tx1"/>
            </w14:solidFill>
          </w14:textFill>
        </w:rPr>
        <w:t>/本单位</w:t>
      </w:r>
      <w:r>
        <w:rPr>
          <w:rFonts w:hint="eastAsia" w:ascii="楷体_GB2312" w:eastAsia="楷体_GB2312" w:cs="楷体_GB2312"/>
          <w:b/>
          <w:bCs/>
          <w:color w:val="000000" w:themeColor="text1"/>
          <w14:textFill>
            <w14:solidFill>
              <w14:schemeClr w14:val="tx1"/>
            </w14:solidFill>
          </w14:textFill>
        </w:rPr>
        <w:t>已经阅读风险揭示，愿意承担投资风险</w:t>
      </w:r>
      <w:r>
        <w:rPr>
          <w:rFonts w:hint="eastAsia" w:ascii="楷体_GB2312" w:eastAsia="楷体_GB2312" w:cs="楷体_GB2312"/>
          <w:color w:val="000000" w:themeColor="text1"/>
          <w14:textFill>
            <w14:solidFill>
              <w14:schemeClr w14:val="tx1"/>
            </w14:solidFill>
          </w14:textFill>
        </w:rPr>
        <w:t>。）</w:t>
      </w:r>
      <w:r>
        <w:rPr>
          <w:rFonts w:ascii="楷体_GB2312" w:eastAsia="楷体_GB2312" w:cs="楷体_GB2312"/>
          <w:color w:val="000000" w:themeColor="text1"/>
          <w14:textFill>
            <w14:solidFill>
              <w14:schemeClr w14:val="tx1"/>
            </w14:solidFill>
          </w14:textFill>
        </w:rPr>
        <w:t xml:space="preserve"> </w:t>
      </w:r>
    </w:p>
    <w:p w14:paraId="2A496EBF">
      <w:pPr>
        <w:snapToGrid w:val="0"/>
        <w:rPr>
          <w:rFonts w:ascii="楷体_GB2312" w:eastAsia="楷体_GB2312"/>
          <w:color w:val="000000" w:themeColor="text1"/>
          <w14:textFill>
            <w14:solidFill>
              <w14:schemeClr w14:val="tx1"/>
            </w14:solidFill>
          </w14:textFill>
        </w:rPr>
      </w:pPr>
      <w:r>
        <w:rPr>
          <w:rFonts w:ascii="楷体_GB2312" w:eastAsia="楷体_GB2312"/>
          <w:color w:val="000000" w:themeColor="text1"/>
          <w:u w:val="single"/>
          <w14:textFill>
            <w14:solidFill>
              <w14:schemeClr w14:val="tx1"/>
            </w14:solidFill>
          </w14:textFill>
        </w:rPr>
        <w:t>                                 </w:t>
      </w:r>
    </w:p>
    <w:p w14:paraId="1A9D9D69">
      <w:pPr>
        <w:snapToGrid w:val="0"/>
        <w:ind w:right="440"/>
        <w:rPr>
          <w:rFonts w:ascii="楷体_GB2312" w:eastAsia="楷体_GB2312" w:cs="楷体_GB2312"/>
          <w:color w:val="000000" w:themeColor="text1"/>
          <w14:textFill>
            <w14:solidFill>
              <w14:schemeClr w14:val="tx1"/>
            </w14:solidFill>
          </w14:textFill>
        </w:rPr>
      </w:pPr>
      <w:r>
        <w:rPr>
          <w:rFonts w:hint="eastAsia" w:ascii="黑体" w:hAnsi="Times New Roman" w:eastAsia="黑体" w:cs="Arial"/>
          <w:color w:val="000000" w:themeColor="text1"/>
          <w14:textFill>
            <w14:solidFill>
              <w14:schemeClr w14:val="tx1"/>
            </w14:solidFill>
          </w14:textFill>
        </w:rPr>
        <w:t>个人客户（签字）：                机构客户（盖章）：</w:t>
      </w:r>
    </w:p>
    <w:p w14:paraId="0DDD1961">
      <w:pPr>
        <w:snapToGrid w:val="0"/>
        <w:ind w:right="440"/>
        <w:rPr>
          <w:color w:val="000000" w:themeColor="text1"/>
          <w14:textFill>
            <w14:solidFill>
              <w14:schemeClr w14:val="tx1"/>
            </w14:solidFill>
          </w14:textFill>
        </w:rPr>
      </w:pPr>
      <w:r>
        <w:rPr>
          <w:rFonts w:hint="eastAsia" w:ascii="黑体" w:hAnsi="Times New Roman" w:eastAsia="黑体" w:cs="Arial"/>
          <w:color w:val="000000" w:themeColor="text1"/>
          <w14:textFill>
            <w14:solidFill>
              <w14:schemeClr w14:val="tx1"/>
            </w14:solidFill>
          </w14:textFill>
        </w:rPr>
        <w:t xml:space="preserve">                               法定代表人或负责人（签字或签章）：</w:t>
      </w:r>
    </w:p>
    <w:p w14:paraId="64798011">
      <w:pPr>
        <w:snapToGrid w:val="0"/>
        <w:ind w:right="440"/>
        <w:rPr>
          <w:color w:val="000000" w:themeColor="text1"/>
          <w14:textFill>
            <w14:solidFill>
              <w14:schemeClr w14:val="tx1"/>
            </w14:solidFill>
          </w14:textFill>
        </w:rPr>
      </w:pPr>
      <w:r>
        <w:rPr>
          <w:color w:val="000000" w:themeColor="text1"/>
          <w14:textFill>
            <w14:solidFill>
              <w14:schemeClr w14:val="tx1"/>
            </w14:solidFill>
          </w14:textFill>
        </w:rPr>
        <w:t> </w:t>
      </w:r>
    </w:p>
    <w:p w14:paraId="46D2DD31">
      <w:pPr>
        <w:snapToGrid w:val="0"/>
        <w:ind w:right="440"/>
        <w:rPr>
          <w:rFonts w:ascii="黑体" w:hAnsi="Times New Roman" w:eastAsia="黑体" w:cs="Arial"/>
          <w:color w:val="000000" w:themeColor="text1"/>
          <w14:textFill>
            <w14:solidFill>
              <w14:schemeClr w14:val="tx1"/>
            </w14:solidFill>
          </w14:textFill>
        </w:rPr>
      </w:pPr>
      <w:r>
        <w:rPr>
          <w:rFonts w:hint="eastAsia" w:ascii="黑体" w:hAnsi="Times New Roman" w:eastAsia="黑体" w:cs="Arial"/>
          <w:color w:val="000000" w:themeColor="text1"/>
          <w14:textFill>
            <w14:solidFill>
              <w14:schemeClr w14:val="tx1"/>
            </w14:solidFill>
          </w14:textFill>
        </w:rPr>
        <w:t>日期：年 月 日                    日期：年 月 日</w:t>
      </w:r>
    </w:p>
    <w:p w14:paraId="3ED073ED">
      <w:pPr>
        <w:snapToGrid w:val="0"/>
        <w:ind w:right="440"/>
      </w:pPr>
    </w:p>
    <w:p w14:paraId="1829EB5F">
      <w:pPr>
        <w:snapToGrid w:val="0"/>
        <w:ind w:right="440"/>
        <w:rPr>
          <w:rFonts w:ascii="黑体" w:hAnsi="Times New Roman" w:eastAsia="黑体" w:cs="Arial"/>
        </w:rPr>
      </w:pPr>
    </w:p>
    <w:p w14:paraId="1ABCCF7C">
      <w:pPr>
        <w:snapToGrid w:val="0"/>
        <w:ind w:right="440"/>
        <w:rPr>
          <w:rFonts w:ascii="黑体" w:hAnsi="Times New Roman" w:eastAsia="黑体" w:cs="Arial"/>
        </w:rPr>
        <w:sectPr>
          <w:headerReference r:id="rId5" w:type="default"/>
          <w:footerReference r:id="rId6" w:type="default"/>
          <w:pgSz w:w="11906" w:h="16838"/>
          <w:pgMar w:top="1440" w:right="1797" w:bottom="1440" w:left="1797" w:header="851" w:footer="992" w:gutter="0"/>
          <w:pgNumType w:start="1"/>
          <w:cols w:space="720" w:num="1"/>
          <w:docGrid w:linePitch="326" w:charSpace="0"/>
        </w:sectPr>
      </w:pPr>
    </w:p>
    <w:p w14:paraId="6D24FE6B">
      <w:pPr>
        <w:spacing w:line="300" w:lineRule="exact"/>
        <w:jc w:val="both"/>
        <w:rPr>
          <w:color w:val="000000" w:themeColor="text1"/>
          <w14:textFill>
            <w14:solidFill>
              <w14:schemeClr w14:val="tx1"/>
            </w14:solidFill>
          </w14:textFill>
        </w:rPr>
      </w:pPr>
      <w:r>
        <w:rPr>
          <w:rFonts w:hint="eastAsia" w:ascii="黑体" w:eastAsia="黑体" w:cs="黑体"/>
          <w:b/>
          <w:bCs/>
          <w:color w:val="000000" w:themeColor="text1"/>
          <w14:textFill>
            <w14:solidFill>
              <w14:schemeClr w14:val="tx1"/>
            </w14:solidFill>
          </w14:textFill>
        </w:rPr>
        <w:t>理财产品登记编码:</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Z7002624002029】</w:t>
      </w:r>
    </w:p>
    <w:p w14:paraId="701AB1F8">
      <w:pPr>
        <w:spacing w:line="300" w:lineRule="exact"/>
        <w:jc w:val="both"/>
        <w:rPr>
          <w:rFonts w:ascii="黑体" w:hAnsi="黑体" w:eastAsia="黑体"/>
          <w:color w:val="000000" w:themeColor="text1"/>
          <w:sz w:val="21"/>
          <w:szCs w:val="21"/>
          <w14:textFill>
            <w14:solidFill>
              <w14:schemeClr w14:val="tx1"/>
            </w14:solidFill>
          </w14:textFill>
        </w:rPr>
      </w:pPr>
      <w:r>
        <w:rPr>
          <w:rFonts w:hint="eastAsia" w:ascii="黑体" w:hAnsi="黑体" w:eastAsia="黑体"/>
          <w:color w:val="000000" w:themeColor="text1"/>
          <w:sz w:val="21"/>
          <w:szCs w:val="21"/>
          <w14:textFill>
            <w14:solidFill>
              <w14:schemeClr w14:val="tx1"/>
            </w14:solidFill>
          </w14:textFill>
        </w:rPr>
        <w:t>理财产品</w:t>
      </w:r>
      <w:r>
        <w:rPr>
          <w:rFonts w:ascii="黑体" w:hAnsi="黑体" w:eastAsia="黑体"/>
          <w:color w:val="000000" w:themeColor="text1"/>
          <w:sz w:val="21"/>
          <w:szCs w:val="21"/>
          <w14:textFill>
            <w14:solidFill>
              <w14:schemeClr w14:val="tx1"/>
            </w14:solidFill>
          </w14:textFill>
        </w:rPr>
        <w:t>登记编码为本产品在</w:t>
      </w:r>
      <w:r>
        <w:rPr>
          <w:rFonts w:hint="eastAsia" w:ascii="黑体" w:hAnsi="黑体" w:eastAsia="黑体"/>
          <w:color w:val="000000" w:themeColor="text1"/>
          <w:sz w:val="21"/>
          <w:szCs w:val="21"/>
          <w14:textFill>
            <w14:solidFill>
              <w14:schemeClr w14:val="tx1"/>
            </w14:solidFill>
          </w14:textFill>
        </w:rPr>
        <w:t>全国银行业理财信息登记系统</w:t>
      </w:r>
      <w:r>
        <w:rPr>
          <w:rFonts w:ascii="黑体" w:hAnsi="黑体" w:eastAsia="黑体"/>
          <w:color w:val="000000" w:themeColor="text1"/>
          <w:sz w:val="21"/>
          <w:szCs w:val="21"/>
          <w14:textFill>
            <w14:solidFill>
              <w14:schemeClr w14:val="tx1"/>
            </w14:solidFill>
          </w14:textFill>
        </w:rPr>
        <w:t>取得的理财产品登记编码，</w:t>
      </w:r>
      <w:r>
        <w:rPr>
          <w:rFonts w:hint="eastAsia" w:ascii="黑体" w:hAnsi="黑体" w:eastAsia="黑体"/>
          <w:color w:val="000000" w:themeColor="text1"/>
          <w:sz w:val="21"/>
          <w:szCs w:val="21"/>
          <w14:textFill>
            <w14:solidFill>
              <w14:schemeClr w14:val="tx1"/>
            </w14:solidFill>
          </w14:textFill>
        </w:rPr>
        <w:t>投资者</w:t>
      </w:r>
      <w:r>
        <w:rPr>
          <w:rFonts w:ascii="黑体" w:hAnsi="黑体" w:eastAsia="黑体"/>
          <w:color w:val="000000" w:themeColor="text1"/>
          <w:sz w:val="21"/>
          <w:szCs w:val="21"/>
          <w14:textFill>
            <w14:solidFill>
              <w14:schemeClr w14:val="tx1"/>
            </w14:solidFill>
          </w14:textFill>
        </w:rPr>
        <w:t>可以</w:t>
      </w:r>
      <w:r>
        <w:rPr>
          <w:rFonts w:hint="eastAsia" w:ascii="黑体" w:hAnsi="黑体" w:eastAsia="黑体"/>
          <w:color w:val="000000" w:themeColor="text1"/>
          <w:sz w:val="21"/>
          <w:szCs w:val="21"/>
          <w14:textFill>
            <w14:solidFill>
              <w14:schemeClr w14:val="tx1"/>
            </w14:solidFill>
          </w14:textFill>
        </w:rPr>
        <w:t>依据</w:t>
      </w:r>
      <w:r>
        <w:rPr>
          <w:rFonts w:ascii="黑体" w:hAnsi="黑体" w:eastAsia="黑体"/>
          <w:color w:val="000000" w:themeColor="text1"/>
          <w:sz w:val="21"/>
          <w:szCs w:val="21"/>
          <w14:textFill>
            <w14:solidFill>
              <w14:schemeClr w14:val="tx1"/>
            </w14:solidFill>
          </w14:textFill>
        </w:rPr>
        <w:t>该理财产品登记编码在</w:t>
      </w:r>
      <w:r>
        <w:rPr>
          <w:rFonts w:hint="eastAsia" w:ascii="黑体" w:hAnsi="黑体" w:eastAsia="黑体"/>
          <w:color w:val="000000" w:themeColor="text1"/>
          <w:sz w:val="21"/>
          <w:szCs w:val="21"/>
          <w14:textFill>
            <w14:solidFill>
              <w14:schemeClr w14:val="tx1"/>
            </w14:solidFill>
          </w14:textFill>
        </w:rPr>
        <w:t>金融产品查询平台（</w:t>
      </w:r>
      <w:r>
        <w:rPr>
          <w:rFonts w:ascii="黑体" w:hAnsi="黑体" w:eastAsia="黑体"/>
          <w:color w:val="000000" w:themeColor="text1"/>
          <w:sz w:val="21"/>
          <w:szCs w:val="21"/>
          <w14:textFill>
            <w14:solidFill>
              <w14:schemeClr w14:val="tx1"/>
            </w14:solidFill>
          </w14:textFill>
        </w:rPr>
        <w:t>www.jrcpcx.cn）或中国理财网（</w:t>
      </w:r>
      <w:r>
        <w:rPr>
          <w:rFonts w:hint="eastAsia" w:ascii="黑体" w:hAnsi="黑体" w:eastAsia="黑体"/>
          <w:color w:val="000000" w:themeColor="text1"/>
          <w:sz w:val="21"/>
          <w:szCs w:val="21"/>
          <w14:textFill>
            <w14:solidFill>
              <w14:schemeClr w14:val="tx1"/>
            </w14:solidFill>
          </w14:textFill>
        </w:rPr>
        <w:t>www.chinawealth.com.cn</w:t>
      </w:r>
      <w:r>
        <w:rPr>
          <w:rFonts w:ascii="黑体" w:hAnsi="黑体" w:eastAsia="黑体"/>
          <w:color w:val="000000" w:themeColor="text1"/>
          <w:sz w:val="21"/>
          <w:szCs w:val="21"/>
          <w14:textFill>
            <w14:solidFill>
              <w14:schemeClr w14:val="tx1"/>
            </w14:solidFill>
          </w14:textFill>
        </w:rPr>
        <w:t>）</w:t>
      </w:r>
      <w:r>
        <w:rPr>
          <w:rFonts w:hint="eastAsia" w:ascii="黑体" w:hAnsi="黑体" w:eastAsia="黑体"/>
          <w:color w:val="000000" w:themeColor="text1"/>
          <w:sz w:val="21"/>
          <w:szCs w:val="21"/>
          <w14:textFill>
            <w14:solidFill>
              <w14:schemeClr w14:val="tx1"/>
            </w14:solidFill>
          </w14:textFill>
        </w:rPr>
        <w:t>上查询</w:t>
      </w:r>
      <w:r>
        <w:rPr>
          <w:rFonts w:ascii="黑体" w:hAnsi="黑体" w:eastAsia="黑体"/>
          <w:color w:val="000000" w:themeColor="text1"/>
          <w:sz w:val="21"/>
          <w:szCs w:val="21"/>
          <w14:textFill>
            <w14:solidFill>
              <w14:schemeClr w14:val="tx1"/>
            </w14:solidFill>
          </w14:textFill>
        </w:rPr>
        <w:t>本产品相关信息。</w:t>
      </w:r>
    </w:p>
    <w:p w14:paraId="30C74B71">
      <w:pPr>
        <w:spacing w:line="300" w:lineRule="exact"/>
        <w:jc w:val="both"/>
        <w:rPr>
          <w:rFonts w:ascii="黑体" w:hAnsi="黑体" w:eastAsia="黑体"/>
          <w:color w:val="000000" w:themeColor="text1"/>
          <w:sz w:val="21"/>
          <w:szCs w:val="21"/>
          <w14:textFill>
            <w14:solidFill>
              <w14:schemeClr w14:val="tx1"/>
            </w14:solidFill>
          </w14:textFill>
        </w:rPr>
      </w:pPr>
    </w:p>
    <w:p w14:paraId="2B9EF2EC">
      <w:pPr>
        <w:spacing w:line="300" w:lineRule="exact"/>
        <w:jc w:val="both"/>
        <w:rPr>
          <w:b/>
          <w:color w:val="000000" w:themeColor="text1"/>
          <w:sz w:val="28"/>
          <w:szCs w:val="28"/>
          <w14:textFill>
            <w14:solidFill>
              <w14:schemeClr w14:val="tx1"/>
            </w14:solidFill>
          </w14:textFill>
        </w:rPr>
      </w:pPr>
      <w:r>
        <w:rPr>
          <w:rFonts w:ascii="黑体" w:hAnsi="黑体" w:eastAsia="黑体"/>
          <w:b/>
          <w:color w:val="000000" w:themeColor="text1"/>
          <w:sz w:val="28"/>
          <w:szCs w:val="28"/>
          <w14:textFill>
            <w14:solidFill>
              <w14:schemeClr w14:val="tx1"/>
            </w14:solidFill>
          </w14:textFill>
        </w:rPr>
        <w:t>郑重</w:t>
      </w:r>
      <w:r>
        <w:rPr>
          <w:rFonts w:hint="eastAsia" w:ascii="黑体" w:hAnsi="黑体" w:eastAsia="黑体"/>
          <w:b/>
          <w:color w:val="000000" w:themeColor="text1"/>
          <w:sz w:val="28"/>
          <w:szCs w:val="28"/>
          <w14:textFill>
            <w14:solidFill>
              <w14:schemeClr w14:val="tx1"/>
            </w14:solidFill>
          </w14:textFill>
        </w:rPr>
        <w:t>提示：理财产品登记编码是全国银行业理财信息登记系统赋予所有银行（及银行理财子公司）理财产品的标识码，每个登记编码具有唯一性，是您判断理财产品是否合法合规、是否真实可靠的重要依据。如您购买的理财产品未公示登记编码，或通过其公示的登记编码无法在金融产品查询平台（</w:t>
      </w:r>
      <w:r>
        <w:rPr>
          <w:rFonts w:ascii="黑体" w:hAnsi="黑体" w:eastAsia="黑体"/>
          <w:b/>
          <w:color w:val="000000" w:themeColor="text1"/>
          <w:sz w:val="28"/>
          <w:szCs w:val="28"/>
          <w14:textFill>
            <w14:solidFill>
              <w14:schemeClr w14:val="tx1"/>
            </w14:solidFill>
          </w14:textFill>
        </w:rPr>
        <w:t>www.jrcpcx.cn）或</w:t>
      </w:r>
      <w:r>
        <w:rPr>
          <w:rFonts w:hint="eastAsia" w:ascii="黑体" w:hAnsi="黑体" w:eastAsia="黑体"/>
          <w:b/>
          <w:color w:val="000000" w:themeColor="text1"/>
          <w:sz w:val="28"/>
          <w:szCs w:val="28"/>
          <w14:textFill>
            <w14:solidFill>
              <w14:schemeClr w14:val="tx1"/>
            </w14:solidFill>
          </w14:textFill>
        </w:rPr>
        <w:t>中国理财网（</w:t>
      </w:r>
      <w:r>
        <w:rPr>
          <w:rFonts w:ascii="黑体" w:hAnsi="黑体" w:eastAsia="黑体"/>
          <w:b/>
          <w:color w:val="000000" w:themeColor="text1"/>
          <w:sz w:val="28"/>
          <w:szCs w:val="28"/>
          <w14:textFill>
            <w14:solidFill>
              <w14:schemeClr w14:val="tx1"/>
            </w14:solidFill>
          </w14:textFill>
        </w:rPr>
        <w:t>www.chinawealth.com.cn）上查询到产品相关信息，</w:t>
      </w:r>
      <w:r>
        <w:rPr>
          <w:rFonts w:hint="eastAsia" w:ascii="黑体" w:hAnsi="黑体" w:eastAsia="黑体"/>
          <w:b/>
          <w:color w:val="000000" w:themeColor="text1"/>
          <w:sz w:val="28"/>
          <w:szCs w:val="28"/>
          <w14:textFill>
            <w14:solidFill>
              <w14:schemeClr w14:val="tx1"/>
            </w14:solidFill>
          </w14:textFill>
        </w:rPr>
        <w:t>则该</w:t>
      </w:r>
      <w:r>
        <w:rPr>
          <w:rFonts w:ascii="黑体" w:hAnsi="黑体" w:eastAsia="黑体"/>
          <w:b/>
          <w:color w:val="000000" w:themeColor="text1"/>
          <w:sz w:val="28"/>
          <w:szCs w:val="28"/>
          <w14:textFill>
            <w14:solidFill>
              <w14:schemeClr w14:val="tx1"/>
            </w14:solidFill>
          </w14:textFill>
        </w:rPr>
        <w:t>产品非</w:t>
      </w:r>
      <w:r>
        <w:rPr>
          <w:rFonts w:hint="eastAsia" w:ascii="黑体" w:hAnsi="黑体" w:eastAsia="黑体"/>
          <w:b/>
          <w:color w:val="000000" w:themeColor="text1"/>
          <w:sz w:val="28"/>
          <w:szCs w:val="28"/>
          <w14:textFill>
            <w14:solidFill>
              <w14:schemeClr w14:val="tx1"/>
            </w14:solidFill>
          </w14:textFill>
        </w:rPr>
        <w:t>信银</w:t>
      </w:r>
      <w:r>
        <w:rPr>
          <w:rFonts w:ascii="黑体" w:hAnsi="黑体" w:eastAsia="黑体"/>
          <w:b/>
          <w:color w:val="000000" w:themeColor="text1"/>
          <w:sz w:val="28"/>
          <w:szCs w:val="28"/>
          <w14:textFill>
            <w14:solidFill>
              <w14:schemeClr w14:val="tx1"/>
            </w14:solidFill>
          </w14:textFill>
        </w:rPr>
        <w:t>理财发行产品。</w:t>
      </w:r>
    </w:p>
    <w:p w14:paraId="33DDDD18">
      <w:pPr>
        <w:spacing w:line="300" w:lineRule="exact"/>
        <w:ind w:right="-792" w:rightChars="-330"/>
        <w:rPr>
          <w:color w:val="000000" w:themeColor="text1"/>
          <w14:textFill>
            <w14:solidFill>
              <w14:schemeClr w14:val="tx1"/>
            </w14:solidFill>
          </w14:textFill>
        </w:rPr>
      </w:pPr>
    </w:p>
    <w:p w14:paraId="3CF2E906">
      <w:pPr>
        <w:spacing w:line="300" w:lineRule="exact"/>
        <w:ind w:right="-792" w:rightChars="-330"/>
        <w:rPr>
          <w:rFonts w:ascii="楷体" w:hAnsi="楷体" w:eastAsia="楷体" w:cs="黑体"/>
          <w:b/>
          <w:bCs/>
          <w:color w:val="000000" w:themeColor="text1"/>
          <w:sz w:val="21"/>
          <w:szCs w:val="21"/>
          <w14:textFill>
            <w14:solidFill>
              <w14:schemeClr w14:val="tx1"/>
            </w14:solidFill>
          </w14:textFill>
        </w:rPr>
      </w:pPr>
    </w:p>
    <w:p w14:paraId="0A0F9160">
      <w:pPr>
        <w:spacing w:line="300" w:lineRule="exact"/>
        <w:ind w:right="-792" w:rightChars="-330"/>
        <w:jc w:val="center"/>
        <w:rPr>
          <w:rFonts w:ascii="黑体" w:eastAsia="黑体" w:cs="黑体"/>
          <w:b/>
          <w:bCs/>
          <w:color w:val="000000" w:themeColor="text1"/>
          <w14:textFill>
            <w14:solidFill>
              <w14:schemeClr w14:val="tx1"/>
            </w14:solidFill>
          </w14:textFill>
        </w:rPr>
      </w:pPr>
      <w:r>
        <w:rPr>
          <w:rFonts w:hint="eastAsia" w:ascii="黑体" w:eastAsia="黑体" w:cs="黑体"/>
          <w:b/>
          <w:bCs/>
          <w:color w:val="000000" w:themeColor="text1"/>
          <w14:textFill>
            <w14:solidFill>
              <w14:schemeClr w14:val="tx1"/>
            </w14:solidFill>
          </w14:textFill>
        </w:rPr>
        <w:t>信银理财理财产品说明书</w:t>
      </w:r>
    </w:p>
    <w:p w14:paraId="4422B305">
      <w:pPr>
        <w:widowControl w:val="0"/>
        <w:spacing w:line="300" w:lineRule="exact"/>
        <w:ind w:right="-792" w:rightChars="-330"/>
        <w:jc w:val="center"/>
        <w:rPr>
          <w:rFonts w:ascii="黑体" w:hAnsi="Times New Roman" w:eastAsia="黑体" w:cs="黑体"/>
          <w:b/>
          <w:bCs/>
          <w:color w:val="000000" w:themeColor="text1"/>
          <w:sz w:val="20"/>
          <w:szCs w:val="20"/>
          <w14:textFill>
            <w14:solidFill>
              <w14:schemeClr w14:val="tx1"/>
            </w14:solidFill>
          </w14:textFill>
        </w:rPr>
      </w:pPr>
      <w:r>
        <w:rPr>
          <w:rFonts w:hint="eastAsia" w:ascii="黑体" w:hAnsi="Times New Roman" w:eastAsia="黑体" w:cs="黑体"/>
          <w:b/>
          <w:bCs/>
          <w:color w:val="000000" w:themeColor="text1"/>
          <w:sz w:val="20"/>
          <w:szCs w:val="20"/>
          <w14:textFill>
            <w14:solidFill>
              <w14:schemeClr w14:val="tx1"/>
            </w14:solidFill>
          </w14:textFill>
        </w:rPr>
        <w:t>（</w:t>
      </w:r>
      <w:r>
        <w:rPr>
          <w:rFonts w:hint="eastAsia" w:ascii="黑体" w:hAnsi="Calibri" w:eastAsia="黑体" w:cs="黑体"/>
          <w:b/>
          <w:bCs/>
          <w:color w:val="000000" w:themeColor="text1"/>
          <w:sz w:val="20"/>
          <w:szCs w:val="20"/>
          <w14:textFill>
            <w14:solidFill>
              <w14:schemeClr w14:val="tx1"/>
            </w14:solidFill>
          </w14:textFill>
        </w:rPr>
        <w:t>产品</w:t>
      </w:r>
      <w:r>
        <w:rPr>
          <w:rFonts w:hint="eastAsia" w:ascii="黑体" w:hAnsi="Times New Roman" w:eastAsia="黑体" w:cs="黑体"/>
          <w:b/>
          <w:bCs/>
          <w:color w:val="000000" w:themeColor="text1"/>
          <w:sz w:val="20"/>
          <w:szCs w:val="20"/>
          <w14:textFill>
            <w14:solidFill>
              <w14:schemeClr w14:val="tx1"/>
            </w14:solidFill>
          </w14:textFill>
        </w:rPr>
        <w:t>名称：</w:t>
      </w:r>
      <w:r>
        <w:rPr>
          <w:rFonts w:hint="eastAsia" w:ascii="黑体" w:hAnsi="Calibri" w:eastAsia="黑体" w:cs="黑体"/>
          <w:b/>
          <w:bCs/>
          <w:color w:val="000000" w:themeColor="text1"/>
          <w:sz w:val="20"/>
          <w:szCs w:val="20"/>
          <w14:textFill>
            <w14:solidFill>
              <w14:schemeClr w14:val="tx1"/>
            </w14:solidFill>
          </w14:textFill>
        </w:rPr>
        <w:t>【</w:t>
      </w:r>
      <w:r>
        <w:rPr>
          <w:rFonts w:ascii="黑体" w:hAnsi="Calibri" w:eastAsia="黑体" w:cs="黑体"/>
          <w:b/>
          <w:bCs/>
          <w:color w:val="000000" w:themeColor="text1"/>
          <w:sz w:val="20"/>
          <w:szCs w:val="20"/>
          <w14:textFill>
            <w14:solidFill>
              <w14:schemeClr w14:val="tx1"/>
            </w14:solidFill>
          </w14:textFill>
        </w:rPr>
        <w:t>信银理财安盈象固收稳利三个月持有期27号理财产品</w:t>
      </w:r>
      <w:r>
        <w:rPr>
          <w:rFonts w:hint="eastAsia" w:ascii="黑体" w:hAnsi="Calibri" w:eastAsia="黑体" w:cs="黑体"/>
          <w:b/>
          <w:bCs/>
          <w:color w:val="000000" w:themeColor="text1"/>
          <w:sz w:val="20"/>
          <w:szCs w:val="20"/>
          <w14:textFill>
            <w14:solidFill>
              <w14:schemeClr w14:val="tx1"/>
            </w14:solidFill>
          </w14:textFill>
        </w:rPr>
        <w:t>】</w:t>
      </w:r>
      <w:r>
        <w:rPr>
          <w:rFonts w:ascii="黑体" w:hAnsi="Times New Roman" w:eastAsia="黑体" w:cs="黑体"/>
          <w:b/>
          <w:bCs/>
          <w:color w:val="000000" w:themeColor="text1"/>
          <w:sz w:val="20"/>
          <w:szCs w:val="20"/>
          <w14:textFill>
            <w14:solidFill>
              <w14:schemeClr w14:val="tx1"/>
            </w14:solidFill>
          </w14:textFill>
        </w:rPr>
        <w:t xml:space="preserve">  </w:t>
      </w:r>
    </w:p>
    <w:p w14:paraId="54AB2CE9">
      <w:pPr>
        <w:widowControl w:val="0"/>
        <w:spacing w:line="300" w:lineRule="exact"/>
        <w:ind w:right="-792" w:rightChars="-330"/>
        <w:jc w:val="center"/>
        <w:rPr>
          <w:rFonts w:ascii="黑体" w:hAnsi="Times New Roman" w:eastAsia="黑体" w:cs="黑体"/>
          <w:b/>
          <w:bCs/>
          <w:color w:val="000000" w:themeColor="text1"/>
          <w:sz w:val="20"/>
          <w:szCs w:val="20"/>
          <w14:textFill>
            <w14:solidFill>
              <w14:schemeClr w14:val="tx1"/>
            </w14:solidFill>
          </w14:textFill>
        </w:rPr>
      </w:pPr>
      <w:r>
        <w:rPr>
          <w:rFonts w:hint="eastAsia" w:ascii="黑体" w:hAnsi="Times New Roman" w:eastAsia="黑体" w:cs="黑体"/>
          <w:b/>
          <w:bCs/>
          <w:color w:val="000000" w:themeColor="text1"/>
          <w:sz w:val="20"/>
          <w:szCs w:val="20"/>
          <w14:textFill>
            <w14:solidFill>
              <w14:schemeClr w14:val="tx1"/>
            </w14:solidFill>
          </w14:textFill>
        </w:rPr>
        <w:t>产品代码</w:t>
      </w:r>
      <w:r>
        <w:rPr>
          <w:rFonts w:ascii="黑体" w:hAnsi="Times New Roman" w:eastAsia="黑体" w:cs="黑体"/>
          <w:b/>
          <w:bCs/>
          <w:color w:val="000000" w:themeColor="text1"/>
          <w:sz w:val="20"/>
          <w:szCs w:val="20"/>
          <w14:textFill>
            <w14:solidFill>
              <w14:schemeClr w14:val="tx1"/>
            </w14:solidFill>
          </w14:textFill>
        </w:rPr>
        <w:t>：【AF247784】</w:t>
      </w:r>
      <w:r>
        <w:rPr>
          <w:rFonts w:hint="eastAsia" w:ascii="黑体" w:hAnsi="Times New Roman" w:eastAsia="黑体" w:cs="黑体"/>
          <w:b/>
          <w:bCs/>
          <w:color w:val="000000" w:themeColor="text1"/>
          <w:sz w:val="20"/>
          <w:szCs w:val="20"/>
          <w14:textFill>
            <w14:solidFill>
              <w14:schemeClr w14:val="tx1"/>
            </w14:solidFill>
          </w14:textFill>
        </w:rPr>
        <w:t>）</w:t>
      </w:r>
    </w:p>
    <w:p w14:paraId="2969538B">
      <w:pPr>
        <w:spacing w:line="300" w:lineRule="exact"/>
        <w:ind w:right="-792" w:rightChars="-330"/>
        <w:rPr>
          <w:color w:val="000000" w:themeColor="text1"/>
          <w14:textFill>
            <w14:solidFill>
              <w14:schemeClr w14:val="tx1"/>
            </w14:solidFill>
          </w14:textFill>
        </w:rPr>
      </w:pPr>
      <w:r>
        <w:rPr>
          <w:rFonts w:ascii="黑体" w:hAnsi="Times New Roman" w:eastAsia="黑体"/>
          <w:b/>
          <w:bCs/>
          <w:color w:val="000000" w:themeColor="text1"/>
          <w:sz w:val="20"/>
          <w:szCs w:val="20"/>
          <w14:textFill>
            <w14:solidFill>
              <w14:schemeClr w14:val="tx1"/>
            </w14:solidFill>
          </w14:textFill>
        </w:rPr>
        <w:t> </w:t>
      </w:r>
    </w:p>
    <w:p w14:paraId="3182EB1C">
      <w:pPr>
        <w:spacing w:line="300" w:lineRule="exact"/>
        <w:ind w:right="-792" w:rightChars="-330"/>
        <w:rPr>
          <w:color w:val="000000" w:themeColor="text1"/>
          <w14:textFill>
            <w14:solidFill>
              <w14:schemeClr w14:val="tx1"/>
            </w14:solidFill>
          </w14:textFill>
        </w:rPr>
      </w:pPr>
      <w:r>
        <w:rPr>
          <w:rFonts w:hint="eastAsia" w:ascii="黑体" w:hAnsi="Times New Roman" w:eastAsia="黑体" w:cs="黑体"/>
          <w:b/>
          <w:bCs/>
          <w:color w:val="000000" w:themeColor="text1"/>
          <w:sz w:val="20"/>
          <w:szCs w:val="20"/>
          <w14:textFill>
            <w14:solidFill>
              <w14:schemeClr w14:val="tx1"/>
            </w14:solidFill>
          </w14:textFill>
        </w:rPr>
        <w:t>重要须知</w:t>
      </w:r>
      <w:r>
        <w:rPr>
          <w:rFonts w:hint="eastAsia" w:ascii="黑体" w:hAnsi="Times New Roman" w:eastAsia="黑体" w:cs="黑体"/>
          <w:color w:val="000000" w:themeColor="text1"/>
          <w:sz w:val="20"/>
          <w:szCs w:val="20"/>
          <w14:textFill>
            <w14:solidFill>
              <w14:schemeClr w14:val="tx1"/>
            </w14:solidFill>
          </w14:textFill>
        </w:rPr>
        <w:t>：</w:t>
      </w:r>
    </w:p>
    <w:p w14:paraId="28FBCAAD">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ascii="黑体" w:hAnsi="Times New Roman" w:eastAsia="黑体" w:cs="黑体"/>
          <w:b/>
          <w:color w:val="000000" w:themeColor="text1"/>
          <w:sz w:val="20"/>
          <w:szCs w:val="20"/>
          <w14:textFill>
            <w14:solidFill>
              <w14:schemeClr w14:val="tx1"/>
            </w14:solidFill>
          </w14:textFill>
        </w:rPr>
        <w:t>1</w:t>
      </w:r>
      <w:r>
        <w:rPr>
          <w:rFonts w:hint="eastAsia" w:ascii="黑体" w:hAnsi="Times New Roman" w:eastAsia="黑体" w:cs="黑体"/>
          <w:b/>
          <w:color w:val="000000" w:themeColor="text1"/>
          <w:sz w:val="20"/>
          <w:szCs w:val="20"/>
          <w14:textFill>
            <w14:solidFill>
              <w14:schemeClr w14:val="tx1"/>
            </w14:solidFill>
          </w14:textFill>
        </w:rPr>
        <w:t>．本产品最短持有期为【</w:t>
      </w:r>
      <w:r>
        <w:rPr>
          <w:rFonts w:ascii="黑体" w:hAnsi="Times New Roman" w:eastAsia="黑体" w:cs="黑体"/>
          <w:b/>
          <w:color w:val="000000" w:themeColor="text1"/>
          <w:sz w:val="20"/>
          <w:szCs w:val="20"/>
          <w14:textFill>
            <w14:solidFill>
              <w14:schemeClr w14:val="tx1"/>
            </w14:solidFill>
          </w14:textFill>
        </w:rPr>
        <w:t>90</w:t>
      </w:r>
      <w:r>
        <w:rPr>
          <w:rFonts w:hint="eastAsia" w:ascii="黑体" w:hAnsi="Times New Roman" w:eastAsia="黑体" w:cs="黑体"/>
          <w:b/>
          <w:color w:val="000000" w:themeColor="text1"/>
          <w:sz w:val="20"/>
          <w:szCs w:val="20"/>
          <w14:textFill>
            <w14:solidFill>
              <w14:schemeClr w14:val="tx1"/>
            </w14:solidFill>
          </w14:textFill>
        </w:rPr>
        <w:t>】自然日。</w:t>
      </w:r>
    </w:p>
    <w:p w14:paraId="2955F5C1">
      <w:pPr>
        <w:snapToGrid w:val="0"/>
        <w:ind w:firstLine="400" w:firstLineChars="200"/>
        <w:jc w:val="both"/>
        <w:rPr>
          <w:color w:val="000000" w:themeColor="text1"/>
          <w14:textFill>
            <w14:solidFill>
              <w14:schemeClr w14:val="tx1"/>
            </w14:solidFill>
          </w14:textFill>
        </w:rPr>
      </w:pPr>
      <w:r>
        <w:rPr>
          <w:rFonts w:ascii="黑体" w:hAnsi="Times New Roman" w:eastAsia="黑体" w:cs="黑体"/>
          <w:color w:val="000000" w:themeColor="text1"/>
          <w:sz w:val="20"/>
          <w:szCs w:val="20"/>
          <w14:textFill>
            <w14:solidFill>
              <w14:schemeClr w14:val="tx1"/>
            </w14:solidFill>
          </w14:textFill>
        </w:rPr>
        <w:t>2</w:t>
      </w:r>
      <w:r>
        <w:rPr>
          <w:rFonts w:hint="eastAsia" w:ascii="黑体" w:hAnsi="Times New Roman" w:eastAsia="黑体" w:cs="黑体"/>
          <w:color w:val="000000" w:themeColor="text1"/>
          <w:sz w:val="20"/>
          <w:szCs w:val="20"/>
          <w14:textFill>
            <w14:solidFill>
              <w14:schemeClr w14:val="tx1"/>
            </w14:solidFill>
          </w14:textFill>
        </w:rPr>
        <w:t>．本理财产品的《信银理财理财产品说明书》、《信银理财理财产品风险揭示书》、《信银理财理财产品投资协议书》与《信银理财理财产品销售总协议》（含附件：客户权益须知专页）（或合作销售机构向投资者提供的理财产品销售协议文本）等文件及其不时有效修订与补充共同构成理财产品销售文件。</w:t>
      </w:r>
    </w:p>
    <w:p w14:paraId="251DA361">
      <w:pPr>
        <w:snapToGrid w:val="0"/>
        <w:ind w:firstLine="400" w:firstLineChars="200"/>
        <w:jc w:val="both"/>
        <w:rPr>
          <w:color w:val="000000" w:themeColor="text1"/>
          <w14:textFill>
            <w14:solidFill>
              <w14:schemeClr w14:val="tx1"/>
            </w14:solidFill>
          </w14:textFill>
        </w:rPr>
      </w:pPr>
      <w:r>
        <w:rPr>
          <w:rFonts w:ascii="黑体" w:hAnsi="Times New Roman" w:eastAsia="黑体" w:cs="黑体"/>
          <w:color w:val="000000" w:themeColor="text1"/>
          <w:sz w:val="20"/>
          <w:szCs w:val="20"/>
          <w14:textFill>
            <w14:solidFill>
              <w14:schemeClr w14:val="tx1"/>
            </w14:solidFill>
          </w14:textFill>
        </w:rPr>
        <w:t>3</w:t>
      </w:r>
      <w:r>
        <w:rPr>
          <w:rFonts w:hint="eastAsia" w:ascii="黑体" w:hAnsi="Times New Roman" w:eastAsia="黑体" w:cs="黑体"/>
          <w:color w:val="000000" w:themeColor="text1"/>
          <w:sz w:val="20"/>
          <w:szCs w:val="20"/>
          <w14:textFill>
            <w14:solidFill>
              <w14:schemeClr w14:val="tx1"/>
            </w14:solidFill>
          </w14:textFill>
        </w:rPr>
        <w:t>．本理财产品不等同于银行存款。</w:t>
      </w:r>
    </w:p>
    <w:p w14:paraId="5D4B64F0">
      <w:pPr>
        <w:snapToGrid w:val="0"/>
        <w:ind w:firstLine="400" w:firstLineChars="200"/>
        <w:jc w:val="both"/>
        <w:rPr>
          <w:color w:val="000000" w:themeColor="text1"/>
          <w14:textFill>
            <w14:solidFill>
              <w14:schemeClr w14:val="tx1"/>
            </w14:solidFill>
          </w14:textFill>
        </w:rPr>
      </w:pPr>
      <w:r>
        <w:rPr>
          <w:rFonts w:ascii="黑体" w:hAnsi="Times New Roman" w:eastAsia="黑体" w:cs="黑体"/>
          <w:color w:val="000000" w:themeColor="text1"/>
          <w:sz w:val="20"/>
          <w:szCs w:val="20"/>
          <w14:textFill>
            <w14:solidFill>
              <w14:schemeClr w14:val="tx1"/>
            </w14:solidFill>
          </w14:textFill>
        </w:rPr>
        <w:t>4</w:t>
      </w:r>
      <w:r>
        <w:rPr>
          <w:rFonts w:hint="eastAsia" w:ascii="黑体" w:hAnsi="Times New Roman" w:eastAsia="黑体" w:cs="黑体"/>
          <w:color w:val="000000" w:themeColor="text1"/>
          <w:sz w:val="20"/>
          <w:szCs w:val="20"/>
          <w14:textFill>
            <w14:solidFill>
              <w14:schemeClr w14:val="tx1"/>
            </w14:solidFill>
          </w14:textFill>
        </w:rPr>
        <w:t>．在购买本理财产品前，请投资者确保完全明白本理财产品的性质、其中涉及的风险以及投资者的自身情况。投资者若对本产品说明书的内容有任何疑问，请向信银理财或</w:t>
      </w:r>
      <w:r>
        <w:rPr>
          <w:rFonts w:ascii="黑体" w:hAnsi="Times New Roman" w:eastAsia="黑体" w:cs="黑体"/>
          <w:color w:val="000000" w:themeColor="text1"/>
          <w:sz w:val="20"/>
          <w:szCs w:val="20"/>
          <w14:textFill>
            <w14:solidFill>
              <w14:schemeClr w14:val="tx1"/>
            </w14:solidFill>
          </w14:textFill>
        </w:rPr>
        <w:t>代销机构</w:t>
      </w:r>
      <w:r>
        <w:rPr>
          <w:rFonts w:hint="eastAsia" w:ascii="黑体" w:hAnsi="Times New Roman" w:eastAsia="黑体" w:cs="黑体"/>
          <w:color w:val="000000" w:themeColor="text1"/>
          <w:sz w:val="20"/>
          <w:szCs w:val="20"/>
          <w14:textFill>
            <w14:solidFill>
              <w14:schemeClr w14:val="tx1"/>
            </w14:solidFill>
          </w14:textFill>
        </w:rPr>
        <w:t>各营业场所或营业网点咨询。</w:t>
      </w:r>
    </w:p>
    <w:p w14:paraId="47EA8AA5">
      <w:pPr>
        <w:snapToGrid w:val="0"/>
        <w:ind w:firstLine="400" w:firstLineChars="200"/>
        <w:jc w:val="both"/>
        <w:rPr>
          <w:color w:val="000000" w:themeColor="text1"/>
          <w14:textFill>
            <w14:solidFill>
              <w14:schemeClr w14:val="tx1"/>
            </w14:solidFill>
          </w14:textFill>
        </w:rPr>
      </w:pPr>
      <w:r>
        <w:rPr>
          <w:rFonts w:ascii="黑体" w:hAnsi="Times New Roman" w:eastAsia="黑体" w:cs="黑体"/>
          <w:color w:val="000000" w:themeColor="text1"/>
          <w:sz w:val="20"/>
          <w:szCs w:val="20"/>
          <w14:textFill>
            <w14:solidFill>
              <w14:schemeClr w14:val="tx1"/>
            </w14:solidFill>
          </w14:textFill>
        </w:rPr>
        <w:t>5</w:t>
      </w:r>
      <w:r>
        <w:rPr>
          <w:rFonts w:hint="eastAsia" w:ascii="黑体" w:hAnsi="Times New Roman" w:eastAsia="黑体" w:cs="黑体"/>
          <w:color w:val="000000" w:themeColor="text1"/>
          <w:sz w:val="20"/>
          <w:szCs w:val="20"/>
          <w14:textFill>
            <w14:solidFill>
              <w14:schemeClr w14:val="tx1"/>
            </w14:solidFill>
          </w14:textFill>
        </w:rPr>
        <w:t>．除本产品说明书中明确规定的收益及收益分配方式外，任何预期收益、预计收益、测算收益或类似表述均属不具有法律约束力的用语，不代表投资者可能获得的实际收益，亦不构成信银理财对本理财产品的任何收益承诺。投资者所能获得的最终收益以信银理财实际支付的为准，且不超过按照本产品期末总净值计算得出的收益。</w:t>
      </w:r>
    </w:p>
    <w:p w14:paraId="555CDC23">
      <w:pPr>
        <w:snapToGrid w:val="0"/>
        <w:ind w:firstLine="402" w:firstLineChars="200"/>
        <w:jc w:val="both"/>
        <w:rPr>
          <w:b/>
          <w:color w:val="000000" w:themeColor="text1"/>
          <w14:textFill>
            <w14:solidFill>
              <w14:schemeClr w14:val="tx1"/>
            </w14:solidFill>
          </w14:textFill>
        </w:rPr>
      </w:pPr>
      <w:r>
        <w:rPr>
          <w:rFonts w:ascii="黑体" w:hAnsi="Times New Roman" w:eastAsia="黑体" w:cs="黑体"/>
          <w:b/>
          <w:color w:val="000000" w:themeColor="text1"/>
          <w:sz w:val="20"/>
          <w:szCs w:val="20"/>
          <w14:textFill>
            <w14:solidFill>
              <w14:schemeClr w14:val="tx1"/>
            </w14:solidFill>
          </w14:textFill>
        </w:rPr>
        <w:t>6</w:t>
      </w:r>
      <w:r>
        <w:rPr>
          <w:rFonts w:hint="eastAsia" w:ascii="黑体" w:hAnsi="Times New Roman" w:eastAsia="黑体" w:cs="黑体"/>
          <w:b/>
          <w:color w:val="000000" w:themeColor="text1"/>
          <w:sz w:val="20"/>
          <w:szCs w:val="20"/>
          <w14:textFill>
            <w14:solidFill>
              <w14:schemeClr w14:val="tx1"/>
            </w14:solidFill>
          </w14:textFill>
        </w:rPr>
        <w:t>．本理财产品不保障理财本金和收益，投资者所能获得的最终收益以理财产品最终清算的投资者可得收益为准。产品过往业绩不代表其未来表现，不构成新发理财产品业绩表现的保证。</w:t>
      </w:r>
    </w:p>
    <w:p w14:paraId="2F231DAA">
      <w:pPr>
        <w:snapToGrid w:val="0"/>
        <w:ind w:right="53" w:rightChars="22" w:firstLine="400" w:firstLineChars="200"/>
        <w:rPr>
          <w:color w:val="000000" w:themeColor="text1"/>
          <w14:textFill>
            <w14:solidFill>
              <w14:schemeClr w14:val="tx1"/>
            </w14:solidFill>
          </w14:textFill>
        </w:rPr>
      </w:pPr>
      <w:r>
        <w:rPr>
          <w:rFonts w:ascii="黑体" w:hAnsi="Times New Roman" w:eastAsia="黑体"/>
          <w:color w:val="000000" w:themeColor="text1"/>
          <w:sz w:val="20"/>
          <w:szCs w:val="20"/>
          <w14:textFill>
            <w14:solidFill>
              <w14:schemeClr w14:val="tx1"/>
            </w14:solidFill>
          </w14:textFill>
        </w:rPr>
        <w:t> </w:t>
      </w:r>
    </w:p>
    <w:p w14:paraId="1E413A69">
      <w:pPr>
        <w:snapToGrid w:val="0"/>
        <w:ind w:left="-2" w:leftChars="-1" w:right="53" w:rightChars="22"/>
        <w:rPr>
          <w:b/>
          <w:color w:val="000000" w:themeColor="text1"/>
          <w14:textFill>
            <w14:solidFill>
              <w14:schemeClr w14:val="tx1"/>
            </w14:solidFill>
          </w14:textFill>
        </w:rPr>
      </w:pPr>
      <w:r>
        <w:rPr>
          <w:rFonts w:hint="eastAsia" w:ascii="黑体" w:hAnsi="Times New Roman" w:eastAsia="黑体" w:cs="黑体"/>
          <w:b/>
          <w:bCs/>
          <w:color w:val="000000" w:themeColor="text1"/>
          <w:sz w:val="20"/>
          <w:szCs w:val="20"/>
          <w14:textFill>
            <w14:solidFill>
              <w14:schemeClr w14:val="tx1"/>
            </w14:solidFill>
          </w14:textFill>
        </w:rPr>
        <w:t>风险提示：</w:t>
      </w:r>
    </w:p>
    <w:p w14:paraId="43617898">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本产品不保证本金和收益，投资者的本金有可能蒙受损失，极端情况下，可能全部或部分受损。投资者应充分认识投资风险，谨慎投资。具体风险如下：</w:t>
      </w:r>
    </w:p>
    <w:p w14:paraId="250A4090">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1．信用风险：本产品收益来源于产品项下投资对象的回报。如果投资对象发生信用违约事件，在此情况下，本产品收益将根据基于其偿还比率测算出的投资资产价格予以确定，同时，本产品将保留向发生违约事件的发行主体或融资主体的追索权利，信银理财有权以产品管理人名义代表投资者利益行使诉讼权利或实施其他法律行为，若这些权利在未来得以实现，在扣除相关费用后，将继续向投资者进行清偿。</w:t>
      </w:r>
    </w:p>
    <w:p w14:paraId="21C2523C">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2．市场风险：由于金融市场存在波动性，投资者投资本产品将承担一定投资资产市值下跌的市场风险，包括但不限于投资债券面临的利率变化及债券价格波动带来的风险，投资股票面临的股票价格波动带来的风险，投资商品及金融衍生品面临的持仓风险等。产品投资涉及外币资产时，存在汇率波动带来的风险。</w:t>
      </w:r>
    </w:p>
    <w:p w14:paraId="148B78D0">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3．流动性风险：投资者不能随时提前终止本产品，在本产品存续期内的非开放日，投资者不得赎回，在开放日，可能因达到本说明书中约定的限制赎回情况，导致投资者在需要资金时无法随时变现，并可能导致投资者丧失其他投资机会。本产品投资资产的流动性风险情况为：【本产品主要投资于固定收益类资产，投资范围包括债券、债券回购、货币市场工具等，上述资产均存在规范的交易场所交易，监管主体明确，市场透明度高，运作方式规范，因此对产品整体的流动性风险影响较小。管理人将着重分析个券的信用风险和流动性风险，在保障组合安全性和流动性的前提下追求组合收益率的提高】。</w:t>
      </w:r>
    </w:p>
    <w:p w14:paraId="16CB6055">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为应对流动性风险，保护投资者利益，管理人可以综合运用以下理财产品流动性风险应对措施：（a）认购风险应对措施，包括：设定单一投资者认购金额上限、设定理财产品单日净认购比例上限、拒绝大额认购、暂停认购，以及国务院银行业监督管理机构规定的其他措施。（b）赎回风险应对措施，包括：设置赎回上限、延期办理巨额赎回申请、暂停接受赎回申请、延缓支付赎回款项、收取短期赎回费、暂停理财产品估值、摆动定价，以及国务院银行业监督管理机构规定的其他措施。</w:t>
      </w:r>
    </w:p>
    <w:p w14:paraId="655429E3">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4．提前终止风险：如发生提前终止条款约定情形，可能导致本产品提前终止。</w:t>
      </w:r>
      <w:r>
        <w:rPr>
          <w:rFonts w:hint="eastAsia" w:ascii="黑体" w:eastAsia="黑体"/>
          <w:b/>
          <w:color w:val="000000" w:themeColor="text1"/>
          <w:sz w:val="20"/>
          <w:szCs w:val="20"/>
          <w14:textFill>
            <w14:solidFill>
              <w14:schemeClr w14:val="tx1"/>
            </w14:solidFill>
          </w14:textFill>
        </w:rPr>
        <w:t>如本理财产品提前终止，则投资者实际理财投资期可能小于预定期限。</w:t>
      </w:r>
    </w:p>
    <w:p w14:paraId="6B13FFBD">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5．政策风险：本产品是根据当前的相关法律法规和国家政策设计的，如国家政策以及相关法律法规等发生变化，可能影响本产品的投资、兑付等环节的正常进行，从而可能对本产品造成重大影响，导致投资收益降低或无法取得任何收益，甚至导致投资本金部分或全部损失。</w:t>
      </w:r>
    </w:p>
    <w:p w14:paraId="6A56763C">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6．</w:t>
      </w:r>
      <w:r>
        <w:rPr>
          <w:rFonts w:hint="eastAsia" w:ascii="黑体" w:hAnsi="Times New Roman" w:eastAsia="黑体"/>
          <w:b/>
          <w:color w:val="000000" w:themeColor="text1"/>
          <w:sz w:val="20"/>
          <w:szCs w:val="20"/>
          <w14:textFill>
            <w14:solidFill>
              <w14:schemeClr w14:val="tx1"/>
            </w14:solidFill>
          </w14:textFill>
        </w:rPr>
        <w:t>信息传递风险：投资者应根据本产品说明书载明的信息披露方式及时查询相关信息。信银理财按照法律法规、监管规定要求及本产品说明书有关信息披露条款的约定，向投资者发布理财产品信息，投资者应根据信息披露条款的约定及时到本说明书约定的发布信息的渠道查询，以获知有关本理财产品相关信息。</w:t>
      </w:r>
      <w:r>
        <w:rPr>
          <w:rFonts w:hint="eastAsia" w:ascii="黑体" w:eastAsia="黑体"/>
          <w:b/>
          <w:color w:val="000000" w:themeColor="text1"/>
          <w:sz w:val="20"/>
          <w:szCs w:val="20"/>
          <w14:textFill>
            <w14:solidFill>
              <w14:schemeClr w14:val="tx1"/>
            </w14:solidFill>
          </w14:textFill>
        </w:rPr>
        <w:t>如果投资者未及时查询，或由于通讯故障、系统故障以及其他不可抗力等因素的影响使得投资者无法及时了解产品信息，因此而产生的责任和风险由投资者自行承担。另外，投资者预留在信银理财或</w:t>
      </w:r>
      <w:r>
        <w:rPr>
          <w:rFonts w:ascii="黑体" w:eastAsia="黑体"/>
          <w:b/>
          <w:color w:val="000000" w:themeColor="text1"/>
          <w:sz w:val="20"/>
          <w:szCs w:val="20"/>
          <w14:textFill>
            <w14:solidFill>
              <w14:schemeClr w14:val="tx1"/>
            </w14:solidFill>
          </w14:textFill>
        </w:rPr>
        <w:t>代销机构</w:t>
      </w:r>
      <w:r>
        <w:rPr>
          <w:rFonts w:hint="eastAsia" w:ascii="黑体" w:eastAsia="黑体"/>
          <w:b/>
          <w:color w:val="000000" w:themeColor="text1"/>
          <w:sz w:val="20"/>
          <w:szCs w:val="20"/>
          <w14:textFill>
            <w14:solidFill>
              <w14:schemeClr w14:val="tx1"/>
            </w14:solidFill>
          </w14:textFill>
        </w:rPr>
        <w:t>的有效联系方式变更的，应及时通知信银理财或</w:t>
      </w:r>
      <w:r>
        <w:rPr>
          <w:rFonts w:ascii="黑体" w:eastAsia="黑体"/>
          <w:b/>
          <w:color w:val="000000" w:themeColor="text1"/>
          <w:sz w:val="20"/>
          <w:szCs w:val="20"/>
          <w14:textFill>
            <w14:solidFill>
              <w14:schemeClr w14:val="tx1"/>
            </w14:solidFill>
          </w14:textFill>
        </w:rPr>
        <w:t>代销机构</w:t>
      </w:r>
      <w:r>
        <w:rPr>
          <w:rFonts w:hint="eastAsia" w:ascii="黑体" w:eastAsia="黑体"/>
          <w:b/>
          <w:color w:val="000000" w:themeColor="text1"/>
          <w:sz w:val="20"/>
          <w:szCs w:val="20"/>
          <w14:textFill>
            <w14:solidFill>
              <w14:schemeClr w14:val="tx1"/>
            </w14:solidFill>
          </w14:textFill>
        </w:rPr>
        <w:t>。如投资者未及时告知信银理财或</w:t>
      </w:r>
      <w:r>
        <w:rPr>
          <w:rFonts w:ascii="黑体" w:eastAsia="黑体"/>
          <w:b/>
          <w:color w:val="000000" w:themeColor="text1"/>
          <w:sz w:val="20"/>
          <w:szCs w:val="20"/>
          <w14:textFill>
            <w14:solidFill>
              <w14:schemeClr w14:val="tx1"/>
            </w14:solidFill>
          </w14:textFill>
        </w:rPr>
        <w:t>代销机构</w:t>
      </w:r>
      <w:r>
        <w:rPr>
          <w:rFonts w:hint="eastAsia" w:ascii="黑体" w:eastAsia="黑体"/>
          <w:b/>
          <w:color w:val="000000" w:themeColor="text1"/>
          <w:sz w:val="20"/>
          <w:szCs w:val="20"/>
          <w14:textFill>
            <w14:solidFill>
              <w14:schemeClr w14:val="tx1"/>
            </w14:solidFill>
          </w14:textFill>
        </w:rPr>
        <w:t>联系方式变更的，或因投资者其他原因导致信银理财或</w:t>
      </w:r>
      <w:r>
        <w:rPr>
          <w:rFonts w:ascii="黑体" w:eastAsia="黑体"/>
          <w:b/>
          <w:color w:val="000000" w:themeColor="text1"/>
          <w:sz w:val="20"/>
          <w:szCs w:val="20"/>
          <w14:textFill>
            <w14:solidFill>
              <w14:schemeClr w14:val="tx1"/>
            </w14:solidFill>
          </w14:textFill>
        </w:rPr>
        <w:t>代销机构</w:t>
      </w:r>
      <w:r>
        <w:rPr>
          <w:rFonts w:hint="eastAsia" w:ascii="黑体" w:eastAsia="黑体"/>
          <w:b/>
          <w:color w:val="000000" w:themeColor="text1"/>
          <w:sz w:val="20"/>
          <w:szCs w:val="20"/>
          <w14:textFill>
            <w14:solidFill>
              <w14:schemeClr w14:val="tx1"/>
            </w14:solidFill>
          </w14:textFill>
        </w:rPr>
        <w:t>在其需联系时无法及时联系上投资者，可能会由此影响投资者的投资决策，由此而产生的责任和风险由投资者自行承担。</w:t>
      </w:r>
    </w:p>
    <w:p w14:paraId="0D0BEF4F">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7．管理风险：由于产品管理人、所投资资管产品的受托人/管理人、投资顾问等受经验、技能等因素的限制，可能会影响本理财产品的管理，导致本产品项下的理财收益降低。</w:t>
      </w:r>
    </w:p>
    <w:p w14:paraId="450C7510">
      <w:pPr>
        <w:snapToGrid w:val="0"/>
        <w:ind w:firstLine="402" w:firstLineChars="200"/>
        <w:jc w:val="both"/>
        <w:rPr>
          <w:rFonts w:ascii="黑体" w:eastAsia="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8．延期清算风险：</w:t>
      </w:r>
      <w:r>
        <w:rPr>
          <w:rFonts w:hint="eastAsia" w:ascii="黑体" w:eastAsia="黑体"/>
          <w:b/>
          <w:color w:val="000000" w:themeColor="text1"/>
          <w:sz w:val="20"/>
          <w:szCs w:val="20"/>
          <w14:textFill>
            <w14:solidFill>
              <w14:schemeClr w14:val="tx1"/>
            </w14:solidFill>
          </w14:textFill>
        </w:rPr>
        <w:t>如在产品到期时本产品所投资资产市场流动性不足或受限导致未能正常买卖结算，或投资资产正常到期发行人或融资主体未能及时偿付本息，从而导致所投资工具不能全部变现，则本产品存在延期清算的风险。</w:t>
      </w:r>
    </w:p>
    <w:p w14:paraId="52342AE1">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ascii="黑体" w:eastAsia="黑体"/>
          <w:b/>
          <w:color w:val="000000" w:themeColor="text1"/>
          <w:sz w:val="20"/>
          <w:szCs w:val="20"/>
          <w14:textFill>
            <w14:solidFill>
              <w14:schemeClr w14:val="tx1"/>
            </w14:solidFill>
          </w14:textFill>
        </w:rPr>
        <w:t>9</w:t>
      </w:r>
      <w:r>
        <w:rPr>
          <w:rFonts w:hint="eastAsia" w:ascii="黑体" w:eastAsia="黑体"/>
          <w:b/>
          <w:color w:val="000000" w:themeColor="text1"/>
          <w:sz w:val="20"/>
          <w:szCs w:val="20"/>
          <w14:textFill>
            <w14:solidFill>
              <w14:schemeClr w14:val="tx1"/>
            </w14:solidFill>
          </w14:textFill>
        </w:rPr>
        <w:t>．</w:t>
      </w:r>
      <w:r>
        <w:rPr>
          <w:rFonts w:ascii="黑体" w:eastAsia="黑体"/>
          <w:b/>
          <w:color w:val="000000" w:themeColor="text1"/>
          <w:sz w:val="20"/>
          <w:szCs w:val="20"/>
          <w14:textFill>
            <w14:solidFill>
              <w14:schemeClr w14:val="tx1"/>
            </w14:solidFill>
          </w14:textFill>
        </w:rPr>
        <w:t>理财产品不成立风险：如发生理财产品不成立条款约定之情形，</w:t>
      </w:r>
      <w:r>
        <w:rPr>
          <w:rFonts w:hint="eastAsia" w:ascii="黑体" w:eastAsia="黑体"/>
          <w:b/>
          <w:color w:val="000000" w:themeColor="text1"/>
          <w:sz w:val="20"/>
          <w:szCs w:val="20"/>
          <w14:textFill>
            <w14:solidFill>
              <w14:schemeClr w14:val="tx1"/>
            </w14:solidFill>
          </w14:textFill>
        </w:rPr>
        <w:t>信银理财</w:t>
      </w:r>
      <w:r>
        <w:rPr>
          <w:rFonts w:ascii="黑体" w:eastAsia="黑体"/>
          <w:b/>
          <w:color w:val="000000" w:themeColor="text1"/>
          <w:sz w:val="20"/>
          <w:szCs w:val="20"/>
          <w14:textFill>
            <w14:solidFill>
              <w14:schemeClr w14:val="tx1"/>
            </w14:solidFill>
          </w14:textFill>
        </w:rPr>
        <w:t>有权通知</w:t>
      </w:r>
      <w:r>
        <w:rPr>
          <w:rFonts w:hint="eastAsia" w:ascii="黑体" w:eastAsia="黑体"/>
          <w:b/>
          <w:color w:val="000000" w:themeColor="text1"/>
          <w:sz w:val="20"/>
          <w:szCs w:val="20"/>
          <w14:textFill>
            <w14:solidFill>
              <w14:schemeClr w14:val="tx1"/>
            </w14:solidFill>
          </w14:textFill>
        </w:rPr>
        <w:t>（或</w:t>
      </w:r>
      <w:r>
        <w:rPr>
          <w:rFonts w:ascii="黑体" w:eastAsia="黑体"/>
          <w:b/>
          <w:color w:val="000000" w:themeColor="text1"/>
          <w:sz w:val="20"/>
          <w:szCs w:val="20"/>
          <w14:textFill>
            <w14:solidFill>
              <w14:schemeClr w14:val="tx1"/>
            </w14:solidFill>
          </w14:textFill>
        </w:rPr>
        <w:t>通过代销机构通知）投资者产品不成立。</w:t>
      </w:r>
    </w:p>
    <w:p w14:paraId="3908B912">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10．不可抗力及意外事件风险：由于自然灾害、战争等不可抗力因素的出现或系统故障、通讯故障、投资市场停止交易、金融市场危机等意外事件的出现，将严重影响金融市场的正常运行，从而导致本产品投资收益降低或损失，甚至影响本产品的成立、受理、投资、兑付、信息披露等的正常进行，进而影响本产品的资金安全。投资者将面临本金和收益遭受损失的风险。对于由不可抗力及意外事件风险导致的任何损失，投资者须自行承担，信银理财对此不承担任何责任，但因信银理财故意或重大过失造成的系统故障、通讯故障的除外。</w:t>
      </w:r>
    </w:p>
    <w:p w14:paraId="5A60FEB1">
      <w:pPr>
        <w:snapToGrid w:val="0"/>
        <w:ind w:firstLine="402" w:firstLineChars="200"/>
        <w:jc w:val="both"/>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 xml:space="preserve">11．理财本金全部损失风险：本产品不保证本金和收益，由于发生本产品风险提示的相应风险，包括但不限于市场价格波动导致本产品投资工具贬值，或者投资工具发生信用违约，或不可抗力风险导致相应损失，则有可能造成本产品投资资金部分或全部损失。  </w:t>
      </w:r>
    </w:p>
    <w:p w14:paraId="14E905D7">
      <w:pPr>
        <w:spacing w:line="300" w:lineRule="atLeast"/>
        <w:ind w:firstLine="402" w:firstLineChars="200"/>
        <w:jc w:val="both"/>
        <w:rPr>
          <w:rFonts w:ascii="黑体" w:hAnsi="黑体" w:eastAsia="黑体"/>
          <w:b/>
          <w:color w:val="000000" w:themeColor="text1"/>
          <w:sz w:val="20"/>
          <w:szCs w:val="20"/>
          <w14:textFill>
            <w14:solidFill>
              <w14:schemeClr w14:val="tx1"/>
            </w14:solidFill>
          </w14:textFill>
        </w:rPr>
      </w:pPr>
      <w:r>
        <w:rPr>
          <w:rFonts w:ascii="黑体" w:hAnsi="黑体" w:eastAsia="黑体"/>
          <w:b/>
          <w:color w:val="000000" w:themeColor="text1"/>
          <w:sz w:val="20"/>
          <w:szCs w:val="20"/>
          <w14:textFill>
            <w14:solidFill>
              <w14:schemeClr w14:val="tx1"/>
            </w14:solidFill>
          </w14:textFill>
        </w:rPr>
        <w:t>12</w:t>
      </w:r>
      <w:r>
        <w:rPr>
          <w:rFonts w:hint="eastAsia" w:ascii="黑体" w:hAnsi="黑体" w:eastAsia="黑体"/>
          <w:b/>
          <w:color w:val="000000" w:themeColor="text1"/>
          <w:sz w:val="20"/>
          <w:szCs w:val="20"/>
          <w14:textFill>
            <w14:solidFill>
              <w14:schemeClr w14:val="tx1"/>
            </w14:solidFill>
          </w14:textFill>
        </w:rPr>
        <w:t>．</w:t>
      </w:r>
      <w:r>
        <w:rPr>
          <w:rFonts w:ascii="黑体" w:hAnsi="黑体" w:eastAsia="黑体"/>
          <w:b/>
          <w:color w:val="000000" w:themeColor="text1"/>
          <w:sz w:val="20"/>
          <w:szCs w:val="20"/>
          <w14:textFill>
            <w14:solidFill>
              <w14:schemeClr w14:val="tx1"/>
            </w14:solidFill>
          </w14:textFill>
        </w:rPr>
        <w:t>合作销售机构</w:t>
      </w:r>
      <w:r>
        <w:rPr>
          <w:rFonts w:hint="eastAsia" w:ascii="黑体" w:hAnsi="黑体" w:eastAsia="黑体"/>
          <w:b/>
          <w:color w:val="000000" w:themeColor="text1"/>
          <w:sz w:val="20"/>
          <w:szCs w:val="20"/>
          <w14:textFill>
            <w14:solidFill>
              <w14:schemeClr w14:val="tx1"/>
            </w14:solidFill>
          </w14:textFill>
        </w:rPr>
        <w:t>（代销</w:t>
      </w:r>
      <w:r>
        <w:rPr>
          <w:rFonts w:ascii="黑体" w:hAnsi="黑体" w:eastAsia="黑体"/>
          <w:b/>
          <w:color w:val="000000" w:themeColor="text1"/>
          <w:sz w:val="20"/>
          <w:szCs w:val="20"/>
          <w14:textFill>
            <w14:solidFill>
              <w14:schemeClr w14:val="tx1"/>
            </w14:solidFill>
          </w14:textFill>
        </w:rPr>
        <w:t>机构）风险：投资者</w:t>
      </w:r>
      <w:r>
        <w:rPr>
          <w:rFonts w:hint="eastAsia" w:ascii="黑体" w:hAnsi="黑体" w:eastAsia="黑体"/>
          <w:b/>
          <w:color w:val="000000" w:themeColor="text1"/>
          <w:sz w:val="20"/>
          <w:szCs w:val="20"/>
          <w14:textFill>
            <w14:solidFill>
              <w14:schemeClr w14:val="tx1"/>
            </w14:solidFill>
          </w14:textFill>
        </w:rPr>
        <w:t>通过</w:t>
      </w:r>
      <w:r>
        <w:rPr>
          <w:rFonts w:ascii="黑体" w:hAnsi="黑体" w:eastAsia="黑体"/>
          <w:b/>
          <w:color w:val="000000" w:themeColor="text1"/>
          <w:sz w:val="20"/>
          <w:szCs w:val="20"/>
          <w14:textFill>
            <w14:solidFill>
              <w14:schemeClr w14:val="tx1"/>
            </w14:solidFill>
          </w14:textFill>
        </w:rPr>
        <w:t>合作销售机构购买本理财产品</w:t>
      </w:r>
      <w:r>
        <w:rPr>
          <w:rFonts w:hint="eastAsia" w:ascii="黑体" w:hAnsi="黑体" w:eastAsia="黑体"/>
          <w:b/>
          <w:color w:val="000000" w:themeColor="text1"/>
          <w:sz w:val="20"/>
          <w:szCs w:val="20"/>
          <w14:textFill>
            <w14:solidFill>
              <w14:schemeClr w14:val="tx1"/>
            </w14:solidFill>
          </w14:textFill>
        </w:rPr>
        <w:t>的</w:t>
      </w:r>
      <w:r>
        <w:rPr>
          <w:rFonts w:ascii="黑体" w:hAnsi="黑体" w:eastAsia="黑体"/>
          <w:b/>
          <w:color w:val="000000" w:themeColor="text1"/>
          <w:sz w:val="20"/>
          <w:szCs w:val="20"/>
          <w14:textFill>
            <w14:solidFill>
              <w14:schemeClr w14:val="tx1"/>
            </w14:solidFill>
          </w14:textFill>
        </w:rPr>
        <w:t>，资金清算将通过合作销售机构进行</w:t>
      </w:r>
      <w:r>
        <w:rPr>
          <w:rFonts w:hint="eastAsia" w:ascii="黑体" w:hAnsi="黑体" w:eastAsia="黑体"/>
          <w:b/>
          <w:color w:val="000000" w:themeColor="text1"/>
          <w:sz w:val="20"/>
          <w:szCs w:val="20"/>
          <w14:textFill>
            <w14:solidFill>
              <w14:schemeClr w14:val="tx1"/>
            </w14:solidFill>
          </w14:textFill>
        </w:rPr>
        <w:t>，</w:t>
      </w:r>
      <w:r>
        <w:rPr>
          <w:rFonts w:ascii="黑体" w:hAnsi="黑体" w:eastAsia="黑体"/>
          <w:b/>
          <w:color w:val="000000" w:themeColor="text1"/>
          <w:sz w:val="20"/>
          <w:szCs w:val="20"/>
          <w14:textFill>
            <w14:solidFill>
              <w14:schemeClr w14:val="tx1"/>
            </w14:solidFill>
          </w14:textFill>
        </w:rPr>
        <w:t>如因合作销售机构</w:t>
      </w:r>
      <w:r>
        <w:rPr>
          <w:rFonts w:hint="eastAsia" w:ascii="黑体" w:hAnsi="黑体" w:eastAsia="黑体"/>
          <w:b/>
          <w:color w:val="000000" w:themeColor="text1"/>
          <w:sz w:val="20"/>
          <w:szCs w:val="20"/>
          <w14:textFill>
            <w14:solidFill>
              <w14:schemeClr w14:val="tx1"/>
            </w14:solidFill>
          </w14:textFill>
        </w:rPr>
        <w:t>资金清算</w:t>
      </w:r>
      <w:r>
        <w:rPr>
          <w:rFonts w:ascii="黑体" w:hAnsi="黑体" w:eastAsia="黑体"/>
          <w:b/>
          <w:color w:val="000000" w:themeColor="text1"/>
          <w:sz w:val="20"/>
          <w:szCs w:val="20"/>
          <w14:textFill>
            <w14:solidFill>
              <w14:schemeClr w14:val="tx1"/>
            </w14:solidFill>
          </w14:textFill>
        </w:rPr>
        <w:t>账户余额不足或合作销售机构未及时办理资金清算或违背相关合作协议约定、处理事务不当等，可能导致</w:t>
      </w:r>
      <w:r>
        <w:rPr>
          <w:rFonts w:hint="eastAsia" w:ascii="黑体" w:hAnsi="黑体" w:eastAsia="黑体"/>
          <w:b/>
          <w:color w:val="000000" w:themeColor="text1"/>
          <w:sz w:val="20"/>
          <w:szCs w:val="20"/>
          <w14:textFill>
            <w14:solidFill>
              <w14:schemeClr w14:val="tx1"/>
            </w14:solidFill>
          </w14:textFill>
        </w:rPr>
        <w:t>投资者</w:t>
      </w:r>
      <w:r>
        <w:rPr>
          <w:rFonts w:ascii="黑体" w:hAnsi="黑体" w:eastAsia="黑体"/>
          <w:b/>
          <w:color w:val="000000" w:themeColor="text1"/>
          <w:sz w:val="20"/>
          <w:szCs w:val="20"/>
          <w14:textFill>
            <w14:solidFill>
              <w14:schemeClr w14:val="tx1"/>
            </w14:solidFill>
          </w14:textFill>
        </w:rPr>
        <w:t>认购/申购失败或</w:t>
      </w:r>
      <w:r>
        <w:rPr>
          <w:rFonts w:hint="eastAsia" w:ascii="黑体" w:hAnsi="黑体" w:eastAsia="黑体"/>
          <w:b/>
          <w:color w:val="000000" w:themeColor="text1"/>
          <w:sz w:val="20"/>
          <w:szCs w:val="20"/>
          <w14:textFill>
            <w14:solidFill>
              <w14:schemeClr w14:val="tx1"/>
            </w14:solidFill>
          </w14:textFill>
        </w:rPr>
        <w:t>理财</w:t>
      </w:r>
      <w:r>
        <w:rPr>
          <w:rFonts w:ascii="黑体" w:hAnsi="黑体" w:eastAsia="黑体"/>
          <w:b/>
          <w:color w:val="000000" w:themeColor="text1"/>
          <w:sz w:val="20"/>
          <w:szCs w:val="20"/>
          <w14:textFill>
            <w14:solidFill>
              <w14:schemeClr w14:val="tx1"/>
            </w14:solidFill>
          </w14:textFill>
        </w:rPr>
        <w:t>资金遭受损失。</w:t>
      </w:r>
      <w:r>
        <w:rPr>
          <w:rFonts w:hint="eastAsia" w:ascii="黑体" w:hAnsi="黑体" w:eastAsia="黑体"/>
          <w:b/>
          <w:color w:val="000000" w:themeColor="text1"/>
          <w:sz w:val="20"/>
          <w:szCs w:val="20"/>
          <w14:textFill>
            <w14:solidFill>
              <w14:schemeClr w14:val="tx1"/>
            </w14:solidFill>
          </w14:textFill>
        </w:rPr>
        <w:t>在</w:t>
      </w:r>
      <w:r>
        <w:rPr>
          <w:rFonts w:ascii="黑体" w:hAnsi="黑体" w:eastAsia="黑体"/>
          <w:b/>
          <w:color w:val="000000" w:themeColor="text1"/>
          <w:sz w:val="20"/>
          <w:szCs w:val="20"/>
          <w14:textFill>
            <w14:solidFill>
              <w14:schemeClr w14:val="tx1"/>
            </w14:solidFill>
          </w14:textFill>
        </w:rPr>
        <w:t>认购/申购时，如果投资者在合作销售机构的资金账户余额</w:t>
      </w:r>
      <w:r>
        <w:rPr>
          <w:rFonts w:hint="eastAsia" w:ascii="黑体" w:hAnsi="黑体" w:eastAsia="黑体"/>
          <w:b/>
          <w:color w:val="000000" w:themeColor="text1"/>
          <w:sz w:val="20"/>
          <w:szCs w:val="20"/>
          <w14:textFill>
            <w14:solidFill>
              <w14:schemeClr w14:val="tx1"/>
            </w14:solidFill>
          </w14:textFill>
        </w:rPr>
        <w:t>不足</w:t>
      </w:r>
      <w:r>
        <w:rPr>
          <w:rFonts w:ascii="黑体" w:hAnsi="黑体" w:eastAsia="黑体"/>
          <w:b/>
          <w:color w:val="000000" w:themeColor="text1"/>
          <w:sz w:val="20"/>
          <w:szCs w:val="20"/>
          <w14:textFill>
            <w14:solidFill>
              <w14:schemeClr w14:val="tx1"/>
            </w14:solidFill>
          </w14:textFill>
        </w:rPr>
        <w:t>，或合作销售机构</w:t>
      </w:r>
      <w:r>
        <w:rPr>
          <w:rFonts w:hint="eastAsia" w:ascii="黑体" w:hAnsi="黑体" w:eastAsia="黑体"/>
          <w:b/>
          <w:color w:val="000000" w:themeColor="text1"/>
          <w:sz w:val="20"/>
          <w:szCs w:val="20"/>
          <w14:textFill>
            <w14:solidFill>
              <w14:schemeClr w14:val="tx1"/>
            </w14:solidFill>
          </w14:textFill>
        </w:rPr>
        <w:t>未及时</w:t>
      </w:r>
      <w:r>
        <w:rPr>
          <w:rFonts w:ascii="黑体" w:hAnsi="黑体" w:eastAsia="黑体"/>
          <w:b/>
          <w:color w:val="000000" w:themeColor="text1"/>
          <w:sz w:val="20"/>
          <w:szCs w:val="20"/>
          <w14:textFill>
            <w14:solidFill>
              <w14:schemeClr w14:val="tx1"/>
            </w14:solidFill>
          </w14:textFill>
        </w:rPr>
        <w:t>将投资者认购/申购资金划转至信银理财，将导致投资者无法完成认购/申购，因此造成的损失</w:t>
      </w:r>
      <w:r>
        <w:rPr>
          <w:rFonts w:hint="eastAsia" w:ascii="黑体" w:hAnsi="黑体" w:eastAsia="黑体"/>
          <w:b/>
          <w:color w:val="000000" w:themeColor="text1"/>
          <w:sz w:val="20"/>
          <w:szCs w:val="20"/>
          <w14:textFill>
            <w14:solidFill>
              <w14:schemeClr w14:val="tx1"/>
            </w14:solidFill>
          </w14:textFill>
        </w:rPr>
        <w:t>信银理财</w:t>
      </w:r>
      <w:r>
        <w:rPr>
          <w:rFonts w:ascii="黑体" w:hAnsi="黑体" w:eastAsia="黑体"/>
          <w:b/>
          <w:color w:val="000000" w:themeColor="text1"/>
          <w:sz w:val="20"/>
          <w:szCs w:val="20"/>
          <w14:textFill>
            <w14:solidFill>
              <w14:schemeClr w14:val="tx1"/>
            </w14:solidFill>
          </w14:textFill>
        </w:rPr>
        <w:t>不承担责任；在赎回和到期时，</w:t>
      </w:r>
      <w:r>
        <w:rPr>
          <w:rFonts w:hint="eastAsia" w:ascii="黑体" w:hAnsi="黑体" w:eastAsia="黑体"/>
          <w:b/>
          <w:color w:val="000000" w:themeColor="text1"/>
          <w:sz w:val="20"/>
          <w:szCs w:val="20"/>
          <w14:textFill>
            <w14:solidFill>
              <w14:schemeClr w14:val="tx1"/>
            </w14:solidFill>
          </w14:textFill>
        </w:rPr>
        <w:t>信银理财</w:t>
      </w:r>
      <w:r>
        <w:rPr>
          <w:rFonts w:ascii="黑体" w:hAnsi="黑体" w:eastAsia="黑体"/>
          <w:b/>
          <w:color w:val="000000" w:themeColor="text1"/>
          <w:sz w:val="20"/>
          <w:szCs w:val="20"/>
          <w14:textFill>
            <w14:solidFill>
              <w14:schemeClr w14:val="tx1"/>
            </w14:solidFill>
          </w14:textFill>
        </w:rPr>
        <w:t>将投资者应得资金划转至合作</w:t>
      </w:r>
      <w:r>
        <w:rPr>
          <w:rFonts w:hint="eastAsia" w:ascii="黑体" w:hAnsi="黑体" w:eastAsia="黑体"/>
          <w:b/>
          <w:color w:val="000000" w:themeColor="text1"/>
          <w:sz w:val="20"/>
          <w:szCs w:val="20"/>
          <w14:textFill>
            <w14:solidFill>
              <w14:schemeClr w14:val="tx1"/>
            </w14:solidFill>
          </w14:textFill>
        </w:rPr>
        <w:t>销售</w:t>
      </w:r>
      <w:r>
        <w:rPr>
          <w:rFonts w:ascii="黑体" w:hAnsi="黑体" w:eastAsia="黑体"/>
          <w:b/>
          <w:color w:val="000000" w:themeColor="text1"/>
          <w:sz w:val="20"/>
          <w:szCs w:val="20"/>
          <w14:textFill>
            <w14:solidFill>
              <w14:schemeClr w14:val="tx1"/>
            </w14:solidFill>
          </w14:textFill>
        </w:rPr>
        <w:t>机构</w:t>
      </w:r>
      <w:r>
        <w:rPr>
          <w:rFonts w:hint="eastAsia" w:ascii="黑体" w:hAnsi="黑体" w:eastAsia="黑体"/>
          <w:b/>
          <w:color w:val="000000" w:themeColor="text1"/>
          <w:sz w:val="20"/>
          <w:szCs w:val="20"/>
          <w14:textFill>
            <w14:solidFill>
              <w14:schemeClr w14:val="tx1"/>
            </w14:solidFill>
          </w14:textFill>
        </w:rPr>
        <w:t>指定账户</w:t>
      </w:r>
      <w:r>
        <w:rPr>
          <w:rFonts w:ascii="黑体" w:hAnsi="黑体" w:eastAsia="黑体"/>
          <w:b/>
          <w:color w:val="000000" w:themeColor="text1"/>
          <w:sz w:val="20"/>
          <w:szCs w:val="20"/>
          <w14:textFill>
            <w14:solidFill>
              <w14:schemeClr w14:val="tx1"/>
            </w14:solidFill>
          </w14:textFill>
        </w:rPr>
        <w:t>后，由合作销售机构将相应应得资金划转至投资者账户</w:t>
      </w:r>
      <w:r>
        <w:rPr>
          <w:rFonts w:hint="eastAsia" w:ascii="黑体" w:hAnsi="黑体" w:eastAsia="黑体"/>
          <w:b/>
          <w:color w:val="000000" w:themeColor="text1"/>
          <w:sz w:val="20"/>
          <w:szCs w:val="20"/>
          <w14:textFill>
            <w14:solidFill>
              <w14:schemeClr w14:val="tx1"/>
            </w14:solidFill>
          </w14:textFill>
        </w:rPr>
        <w:t>。</w:t>
      </w:r>
      <w:r>
        <w:rPr>
          <w:rFonts w:ascii="黑体" w:hAnsi="黑体" w:eastAsia="黑体"/>
          <w:b/>
          <w:color w:val="000000" w:themeColor="text1"/>
          <w:sz w:val="20"/>
          <w:szCs w:val="20"/>
          <w14:textFill>
            <w14:solidFill>
              <w14:schemeClr w14:val="tx1"/>
            </w14:solidFill>
          </w14:textFill>
        </w:rPr>
        <w:t>若</w:t>
      </w:r>
      <w:r>
        <w:rPr>
          <w:rFonts w:hint="eastAsia" w:ascii="黑体" w:hAnsi="黑体" w:eastAsia="黑体"/>
          <w:b/>
          <w:color w:val="000000" w:themeColor="text1"/>
          <w:sz w:val="20"/>
          <w:szCs w:val="20"/>
          <w14:textFill>
            <w14:solidFill>
              <w14:schemeClr w14:val="tx1"/>
            </w14:solidFill>
          </w14:textFill>
        </w:rPr>
        <w:t>合作</w:t>
      </w:r>
      <w:r>
        <w:rPr>
          <w:rFonts w:ascii="黑体" w:hAnsi="黑体" w:eastAsia="黑体"/>
          <w:b/>
          <w:color w:val="000000" w:themeColor="text1"/>
          <w:sz w:val="20"/>
          <w:szCs w:val="20"/>
          <w14:textFill>
            <w14:solidFill>
              <w14:schemeClr w14:val="tx1"/>
            </w14:solidFill>
          </w14:textFill>
        </w:rPr>
        <w:t>销售机构未及时进行划付，因此造成的</w:t>
      </w:r>
      <w:r>
        <w:rPr>
          <w:rFonts w:hint="eastAsia" w:ascii="黑体" w:hAnsi="黑体" w:eastAsia="黑体"/>
          <w:b/>
          <w:color w:val="000000" w:themeColor="text1"/>
          <w:sz w:val="20"/>
          <w:szCs w:val="20"/>
          <w14:textFill>
            <w14:solidFill>
              <w14:schemeClr w14:val="tx1"/>
            </w14:solidFill>
          </w14:textFill>
        </w:rPr>
        <w:t>损失信银理财</w:t>
      </w:r>
      <w:r>
        <w:rPr>
          <w:rFonts w:ascii="黑体" w:hAnsi="黑体" w:eastAsia="黑体"/>
          <w:b/>
          <w:color w:val="000000" w:themeColor="text1"/>
          <w:sz w:val="20"/>
          <w:szCs w:val="20"/>
          <w14:textFill>
            <w14:solidFill>
              <w14:schemeClr w14:val="tx1"/>
            </w14:solidFill>
          </w14:textFill>
        </w:rPr>
        <w:t>不承担任何责任。</w:t>
      </w:r>
    </w:p>
    <w:p w14:paraId="4BB14BA1">
      <w:pPr>
        <w:spacing w:line="300" w:lineRule="atLeast"/>
        <w:ind w:firstLine="402" w:firstLineChars="200"/>
        <w:jc w:val="both"/>
        <w:rPr>
          <w:rFonts w:ascii="黑体" w:hAnsi="黑体" w:eastAsia="黑体"/>
          <w:b/>
          <w:color w:val="000000" w:themeColor="text1"/>
          <w:sz w:val="20"/>
          <w:szCs w:val="20"/>
          <w14:textFill>
            <w14:solidFill>
              <w14:schemeClr w14:val="tx1"/>
            </w14:solidFill>
          </w14:textFill>
        </w:rPr>
      </w:pPr>
      <w:r>
        <w:rPr>
          <w:rFonts w:ascii="黑体" w:hAnsi="黑体" w:eastAsia="黑体"/>
          <w:b/>
          <w:color w:val="000000" w:themeColor="text1"/>
          <w:sz w:val="20"/>
          <w:szCs w:val="20"/>
          <w14:textFill>
            <w14:solidFill>
              <w14:schemeClr w14:val="tx1"/>
            </w14:solidFill>
          </w14:textFill>
        </w:rPr>
        <w:t>13</w:t>
      </w:r>
      <w:r>
        <w:rPr>
          <w:rFonts w:hint="eastAsia" w:ascii="黑体" w:hAnsi="黑体" w:eastAsia="黑体"/>
          <w:b/>
          <w:color w:val="000000" w:themeColor="text1"/>
          <w:sz w:val="20"/>
          <w:szCs w:val="20"/>
          <w14:textFill>
            <w14:solidFill>
              <w14:schemeClr w14:val="tx1"/>
            </w14:solidFill>
          </w14:textFill>
        </w:rPr>
        <w:t>．操作风险：如本理财产品管理人、</w:t>
      </w:r>
      <w:r>
        <w:rPr>
          <w:rFonts w:ascii="黑体" w:hAnsi="黑体" w:eastAsia="黑体"/>
          <w:b/>
          <w:color w:val="000000" w:themeColor="text1"/>
          <w:sz w:val="20"/>
          <w:szCs w:val="20"/>
          <w14:textFill>
            <w14:solidFill>
              <w14:schemeClr w14:val="tx1"/>
            </w14:solidFill>
          </w14:textFill>
        </w:rPr>
        <w:t>代销机构</w:t>
      </w:r>
      <w:r>
        <w:rPr>
          <w:rFonts w:hint="eastAsia" w:ascii="黑体" w:hAnsi="黑体" w:eastAsia="黑体"/>
          <w:b/>
          <w:color w:val="000000" w:themeColor="text1"/>
          <w:sz w:val="20"/>
          <w:szCs w:val="20"/>
          <w14:textFill>
            <w14:solidFill>
              <w14:schemeClr w14:val="tx1"/>
            </w14:solidFill>
          </w14:textFill>
        </w:rPr>
        <w:t>由于内部作业、人员管理、系统操作及事务处理不当或失误等，可能导致本理财产品的本金及收益遭受损失。</w:t>
      </w:r>
    </w:p>
    <w:p w14:paraId="4C3B617C">
      <w:pPr>
        <w:spacing w:line="300" w:lineRule="atLeast"/>
        <w:ind w:firstLine="402" w:firstLineChars="200"/>
        <w:jc w:val="both"/>
        <w:rPr>
          <w:rFonts w:ascii="黑体" w:hAnsi="黑体" w:eastAsia="黑体"/>
          <w:b/>
          <w:color w:val="000000" w:themeColor="text1"/>
          <w:sz w:val="20"/>
          <w:szCs w:val="20"/>
          <w14:textFill>
            <w14:solidFill>
              <w14:schemeClr w14:val="tx1"/>
            </w14:solidFill>
          </w14:textFill>
        </w:rPr>
      </w:pPr>
      <w:r>
        <w:rPr>
          <w:rFonts w:ascii="黑体" w:hAnsi="黑体" w:eastAsia="黑体"/>
          <w:b/>
          <w:color w:val="000000" w:themeColor="text1"/>
          <w:sz w:val="20"/>
          <w:szCs w:val="20"/>
          <w14:textFill>
            <w14:solidFill>
              <w14:schemeClr w14:val="tx1"/>
            </w14:solidFill>
          </w14:textFill>
        </w:rPr>
        <w:t>14</w:t>
      </w:r>
      <w:r>
        <w:rPr>
          <w:rFonts w:hint="eastAsia" w:ascii="黑体" w:hAnsi="黑体" w:eastAsia="黑体"/>
          <w:b/>
          <w:color w:val="000000" w:themeColor="text1"/>
          <w:sz w:val="20"/>
          <w:szCs w:val="20"/>
          <w14:textFill>
            <w14:solidFill>
              <w14:schemeClr w14:val="tx1"/>
            </w14:solidFill>
          </w14:textFill>
        </w:rPr>
        <w:t>．</w:t>
      </w:r>
      <w:r>
        <w:rPr>
          <w:rFonts w:ascii="黑体" w:hAnsi="黑体" w:eastAsia="黑体"/>
          <w:b/>
          <w:color w:val="000000" w:themeColor="text1"/>
          <w:sz w:val="20"/>
          <w:szCs w:val="20"/>
          <w14:textFill>
            <w14:solidFill>
              <w14:schemeClr w14:val="tx1"/>
            </w14:solidFill>
          </w14:textFill>
        </w:rPr>
        <w:t>关联交易风险：</w:t>
      </w:r>
      <w:r>
        <w:rPr>
          <w:rFonts w:hint="eastAsia" w:ascii="黑体" w:hAnsi="黑体" w:eastAsia="黑体"/>
          <w:b/>
          <w:color w:val="000000" w:themeColor="text1"/>
          <w:sz w:val="20"/>
          <w:szCs w:val="20"/>
          <w14:textFill>
            <w14:solidFill>
              <w14:schemeClr w14:val="tx1"/>
            </w14:solidFill>
          </w14:textFill>
        </w:rPr>
        <w:t>在合法合规且履行应履行的内外部程序后，理财产品可能与管理人及其控股股东、实际控制人等发生关联交易。本</w:t>
      </w:r>
      <w:r>
        <w:rPr>
          <w:rFonts w:ascii="黑体" w:hAnsi="黑体" w:eastAsia="黑体"/>
          <w:b/>
          <w:color w:val="000000" w:themeColor="text1"/>
          <w:sz w:val="20"/>
          <w:szCs w:val="20"/>
          <w14:textFill>
            <w14:solidFill>
              <w14:schemeClr w14:val="tx1"/>
            </w14:solidFill>
          </w14:textFill>
        </w:rPr>
        <w:t>理财产品可能</w:t>
      </w:r>
      <w:r>
        <w:rPr>
          <w:rFonts w:hint="eastAsia" w:ascii="黑体" w:hAnsi="黑体" w:eastAsia="黑体"/>
          <w:b/>
          <w:color w:val="000000" w:themeColor="text1"/>
          <w:sz w:val="20"/>
          <w:szCs w:val="20"/>
          <w14:textFill>
            <w14:solidFill>
              <w14:schemeClr w14:val="tx1"/>
            </w14:solidFill>
          </w14:textFill>
        </w:rPr>
        <w:t>通过</w:t>
      </w:r>
      <w:r>
        <w:rPr>
          <w:rFonts w:ascii="黑体" w:hAnsi="黑体" w:eastAsia="黑体"/>
          <w:b/>
          <w:color w:val="000000" w:themeColor="text1"/>
          <w:sz w:val="20"/>
          <w:szCs w:val="20"/>
          <w14:textFill>
            <w14:solidFill>
              <w14:schemeClr w14:val="tx1"/>
            </w14:solidFill>
          </w14:textFill>
        </w:rPr>
        <w:t>管理人的关联方</w:t>
      </w:r>
      <w:r>
        <w:rPr>
          <w:rFonts w:hint="eastAsia" w:ascii="黑体" w:hAnsi="黑体" w:eastAsia="黑体"/>
          <w:b/>
          <w:color w:val="000000" w:themeColor="text1"/>
          <w:sz w:val="20"/>
          <w:szCs w:val="20"/>
          <w14:textFill>
            <w14:solidFill>
              <w14:schemeClr w14:val="tx1"/>
            </w14:solidFill>
          </w14:textFill>
        </w:rPr>
        <w:t>进行</w:t>
      </w:r>
      <w:r>
        <w:rPr>
          <w:rFonts w:ascii="黑体" w:hAnsi="黑体" w:eastAsia="黑体"/>
          <w:b/>
          <w:color w:val="000000" w:themeColor="text1"/>
          <w:sz w:val="20"/>
          <w:szCs w:val="20"/>
          <w14:textFill>
            <w14:solidFill>
              <w14:schemeClr w14:val="tx1"/>
            </w14:solidFill>
          </w14:textFill>
        </w:rPr>
        <w:t>销售。</w:t>
      </w:r>
      <w:r>
        <w:rPr>
          <w:rFonts w:hint="eastAsia" w:ascii="黑体" w:hAnsi="黑体" w:eastAsia="黑体"/>
          <w:b/>
          <w:color w:val="000000" w:themeColor="text1"/>
          <w:sz w:val="20"/>
          <w:szCs w:val="20"/>
          <w14:textFill>
            <w14:solidFill>
              <w14:schemeClr w14:val="tx1"/>
            </w14:solidFill>
          </w14:textFill>
        </w:rPr>
        <w:t>上述各方在业务执行及实施上具有隔离机制，并符合相关法律法规要求，且上述各方将依照恪尽职守、诚实信用、谨慎勤勉的原则进行业务操作，但仍可能存在利益冲突。如果发生道德风险等情形将对投资者权益产生不利影响。</w:t>
      </w:r>
    </w:p>
    <w:p w14:paraId="6142861A">
      <w:pPr>
        <w:snapToGrid w:val="0"/>
        <w:ind w:left="-2" w:leftChars="-1" w:right="53" w:rightChars="22"/>
        <w:rPr>
          <w:rFonts w:ascii="黑体" w:hAnsi="Times New Roman" w:eastAsia="黑体" w:cs="黑体"/>
          <w:b/>
          <w:sz w:val="20"/>
          <w:szCs w:val="20"/>
        </w:rPr>
      </w:pPr>
      <w:r>
        <w:rPr>
          <w:rFonts w:hint="eastAsia" w:ascii="黑体" w:hAnsi="Times New Roman" w:eastAsia="黑体" w:cs="黑体"/>
          <w:b/>
          <w:sz w:val="20"/>
          <w:szCs w:val="20"/>
        </w:rPr>
        <w:t xml:space="preserve"> </w:t>
      </w:r>
    </w:p>
    <w:p w14:paraId="404612CA">
      <w:pPr>
        <w:snapToGrid w:val="0"/>
        <w:ind w:left="-2" w:leftChars="-1" w:right="53" w:rightChars="22"/>
        <w:rPr>
          <w:rFonts w:ascii="黑体" w:hAnsi="Times New Roman" w:eastAsia="黑体" w:cs="黑体"/>
          <w:b/>
          <w:bCs/>
          <w:color w:val="000000" w:themeColor="text1"/>
          <w:sz w:val="20"/>
          <w:szCs w:val="20"/>
          <w14:textFill>
            <w14:solidFill>
              <w14:schemeClr w14:val="tx1"/>
            </w14:solidFill>
          </w14:textFill>
        </w:rPr>
      </w:pPr>
      <w:r>
        <w:rPr>
          <w:rFonts w:hint="eastAsia" w:ascii="黑体" w:hAnsi="Times New Roman" w:eastAsia="黑体" w:cs="黑体"/>
          <w:b/>
          <w:bCs/>
          <w:color w:val="000000" w:themeColor="text1"/>
          <w:sz w:val="20"/>
          <w:szCs w:val="20"/>
          <w14:textFill>
            <w14:solidFill>
              <w14:schemeClr w14:val="tx1"/>
            </w14:solidFill>
          </w14:textFill>
        </w:rPr>
        <w:t>释义与定义：</w:t>
      </w:r>
    </w:p>
    <w:p w14:paraId="053B3B2C">
      <w:p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在</w:t>
      </w:r>
      <w:r>
        <w:rPr>
          <w:rFonts w:ascii="黑体" w:hAnsi="黑体" w:eastAsia="黑体"/>
          <w:color w:val="000000" w:themeColor="text1"/>
          <w:sz w:val="20"/>
          <w:szCs w:val="20"/>
          <w14:textFill>
            <w14:solidFill>
              <w14:schemeClr w14:val="tx1"/>
            </w14:solidFill>
          </w14:textFill>
        </w:rPr>
        <w:t>本产品说明书中，除非上下文另有明确约定，下列用词将具有如下含义：</w:t>
      </w:r>
    </w:p>
    <w:p w14:paraId="35A60A19">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1．信银理财有限责任公司（简称“信银理财”）：为中信银行股份有限公司经国务院银行业监督管理机构批准设立的主要从事理财业务的金融机构。</w:t>
      </w:r>
    </w:p>
    <w:p w14:paraId="726C6F5C">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2．理财业务：指信银理财接受投资者委托，按照与投资者约定的投资策略、风险承担和收益分配方式，对受托的投资者财产进行投资和管理的金融服务。</w:t>
      </w:r>
    </w:p>
    <w:p w14:paraId="51C6A155">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3．理财产品/产品：是指信银理财按照约定条件和实际投资收益情况向投资者支付收益、不保证本金支付和收益水平的非保本理财产品。根据募集方式、运作方式、投资性质的不同，理财产品分为多种类型。</w:t>
      </w:r>
    </w:p>
    <w:p w14:paraId="66FDD22D">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4．投资者/客户：指符合相关法律法规、监管规定要求的，可以购买理财产品的自然人、法人和非法人组织。其中，个人投资者指符合相关法律法规、监管规定要求的，经管理人或代销机构的个人投资者投资风险承受能力评估体系评定为适合的自然人；机构投资者指符合相关法律法规、监管规定要求的法人和非法人组织。个人投资者和机构投资者合称投资者。</w:t>
      </w:r>
    </w:p>
    <w:p w14:paraId="46382A83">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5．理财产品资产净值</w:t>
      </w:r>
      <w:r>
        <w:rPr>
          <w:rFonts w:ascii="黑体" w:hAnsi="黑体" w:eastAsia="黑体"/>
          <w:color w:val="000000" w:themeColor="text1"/>
          <w:sz w:val="20"/>
          <w:szCs w:val="20"/>
          <w14:textFill>
            <w14:solidFill>
              <w14:schemeClr w14:val="tx1"/>
            </w14:solidFill>
          </w14:textFill>
        </w:rPr>
        <w:t>/资产净值</w:t>
      </w:r>
      <w:r>
        <w:rPr>
          <w:rFonts w:hint="eastAsia" w:ascii="黑体" w:hAnsi="黑体" w:eastAsia="黑体"/>
          <w:color w:val="000000" w:themeColor="text1"/>
          <w:sz w:val="20"/>
          <w:szCs w:val="20"/>
          <w14:textFill>
            <w14:solidFill>
              <w14:schemeClr w14:val="tx1"/>
            </w14:solidFill>
          </w14:textFill>
        </w:rPr>
        <w:t>/净</w:t>
      </w:r>
      <w:r>
        <w:rPr>
          <w:rFonts w:ascii="黑体" w:hAnsi="黑体" w:eastAsia="黑体"/>
          <w:color w:val="000000" w:themeColor="text1"/>
          <w:sz w:val="20"/>
          <w:szCs w:val="20"/>
          <w14:textFill>
            <w14:solidFill>
              <w14:schemeClr w14:val="tx1"/>
            </w14:solidFill>
          </w14:textFill>
        </w:rPr>
        <w:t>资产：资产净值=产品资产总值-产品负</w:t>
      </w:r>
      <w:r>
        <w:rPr>
          <w:rFonts w:hint="eastAsia" w:ascii="黑体" w:hAnsi="黑体" w:eastAsia="黑体"/>
          <w:color w:val="000000" w:themeColor="text1"/>
          <w:sz w:val="20"/>
          <w:szCs w:val="20"/>
          <w14:textFill>
            <w14:solidFill>
              <w14:schemeClr w14:val="tx1"/>
            </w14:solidFill>
          </w14:textFill>
        </w:rPr>
        <w:t>债总值。产品资产总值是指产品拥有的各类有价证券、银行存款、应收款项及其他资产的价值总和。产品负债总值是指产品运作及融资时形成的负债价值总和，包括融资资金本息、应付各项费用、应付税金及其他应付款项等。</w:t>
      </w:r>
    </w:p>
    <w:p w14:paraId="6CF5D648">
      <w:pPr>
        <w:snapToGrid w:val="0"/>
        <w:ind w:firstLine="400" w:firstLineChars="200"/>
        <w:jc w:val="both"/>
        <w:rPr>
          <w:rFonts w:ascii="黑体" w:hAnsi="Times New Roman"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6．</w:t>
      </w:r>
      <w:r>
        <w:rPr>
          <w:rFonts w:ascii="黑体" w:hAnsi="黑体" w:eastAsia="黑体"/>
          <w:color w:val="000000" w:themeColor="text1"/>
          <w:sz w:val="20"/>
          <w:szCs w:val="20"/>
          <w14:textFill>
            <w14:solidFill>
              <w14:schemeClr w14:val="tx1"/>
            </w14:solidFill>
          </w14:textFill>
        </w:rPr>
        <w:t>理财产品单位净值/单位净值</w:t>
      </w:r>
      <w:r>
        <w:rPr>
          <w:rFonts w:hint="eastAsia" w:ascii="黑体" w:hAnsi="黑体" w:eastAsia="黑体"/>
          <w:color w:val="000000" w:themeColor="text1"/>
          <w:sz w:val="20"/>
          <w:szCs w:val="20"/>
          <w14:textFill>
            <w14:solidFill>
              <w14:schemeClr w14:val="tx1"/>
            </w14:solidFill>
          </w14:textFill>
        </w:rPr>
        <w:t>/份额净值</w:t>
      </w:r>
      <w:r>
        <w:rPr>
          <w:rFonts w:ascii="黑体" w:hAnsi="黑体" w:eastAsia="黑体"/>
          <w:color w:val="000000" w:themeColor="text1"/>
          <w:sz w:val="20"/>
          <w:szCs w:val="20"/>
          <w14:textFill>
            <w14:solidFill>
              <w14:schemeClr w14:val="tx1"/>
            </w14:solidFill>
          </w14:textFill>
        </w:rPr>
        <w:t>：指理财产品份额的单位净值，即每1</w:t>
      </w:r>
      <w:r>
        <w:rPr>
          <w:rFonts w:hint="eastAsia" w:ascii="黑体" w:hAnsi="黑体" w:eastAsia="黑体"/>
          <w:color w:val="000000" w:themeColor="text1"/>
          <w:sz w:val="20"/>
          <w:szCs w:val="20"/>
          <w14:textFill>
            <w14:solidFill>
              <w14:schemeClr w14:val="tx1"/>
            </w14:solidFill>
          </w14:textFill>
        </w:rPr>
        <w:t>份理财产品份额以人民币计价的价格。理财产品单位净值</w:t>
      </w:r>
      <w:r>
        <w:rPr>
          <w:rFonts w:ascii="黑体" w:hAnsi="黑体" w:eastAsia="黑体"/>
          <w:color w:val="000000" w:themeColor="text1"/>
          <w:sz w:val="20"/>
          <w:szCs w:val="20"/>
          <w14:textFill>
            <w14:solidFill>
              <w14:schemeClr w14:val="tx1"/>
            </w14:solidFill>
          </w14:textFill>
        </w:rPr>
        <w:t>=当日理财产品资产净值/当日理财产品存续份额，投资者按该</w:t>
      </w:r>
      <w:r>
        <w:rPr>
          <w:rFonts w:hint="eastAsia" w:ascii="黑体" w:hAnsi="黑体" w:eastAsia="黑体"/>
          <w:color w:val="000000" w:themeColor="text1"/>
          <w:sz w:val="20"/>
          <w:szCs w:val="20"/>
          <w14:textFill>
            <w14:solidFill>
              <w14:schemeClr w14:val="tx1"/>
            </w14:solidFill>
          </w14:textFill>
        </w:rPr>
        <w:t>理财产品单位净值进行理财产品申购、赎回。</w:t>
      </w:r>
      <w:r>
        <w:rPr>
          <w:rFonts w:ascii="黑体" w:hAnsi="Times New Roman" w:eastAsia="黑体"/>
          <w:color w:val="000000" w:themeColor="text1"/>
          <w:sz w:val="20"/>
          <w:szCs w:val="20"/>
          <w14:textFill>
            <w14:solidFill>
              <w14:schemeClr w14:val="tx1"/>
            </w14:solidFill>
          </w14:textFill>
        </w:rPr>
        <w:t> </w:t>
      </w:r>
    </w:p>
    <w:p w14:paraId="32A7E039">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7．理财</w:t>
      </w:r>
      <w:r>
        <w:rPr>
          <w:rFonts w:ascii="黑体" w:hAnsi="黑体" w:eastAsia="黑体"/>
          <w:color w:val="000000" w:themeColor="text1"/>
          <w:sz w:val="20"/>
          <w:szCs w:val="20"/>
          <w14:textFill>
            <w14:solidFill>
              <w14:schemeClr w14:val="tx1"/>
            </w14:solidFill>
          </w14:textFill>
        </w:rPr>
        <w:t>产品本金</w:t>
      </w:r>
      <w:r>
        <w:rPr>
          <w:rFonts w:hint="eastAsia" w:ascii="黑体" w:hAnsi="黑体" w:eastAsia="黑体"/>
          <w:color w:val="000000" w:themeColor="text1"/>
          <w:sz w:val="20"/>
          <w:szCs w:val="20"/>
          <w14:textFill>
            <w14:solidFill>
              <w14:schemeClr w14:val="tx1"/>
            </w14:solidFill>
          </w14:textFill>
        </w:rPr>
        <w:t>/投资本金/本金</w:t>
      </w:r>
      <w:r>
        <w:rPr>
          <w:rFonts w:ascii="黑体" w:hAnsi="黑体" w:eastAsia="黑体"/>
          <w:color w:val="000000" w:themeColor="text1"/>
          <w:sz w:val="20"/>
          <w:szCs w:val="20"/>
          <w14:textFill>
            <w14:solidFill>
              <w14:schemeClr w14:val="tx1"/>
            </w14:solidFill>
          </w14:textFill>
        </w:rPr>
        <w:t>：指投资者为认购</w:t>
      </w:r>
      <w:r>
        <w:rPr>
          <w:rFonts w:hint="eastAsia" w:ascii="黑体" w:hAnsi="黑体" w:eastAsia="黑体"/>
          <w:color w:val="000000" w:themeColor="text1"/>
          <w:sz w:val="20"/>
          <w:szCs w:val="20"/>
          <w14:textFill>
            <w14:solidFill>
              <w14:schemeClr w14:val="tx1"/>
            </w14:solidFill>
          </w14:textFill>
        </w:rPr>
        <w:t>/申购</w:t>
      </w:r>
      <w:r>
        <w:rPr>
          <w:rFonts w:ascii="黑体" w:hAnsi="黑体" w:eastAsia="黑体"/>
          <w:color w:val="000000" w:themeColor="text1"/>
          <w:sz w:val="20"/>
          <w:szCs w:val="20"/>
          <w14:textFill>
            <w14:solidFill>
              <w14:schemeClr w14:val="tx1"/>
            </w14:solidFill>
          </w14:textFill>
        </w:rPr>
        <w:t>理财</w:t>
      </w:r>
      <w:r>
        <w:rPr>
          <w:rFonts w:hint="eastAsia" w:ascii="黑体" w:hAnsi="黑体" w:eastAsia="黑体"/>
          <w:color w:val="000000" w:themeColor="text1"/>
          <w:sz w:val="20"/>
          <w:szCs w:val="20"/>
          <w14:textFill>
            <w14:solidFill>
              <w14:schemeClr w14:val="tx1"/>
            </w14:solidFill>
          </w14:textFill>
        </w:rPr>
        <w:t>产品</w:t>
      </w:r>
      <w:r>
        <w:rPr>
          <w:rFonts w:ascii="黑体" w:hAnsi="黑体" w:eastAsia="黑体"/>
          <w:color w:val="000000" w:themeColor="text1"/>
          <w:sz w:val="20"/>
          <w:szCs w:val="20"/>
          <w14:textFill>
            <w14:solidFill>
              <w14:schemeClr w14:val="tx1"/>
            </w14:solidFill>
          </w14:textFill>
        </w:rPr>
        <w:t>份额而向理财产品管理人交付的货币资金</w:t>
      </w:r>
      <w:r>
        <w:rPr>
          <w:rFonts w:hint="eastAsia" w:ascii="黑体" w:hAnsi="黑体" w:eastAsia="黑体"/>
          <w:color w:val="000000" w:themeColor="text1"/>
          <w:sz w:val="20"/>
          <w:szCs w:val="20"/>
          <w14:textFill>
            <w14:solidFill>
              <w14:schemeClr w14:val="tx1"/>
            </w14:solidFill>
          </w14:textFill>
        </w:rPr>
        <w:t>，扣除</w:t>
      </w:r>
      <w:r>
        <w:rPr>
          <w:rFonts w:ascii="黑体" w:hAnsi="黑体" w:eastAsia="黑体"/>
          <w:color w:val="000000" w:themeColor="text1"/>
          <w:sz w:val="20"/>
          <w:szCs w:val="20"/>
          <w14:textFill>
            <w14:solidFill>
              <w14:schemeClr w14:val="tx1"/>
            </w14:solidFill>
          </w14:textFill>
        </w:rPr>
        <w:t>认购费</w:t>
      </w:r>
      <w:r>
        <w:rPr>
          <w:rFonts w:hint="eastAsia" w:ascii="黑体" w:hAnsi="黑体" w:eastAsia="黑体"/>
          <w:color w:val="000000" w:themeColor="text1"/>
          <w:sz w:val="20"/>
          <w:szCs w:val="20"/>
          <w14:textFill>
            <w14:solidFill>
              <w14:schemeClr w14:val="tx1"/>
            </w14:solidFill>
          </w14:textFill>
        </w:rPr>
        <w:t>/申购费</w:t>
      </w:r>
      <w:r>
        <w:rPr>
          <w:rFonts w:ascii="黑体" w:hAnsi="黑体" w:eastAsia="黑体"/>
          <w:color w:val="000000" w:themeColor="text1"/>
          <w:sz w:val="20"/>
          <w:szCs w:val="20"/>
          <w14:textFill>
            <w14:solidFill>
              <w14:schemeClr w14:val="tx1"/>
            </w14:solidFill>
          </w14:textFill>
        </w:rPr>
        <w:t>后即投资者的投资</w:t>
      </w:r>
      <w:r>
        <w:rPr>
          <w:rFonts w:hint="eastAsia" w:ascii="黑体" w:hAnsi="黑体" w:eastAsia="黑体"/>
          <w:color w:val="000000" w:themeColor="text1"/>
          <w:sz w:val="20"/>
          <w:szCs w:val="20"/>
          <w14:textFill>
            <w14:solidFill>
              <w14:schemeClr w14:val="tx1"/>
            </w14:solidFill>
          </w14:textFill>
        </w:rPr>
        <w:t>本金。</w:t>
      </w:r>
      <w:r>
        <w:rPr>
          <w:rFonts w:ascii="黑体" w:hAnsi="黑体" w:eastAsia="黑体"/>
          <w:color w:val="000000" w:themeColor="text1"/>
          <w:sz w:val="20"/>
          <w:szCs w:val="20"/>
          <w14:textFill>
            <w14:solidFill>
              <w14:schemeClr w14:val="tx1"/>
            </w14:solidFill>
          </w14:textFill>
        </w:rPr>
        <w:t>本金</w:t>
      </w:r>
      <w:r>
        <w:rPr>
          <w:rFonts w:hint="eastAsia" w:ascii="黑体" w:hAnsi="黑体" w:eastAsia="黑体"/>
          <w:color w:val="000000" w:themeColor="text1"/>
          <w:sz w:val="20"/>
          <w:szCs w:val="20"/>
          <w14:textFill>
            <w14:solidFill>
              <w14:schemeClr w14:val="tx1"/>
            </w14:solidFill>
          </w14:textFill>
        </w:rPr>
        <w:t>的</w:t>
      </w:r>
      <w:r>
        <w:rPr>
          <w:rFonts w:ascii="黑体" w:hAnsi="黑体" w:eastAsia="黑体"/>
          <w:color w:val="000000" w:themeColor="text1"/>
          <w:sz w:val="20"/>
          <w:szCs w:val="20"/>
          <w14:textFill>
            <w14:solidFill>
              <w14:schemeClr w14:val="tx1"/>
            </w14:solidFill>
          </w14:textFill>
        </w:rPr>
        <w:t>称谓</w:t>
      </w:r>
      <w:r>
        <w:rPr>
          <w:rFonts w:ascii="黑体" w:hAnsi="黑体" w:eastAsia="黑体"/>
          <w:sz w:val="20"/>
          <w:szCs w:val="20"/>
        </w:rPr>
        <w:t>仅为产品估值和核算方便而设，</w:t>
      </w:r>
      <w:r>
        <w:rPr>
          <w:rFonts w:hint="eastAsia" w:ascii="黑体" w:hAnsi="黑体" w:eastAsia="黑体"/>
          <w:color w:val="000000" w:themeColor="text1"/>
          <w:sz w:val="20"/>
          <w:szCs w:val="20"/>
          <w14:textFill>
            <w14:solidFill>
              <w14:schemeClr w14:val="tx1"/>
            </w14:solidFill>
          </w14:textFill>
        </w:rPr>
        <w:t>不代表对</w:t>
      </w:r>
      <w:r>
        <w:rPr>
          <w:rFonts w:ascii="黑体" w:hAnsi="黑体" w:eastAsia="黑体"/>
          <w:color w:val="000000" w:themeColor="text1"/>
          <w:sz w:val="20"/>
          <w:szCs w:val="20"/>
          <w14:textFill>
            <w14:solidFill>
              <w14:schemeClr w14:val="tx1"/>
            </w14:solidFill>
          </w14:textFill>
        </w:rPr>
        <w:t>投资资金不受损失的承诺。</w:t>
      </w:r>
    </w:p>
    <w:p w14:paraId="445AC90F">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8．理财产品</w:t>
      </w:r>
      <w:r>
        <w:rPr>
          <w:rFonts w:ascii="黑体" w:hAnsi="黑体" w:eastAsia="黑体"/>
          <w:color w:val="000000" w:themeColor="text1"/>
          <w:sz w:val="20"/>
          <w:szCs w:val="20"/>
          <w14:textFill>
            <w14:solidFill>
              <w14:schemeClr w14:val="tx1"/>
            </w14:solidFill>
          </w14:textFill>
        </w:rPr>
        <w:t>收益</w:t>
      </w:r>
      <w:r>
        <w:rPr>
          <w:rFonts w:hint="eastAsia" w:ascii="黑体" w:hAnsi="黑体" w:eastAsia="黑体"/>
          <w:color w:val="000000" w:themeColor="text1"/>
          <w:sz w:val="20"/>
          <w:szCs w:val="20"/>
          <w14:textFill>
            <w14:solidFill>
              <w14:schemeClr w14:val="tx1"/>
            </w14:solidFill>
          </w14:textFill>
        </w:rPr>
        <w:t>/投资</w:t>
      </w:r>
      <w:r>
        <w:rPr>
          <w:rFonts w:ascii="黑体" w:hAnsi="黑体" w:eastAsia="黑体"/>
          <w:color w:val="000000" w:themeColor="text1"/>
          <w:sz w:val="20"/>
          <w:szCs w:val="20"/>
          <w14:textFill>
            <w14:solidFill>
              <w14:schemeClr w14:val="tx1"/>
            </w14:solidFill>
          </w14:textFill>
        </w:rPr>
        <w:t>收益</w:t>
      </w:r>
      <w:r>
        <w:rPr>
          <w:rFonts w:hint="eastAsia" w:ascii="黑体" w:hAnsi="黑体" w:eastAsia="黑体"/>
          <w:color w:val="000000" w:themeColor="text1"/>
          <w:sz w:val="20"/>
          <w:szCs w:val="20"/>
          <w14:textFill>
            <w14:solidFill>
              <w14:schemeClr w14:val="tx1"/>
            </w14:solidFill>
          </w14:textFill>
        </w:rPr>
        <w:t>/收益</w:t>
      </w:r>
      <w:r>
        <w:rPr>
          <w:rFonts w:ascii="黑体" w:hAnsi="黑体" w:eastAsia="黑体"/>
          <w:color w:val="000000" w:themeColor="text1"/>
          <w:sz w:val="20"/>
          <w:szCs w:val="20"/>
          <w14:textFill>
            <w14:solidFill>
              <w14:schemeClr w14:val="tx1"/>
            </w14:solidFill>
          </w14:textFill>
        </w:rPr>
        <w:t>：</w:t>
      </w:r>
      <w:r>
        <w:rPr>
          <w:rFonts w:hint="eastAsia" w:ascii="黑体" w:hAnsi="黑体" w:eastAsia="黑体"/>
          <w:color w:val="000000" w:themeColor="text1"/>
          <w:sz w:val="20"/>
          <w:szCs w:val="20"/>
          <w14:textFill>
            <w14:solidFill>
              <w14:schemeClr w14:val="tx1"/>
            </w14:solidFill>
          </w14:textFill>
        </w:rPr>
        <w:t>指</w:t>
      </w:r>
      <w:r>
        <w:rPr>
          <w:rFonts w:ascii="黑体" w:hAnsi="黑体" w:eastAsia="黑体"/>
          <w:color w:val="000000" w:themeColor="text1"/>
          <w:sz w:val="20"/>
          <w:szCs w:val="20"/>
          <w14:textFill>
            <w14:solidFill>
              <w14:schemeClr w14:val="tx1"/>
            </w14:solidFill>
          </w14:textFill>
        </w:rPr>
        <w:t>投资者投资理财产品获得的投资收益。</w:t>
      </w:r>
    </w:p>
    <w:p w14:paraId="63F9E645">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9</w:t>
      </w:r>
      <w:r>
        <w:rPr>
          <w:rFonts w:hint="eastAsia" w:ascii="黑体" w:hAnsi="黑体" w:eastAsia="黑体"/>
          <w:color w:val="000000" w:themeColor="text1"/>
          <w:sz w:val="20"/>
          <w:szCs w:val="20"/>
          <w14:textFill>
            <w14:solidFill>
              <w14:schemeClr w14:val="tx1"/>
            </w14:solidFill>
          </w14:textFill>
        </w:rPr>
        <w:t>．合作销售机构/代销机构：指</w:t>
      </w:r>
      <w:r>
        <w:rPr>
          <w:rFonts w:ascii="黑体" w:hAnsi="黑体" w:eastAsia="黑体"/>
          <w:color w:val="000000" w:themeColor="text1"/>
          <w:sz w:val="20"/>
          <w:szCs w:val="20"/>
          <w14:textFill>
            <w14:solidFill>
              <w14:schemeClr w14:val="tx1"/>
            </w14:solidFill>
          </w14:textFill>
        </w:rPr>
        <w:t>接受</w:t>
      </w:r>
      <w:r>
        <w:rPr>
          <w:rFonts w:hint="eastAsia" w:ascii="黑体" w:hAnsi="黑体" w:eastAsia="黑体"/>
          <w:color w:val="000000" w:themeColor="text1"/>
          <w:sz w:val="20"/>
          <w:szCs w:val="20"/>
          <w14:textFill>
            <w14:solidFill>
              <w14:schemeClr w14:val="tx1"/>
            </w14:solidFill>
          </w14:textFill>
        </w:rPr>
        <w:t>信银</w:t>
      </w:r>
      <w:r>
        <w:rPr>
          <w:rFonts w:ascii="黑体" w:hAnsi="黑体" w:eastAsia="黑体"/>
          <w:color w:val="000000" w:themeColor="text1"/>
          <w:sz w:val="20"/>
          <w:szCs w:val="20"/>
          <w14:textFill>
            <w14:solidFill>
              <w14:schemeClr w14:val="tx1"/>
            </w14:solidFill>
          </w14:textFill>
        </w:rPr>
        <w:t>理财委托</w:t>
      </w:r>
      <w:r>
        <w:rPr>
          <w:rFonts w:hint="eastAsia" w:ascii="黑体" w:hAnsi="黑体" w:eastAsia="黑体"/>
          <w:color w:val="000000" w:themeColor="text1"/>
          <w:sz w:val="20"/>
          <w:szCs w:val="20"/>
          <w14:textFill>
            <w14:solidFill>
              <w14:schemeClr w14:val="tx1"/>
            </w14:solidFill>
          </w14:textFill>
        </w:rPr>
        <w:t>在</w:t>
      </w:r>
      <w:r>
        <w:rPr>
          <w:rFonts w:ascii="黑体" w:hAnsi="黑体" w:eastAsia="黑体"/>
          <w:color w:val="000000" w:themeColor="text1"/>
          <w:sz w:val="20"/>
          <w:szCs w:val="20"/>
          <w14:textFill>
            <w14:solidFill>
              <w14:schemeClr w14:val="tx1"/>
            </w14:solidFill>
          </w14:textFill>
        </w:rPr>
        <w:t>其销售渠道</w:t>
      </w:r>
      <w:r>
        <w:rPr>
          <w:rFonts w:hint="eastAsia" w:ascii="黑体" w:hAnsi="黑体" w:eastAsia="黑体"/>
          <w:color w:val="000000" w:themeColor="text1"/>
          <w:sz w:val="20"/>
          <w:szCs w:val="20"/>
          <w14:textFill>
            <w14:solidFill>
              <w14:schemeClr w14:val="tx1"/>
            </w14:solidFill>
          </w14:textFill>
        </w:rPr>
        <w:t>代理</w:t>
      </w:r>
      <w:r>
        <w:rPr>
          <w:rFonts w:ascii="黑体" w:hAnsi="黑体" w:eastAsia="黑体"/>
          <w:color w:val="000000" w:themeColor="text1"/>
          <w:sz w:val="20"/>
          <w:szCs w:val="20"/>
          <w14:textFill>
            <w14:solidFill>
              <w14:schemeClr w14:val="tx1"/>
            </w14:solidFill>
          </w14:textFill>
        </w:rPr>
        <w:t>销售信银理财依法发行的理财产品的机构。</w:t>
      </w:r>
    </w:p>
    <w:p w14:paraId="3AE0654A">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10</w:t>
      </w:r>
      <w:r>
        <w:rPr>
          <w:rFonts w:hint="eastAsia" w:ascii="黑体" w:hAnsi="黑体" w:eastAsia="黑体"/>
          <w:color w:val="000000" w:themeColor="text1"/>
          <w:sz w:val="20"/>
          <w:szCs w:val="20"/>
          <w14:textFill>
            <w14:solidFill>
              <w14:schemeClr w14:val="tx1"/>
            </w14:solidFill>
          </w14:textFill>
        </w:rPr>
        <w:t>．监管</w:t>
      </w:r>
      <w:r>
        <w:rPr>
          <w:rFonts w:ascii="黑体" w:hAnsi="黑体" w:eastAsia="黑体"/>
          <w:color w:val="000000" w:themeColor="text1"/>
          <w:sz w:val="20"/>
          <w:szCs w:val="20"/>
          <w14:textFill>
            <w14:solidFill>
              <w14:schemeClr w14:val="tx1"/>
            </w14:solidFill>
          </w14:textFill>
        </w:rPr>
        <w:t>机构：</w:t>
      </w:r>
      <w:r>
        <w:rPr>
          <w:rFonts w:hint="eastAsia" w:ascii="黑体" w:hAnsi="黑体" w:eastAsia="黑体"/>
          <w:color w:val="000000" w:themeColor="text1"/>
          <w:sz w:val="20"/>
          <w:szCs w:val="20"/>
          <w14:textFill>
            <w14:solidFill>
              <w14:schemeClr w14:val="tx1"/>
            </w14:solidFill>
          </w14:textFill>
        </w:rPr>
        <w:t>指对管理人（包括理财产品管理人、理财</w:t>
      </w:r>
      <w:r>
        <w:rPr>
          <w:rFonts w:ascii="黑体" w:hAnsi="黑体" w:eastAsia="黑体"/>
          <w:color w:val="000000" w:themeColor="text1"/>
          <w:sz w:val="20"/>
          <w:szCs w:val="20"/>
          <w14:textFill>
            <w14:solidFill>
              <w14:schemeClr w14:val="tx1"/>
            </w14:solidFill>
          </w14:textFill>
        </w:rPr>
        <w:t>产品</w:t>
      </w:r>
      <w:r>
        <w:rPr>
          <w:rFonts w:hint="eastAsia" w:ascii="黑体" w:hAnsi="黑体" w:eastAsia="黑体"/>
          <w:color w:val="000000" w:themeColor="text1"/>
          <w:sz w:val="20"/>
          <w:szCs w:val="20"/>
          <w14:textFill>
            <w14:solidFill>
              <w14:schemeClr w14:val="tx1"/>
            </w14:solidFill>
          </w14:textFill>
        </w:rPr>
        <w:t>所投资的资管产品的管理人</w:t>
      </w:r>
      <w:r>
        <w:rPr>
          <w:rFonts w:ascii="黑体" w:hAnsi="黑体" w:eastAsia="黑体"/>
          <w:color w:val="000000" w:themeColor="text1"/>
          <w:sz w:val="20"/>
          <w:szCs w:val="20"/>
          <w14:textFill>
            <w14:solidFill>
              <w14:schemeClr w14:val="tx1"/>
            </w14:solidFill>
          </w14:textFill>
        </w:rPr>
        <w:t>/</w:t>
      </w:r>
      <w:r>
        <w:rPr>
          <w:rFonts w:hint="eastAsia" w:ascii="黑体" w:hAnsi="黑体" w:eastAsia="黑体"/>
          <w:color w:val="000000" w:themeColor="text1"/>
          <w:sz w:val="20"/>
          <w:szCs w:val="20"/>
          <w14:textFill>
            <w14:solidFill>
              <w14:schemeClr w14:val="tx1"/>
            </w14:solidFill>
          </w14:textFill>
        </w:rPr>
        <w:t>受托人、相关投资顾问（如有）等）实施监督管理的机构，包括但不限于中国人民银行、国家金融监督管理总局、中国证券监督管理委员会、外汇管理局、银行业理财登记托管中心等</w:t>
      </w:r>
      <w:r>
        <w:rPr>
          <w:rFonts w:ascii="黑体" w:hAnsi="黑体" w:eastAsia="黑体"/>
          <w:color w:val="000000" w:themeColor="text1"/>
          <w:sz w:val="20"/>
          <w:szCs w:val="20"/>
          <w14:textFill>
            <w14:solidFill>
              <w14:schemeClr w14:val="tx1"/>
            </w14:solidFill>
          </w14:textFill>
        </w:rPr>
        <w:t>。</w:t>
      </w:r>
    </w:p>
    <w:p w14:paraId="1F3C456F">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11</w:t>
      </w:r>
      <w:r>
        <w:rPr>
          <w:rFonts w:hint="eastAsia" w:ascii="黑体" w:hAnsi="黑体" w:eastAsia="黑体"/>
          <w:color w:val="000000" w:themeColor="text1"/>
          <w:sz w:val="20"/>
          <w:szCs w:val="20"/>
          <w14:textFill>
            <w14:solidFill>
              <w14:schemeClr w14:val="tx1"/>
            </w14:solidFill>
          </w14:textFill>
        </w:rPr>
        <w:t>．适用</w:t>
      </w:r>
      <w:r>
        <w:rPr>
          <w:rFonts w:ascii="黑体" w:hAnsi="黑体" w:eastAsia="黑体"/>
          <w:color w:val="000000" w:themeColor="text1"/>
          <w:sz w:val="20"/>
          <w:szCs w:val="20"/>
          <w14:textFill>
            <w14:solidFill>
              <w14:schemeClr w14:val="tx1"/>
            </w14:solidFill>
          </w14:textFill>
        </w:rPr>
        <w:t>法律：</w:t>
      </w:r>
      <w:r>
        <w:rPr>
          <w:rFonts w:hint="eastAsia" w:ascii="黑体" w:hAnsi="黑体" w:eastAsia="黑体"/>
          <w:color w:val="000000" w:themeColor="text1"/>
          <w:sz w:val="20"/>
          <w:szCs w:val="20"/>
          <w14:textFill>
            <w14:solidFill>
              <w14:schemeClr w14:val="tx1"/>
            </w14:solidFill>
          </w14:textFill>
        </w:rPr>
        <w:t>指中国任何立法机构、政府部门、银行间交易商协会、证券交易所、证券登记结算机构、基金业协会依法颁布的，适用于本理财产品相关事宜的法律、行政法规、地方法规、部委规章、地方政府规章、规范性文件、规则、通知、须知、业务指南、指引或操作规程，及其有效的修改、更新或补充。</w:t>
      </w:r>
    </w:p>
    <w:p w14:paraId="6F15ED87">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w:t>
      </w:r>
      <w:r>
        <w:rPr>
          <w:rFonts w:ascii="黑体" w:hAnsi="黑体" w:eastAsia="黑体"/>
          <w:color w:val="000000" w:themeColor="text1"/>
          <w:sz w:val="20"/>
          <w:szCs w:val="20"/>
          <w14:textFill>
            <w14:solidFill>
              <w14:schemeClr w14:val="tx1"/>
            </w14:solidFill>
          </w14:textFill>
        </w:rPr>
        <w:t>2</w:t>
      </w:r>
      <w:r>
        <w:rPr>
          <w:rFonts w:hint="eastAsia" w:ascii="黑体" w:hAnsi="黑体" w:eastAsia="黑体"/>
          <w:color w:val="000000" w:themeColor="text1"/>
          <w:sz w:val="20"/>
          <w:szCs w:val="20"/>
          <w14:textFill>
            <w14:solidFill>
              <w14:schemeClr w14:val="tx1"/>
            </w14:solidFill>
          </w14:textFill>
        </w:rPr>
        <w:t>．不可抗力：指理财</w:t>
      </w:r>
      <w:r>
        <w:rPr>
          <w:rFonts w:ascii="黑体" w:hAnsi="黑体" w:eastAsia="黑体"/>
          <w:color w:val="000000" w:themeColor="text1"/>
          <w:sz w:val="20"/>
          <w:szCs w:val="20"/>
          <w14:textFill>
            <w14:solidFill>
              <w14:schemeClr w14:val="tx1"/>
            </w14:solidFill>
          </w14:textFill>
        </w:rPr>
        <w:t>产品</w:t>
      </w:r>
      <w:r>
        <w:rPr>
          <w:rFonts w:hint="eastAsia" w:ascii="黑体" w:hAnsi="黑体" w:eastAsia="黑体"/>
          <w:color w:val="000000" w:themeColor="text1"/>
          <w:sz w:val="20"/>
          <w:szCs w:val="20"/>
          <w14:textFill>
            <w14:solidFill>
              <w14:schemeClr w14:val="tx1"/>
            </w14:solidFill>
          </w14:textFill>
        </w:rPr>
        <w:t>当事各方不能预见、不能避免且不能克服的客观情况，该事件妨碍、影响或延误任何一方依相关理财产品文件履行其全部或部分义务。该事件包括但不限于：</w:t>
      </w:r>
    </w:p>
    <w:p w14:paraId="75E15322">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1</w:t>
      </w:r>
      <w:r>
        <w:rPr>
          <w:rFonts w:hint="eastAsia" w:ascii="黑体" w:hAnsi="黑体" w:eastAsia="黑体"/>
          <w:color w:val="000000" w:themeColor="text1"/>
          <w:sz w:val="20"/>
          <w:szCs w:val="20"/>
          <w14:textFill>
            <w14:solidFill>
              <w14:schemeClr w14:val="tx1"/>
            </w14:solidFill>
          </w14:textFill>
        </w:rPr>
        <w:t>）地震、台风、海啸、洪水、火灾、停电、瘟疫；</w:t>
      </w:r>
    </w:p>
    <w:p w14:paraId="1C0670AA">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2</w:t>
      </w:r>
      <w:r>
        <w:rPr>
          <w:rFonts w:hint="eastAsia" w:ascii="黑体" w:hAnsi="黑体" w:eastAsia="黑体"/>
          <w:color w:val="000000" w:themeColor="text1"/>
          <w:sz w:val="20"/>
          <w:szCs w:val="20"/>
          <w14:textFill>
            <w14:solidFill>
              <w14:schemeClr w14:val="tx1"/>
            </w14:solidFill>
          </w14:textFill>
        </w:rPr>
        <w:t>）战争、政变、恐怖主义行动、骚乱、罢工；</w:t>
      </w:r>
    </w:p>
    <w:p w14:paraId="30674A54">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3</w:t>
      </w:r>
      <w:r>
        <w:rPr>
          <w:rFonts w:hint="eastAsia" w:ascii="黑体" w:hAnsi="黑体" w:eastAsia="黑体"/>
          <w:color w:val="000000" w:themeColor="text1"/>
          <w:sz w:val="20"/>
          <w:szCs w:val="20"/>
          <w14:textFill>
            <w14:solidFill>
              <w14:schemeClr w14:val="tx1"/>
            </w14:solidFill>
          </w14:textFill>
        </w:rPr>
        <w:t>）新的适用法律或国家政策的颁布或实施、对原适用法律或国家政策的修改；</w:t>
      </w:r>
    </w:p>
    <w:p w14:paraId="693C916F">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4</w:t>
      </w:r>
      <w:r>
        <w:rPr>
          <w:rFonts w:hint="eastAsia" w:ascii="黑体" w:hAnsi="黑体" w:eastAsia="黑体"/>
          <w:color w:val="000000" w:themeColor="text1"/>
          <w:sz w:val="20"/>
          <w:szCs w:val="20"/>
          <w14:textFill>
            <w14:solidFill>
              <w14:schemeClr w14:val="tx1"/>
            </w14:solidFill>
          </w14:textFill>
        </w:rPr>
        <w:t>）金融管理部门强制要求（该等强制要求不可归咎于任何一方）；</w:t>
      </w:r>
      <w:r>
        <w:rPr>
          <w:rFonts w:ascii="黑体" w:hAnsi="黑体" w:eastAsia="黑体"/>
          <w:color w:val="000000" w:themeColor="text1"/>
          <w:sz w:val="20"/>
          <w:szCs w:val="20"/>
          <w14:textFill>
            <w14:solidFill>
              <w14:schemeClr w14:val="tx1"/>
            </w14:solidFill>
          </w14:textFill>
        </w:rPr>
        <w:t xml:space="preserve"> </w:t>
      </w:r>
    </w:p>
    <w:p w14:paraId="4D3B7D1F">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5</w:t>
      </w:r>
      <w:r>
        <w:rPr>
          <w:rFonts w:hint="eastAsia" w:ascii="黑体" w:hAnsi="黑体" w:eastAsia="黑体"/>
          <w:color w:val="000000" w:themeColor="text1"/>
          <w:sz w:val="20"/>
          <w:szCs w:val="20"/>
          <w14:textFill>
            <w14:solidFill>
              <w14:schemeClr w14:val="tx1"/>
            </w14:solidFill>
          </w14:textFill>
        </w:rPr>
        <w:t>）因理财产品各方和</w:t>
      </w:r>
      <w:r>
        <w:rPr>
          <w:rFonts w:ascii="黑体" w:hAnsi="黑体" w:eastAsia="黑体"/>
          <w:color w:val="000000" w:themeColor="text1"/>
          <w:sz w:val="20"/>
          <w:szCs w:val="20"/>
          <w14:textFill>
            <w14:solidFill>
              <w14:schemeClr w14:val="tx1"/>
            </w14:solidFill>
          </w14:textFill>
        </w:rPr>
        <w:t>/</w:t>
      </w:r>
      <w:r>
        <w:rPr>
          <w:rFonts w:hint="eastAsia" w:ascii="黑体" w:hAnsi="黑体" w:eastAsia="黑体"/>
          <w:color w:val="000000" w:themeColor="text1"/>
          <w:sz w:val="20"/>
          <w:szCs w:val="20"/>
          <w14:textFill>
            <w14:solidFill>
              <w14:schemeClr w14:val="tx1"/>
            </w14:solidFill>
          </w14:textFill>
        </w:rPr>
        <w:t>或其关联方运营网络系统遭受黑客攻击、电信部门技术调整或故障等原因而造成的理财产品各方和</w:t>
      </w:r>
      <w:r>
        <w:rPr>
          <w:rFonts w:ascii="黑体" w:hAnsi="黑体" w:eastAsia="黑体"/>
          <w:color w:val="000000" w:themeColor="text1"/>
          <w:sz w:val="20"/>
          <w:szCs w:val="20"/>
          <w14:textFill>
            <w14:solidFill>
              <w14:schemeClr w14:val="tx1"/>
            </w14:solidFill>
          </w14:textFill>
        </w:rPr>
        <w:t>/</w:t>
      </w:r>
      <w:r>
        <w:rPr>
          <w:rFonts w:hint="eastAsia" w:ascii="黑体" w:hAnsi="黑体" w:eastAsia="黑体"/>
          <w:color w:val="000000" w:themeColor="text1"/>
          <w:sz w:val="20"/>
          <w:szCs w:val="20"/>
          <w14:textFill>
            <w14:solidFill>
              <w14:schemeClr w14:val="tx1"/>
            </w14:solidFill>
          </w14:textFill>
        </w:rPr>
        <w:t>或其关联方之服务、营业的中断或者延迟。</w:t>
      </w:r>
    </w:p>
    <w:p w14:paraId="7C6ECF82">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13．摆动定价机制：是指当产品遭遇大额认购或赎回时，通过调整理财产品份额净值的方式，将理财产品调整投资组合的市场冲击成本分配给实际认购、赎回的投资者，从而减少对存量理财产品份额持有人利益的不利影响。</w:t>
      </w:r>
    </w:p>
    <w:p w14:paraId="113A5F9F">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14．流动性受限资产：是指由于法律法规、监管、合同或操作障碍等原因无法以合理价格予以变现的资产，包括到期日在</w:t>
      </w:r>
      <w:r>
        <w:rPr>
          <w:rFonts w:ascii="黑体" w:hAnsi="黑体" w:eastAsia="黑体"/>
          <w:color w:val="000000" w:themeColor="text1"/>
          <w:sz w:val="20"/>
          <w:szCs w:val="20"/>
          <w14:textFill>
            <w14:solidFill>
              <w14:schemeClr w14:val="tx1"/>
            </w14:solidFill>
          </w14:textFill>
        </w:rPr>
        <w:t>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14:paraId="6C2703A9">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w:t>
      </w:r>
      <w:r>
        <w:rPr>
          <w:rFonts w:ascii="黑体" w:hAnsi="黑体" w:eastAsia="黑体"/>
          <w:color w:val="000000" w:themeColor="text1"/>
          <w:sz w:val="20"/>
          <w:szCs w:val="20"/>
          <w14:textFill>
            <w14:solidFill>
              <w14:schemeClr w14:val="tx1"/>
            </w14:solidFill>
          </w14:textFill>
        </w:rPr>
        <w:t>5</w:t>
      </w: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7个工作日可变现资产</w:t>
      </w: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包括可在交易所、银行间市场正常交易的股票、债券、非金融企业债务融资工具、期货及期权合约以及同业存单，7个工作日内到期或可支取的买入返售、银行存款，7个工作日内能够确认收到的各类应收款项等。</w:t>
      </w:r>
    </w:p>
    <w:p w14:paraId="7FB87732">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ascii="黑体" w:hAnsi="黑体" w:eastAsia="黑体"/>
          <w:color w:val="000000" w:themeColor="text1"/>
          <w:sz w:val="20"/>
          <w:szCs w:val="20"/>
          <w14:textFill>
            <w14:solidFill>
              <w14:schemeClr w14:val="tx1"/>
            </w14:solidFill>
          </w14:textFill>
        </w:rPr>
        <w:t>16</w:t>
      </w:r>
      <w:r>
        <w:rPr>
          <w:rFonts w:hint="eastAsia" w:ascii="黑体" w:hAnsi="黑体" w:eastAsia="黑体"/>
          <w:color w:val="000000" w:themeColor="text1"/>
          <w:sz w:val="20"/>
          <w:szCs w:val="20"/>
          <w14:textFill>
            <w14:solidFill>
              <w14:schemeClr w14:val="tx1"/>
            </w14:solidFill>
          </w14:textFill>
        </w:rPr>
        <w:t>．定期开放周期：</w:t>
      </w:r>
      <w:r>
        <w:rPr>
          <w:rFonts w:ascii="黑体" w:hAnsi="黑体" w:eastAsia="黑体"/>
          <w:color w:val="000000" w:themeColor="text1"/>
          <w:sz w:val="20"/>
          <w:szCs w:val="20"/>
          <w14:textFill>
            <w14:solidFill>
              <w14:schemeClr w14:val="tx1"/>
            </w14:solidFill>
          </w14:textFill>
        </w:rPr>
        <w:t>指定期开放式理财产品</w:t>
      </w:r>
      <w:r>
        <w:rPr>
          <w:rFonts w:hint="eastAsia" w:ascii="黑体" w:hAnsi="黑体" w:eastAsia="黑体"/>
          <w:color w:val="000000" w:themeColor="text1"/>
          <w:sz w:val="20"/>
          <w:szCs w:val="20"/>
          <w14:textFill>
            <w14:solidFill>
              <w14:schemeClr w14:val="tx1"/>
            </w14:solidFill>
          </w14:textFill>
        </w:rPr>
        <w:t>2个</w:t>
      </w:r>
      <w:r>
        <w:rPr>
          <w:rFonts w:ascii="黑体" w:hAnsi="黑体" w:eastAsia="黑体"/>
          <w:color w:val="000000" w:themeColor="text1"/>
          <w:sz w:val="20"/>
          <w:szCs w:val="20"/>
          <w14:textFill>
            <w14:solidFill>
              <w14:schemeClr w14:val="tx1"/>
            </w14:solidFill>
          </w14:textFill>
        </w:rPr>
        <w:t>开放期的最短间隔天数。</w:t>
      </w:r>
    </w:p>
    <w:p w14:paraId="13886490">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17．信银理财电子渠道：指信银理财官方网站（</w:t>
      </w:r>
      <w:r>
        <w:fldChar w:fldCharType="begin"/>
      </w:r>
      <w:r>
        <w:instrText xml:space="preserve"> HYPERLINK "http://www.citic-wealth.com" </w:instrText>
      </w:r>
      <w:r>
        <w:fldChar w:fldCharType="separate"/>
      </w:r>
      <w:r>
        <w:rPr>
          <w:rStyle w:val="11"/>
          <w:rFonts w:ascii="黑体" w:hAnsi="黑体" w:eastAsia="黑体"/>
          <w:sz w:val="20"/>
          <w:szCs w:val="20"/>
        </w:rPr>
        <w:t>http://www.citic-wealth.com</w:t>
      </w:r>
      <w:r>
        <w:rPr>
          <w:rStyle w:val="11"/>
          <w:rFonts w:ascii="黑体" w:hAnsi="黑体" w:eastAsia="黑体"/>
          <w:sz w:val="20"/>
          <w:szCs w:val="20"/>
        </w:rPr>
        <w:fldChar w:fldCharType="end"/>
      </w:r>
      <w:r>
        <w:rPr>
          <w:rFonts w:hint="eastAsia" w:ascii="黑体" w:hAnsi="黑体" w:eastAsia="黑体"/>
          <w:color w:val="000000" w:themeColor="text1"/>
          <w:sz w:val="20"/>
          <w:szCs w:val="20"/>
          <w14:textFill>
            <w14:solidFill>
              <w14:schemeClr w14:val="tx1"/>
            </w14:solidFill>
          </w14:textFill>
        </w:rPr>
        <w:t>）</w:t>
      </w:r>
      <w:r>
        <w:rPr>
          <w:rFonts w:ascii="黑体" w:hAnsi="黑体" w:eastAsia="黑体"/>
          <w:color w:val="000000" w:themeColor="text1"/>
          <w:sz w:val="20"/>
          <w:szCs w:val="20"/>
          <w14:textFill>
            <w14:solidFill>
              <w14:schemeClr w14:val="tx1"/>
            </w14:solidFill>
          </w14:textFill>
        </w:rPr>
        <w:t>、信银理财APP。</w:t>
      </w:r>
    </w:p>
    <w:p w14:paraId="0AFCCC17">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18．信银理财直销渠道：指信银理财电子渠道及营业场所。</w:t>
      </w:r>
    </w:p>
    <w:p w14:paraId="26AAE534">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19．销售机构：指信银理财及代销机构。</w:t>
      </w:r>
    </w:p>
    <w:p w14:paraId="40A38117">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20．理财产品合同：指本理财产品的《信银理财理财产品说明书》、《信银理财理财产品风险揭示书》和《信银理财理财产品投资协议书》及其不时有效修订与补充。</w:t>
      </w:r>
    </w:p>
    <w:p w14:paraId="53F60759">
      <w:pPr>
        <w:pStyle w:val="19"/>
        <w:numPr>
          <w:ilvl w:val="255"/>
          <w:numId w:val="0"/>
        </w:numPr>
        <w:spacing w:line="300" w:lineRule="atLeast"/>
        <w:ind w:firstLine="400" w:firstLineChars="200"/>
        <w:jc w:val="both"/>
        <w:rPr>
          <w:rFonts w:ascii="黑体" w:hAnsi="黑体" w:eastAsia="黑体"/>
          <w:color w:val="000000" w:themeColor="text1"/>
          <w:sz w:val="20"/>
          <w:szCs w:val="20"/>
          <w14:textFill>
            <w14:solidFill>
              <w14:schemeClr w14:val="tx1"/>
            </w14:solidFill>
          </w14:textFill>
        </w:rPr>
      </w:pPr>
      <w:r>
        <w:rPr>
          <w:rFonts w:hint="eastAsia" w:ascii="黑体" w:hAnsi="黑体" w:eastAsia="黑体"/>
          <w:color w:val="000000" w:themeColor="text1"/>
          <w:sz w:val="20"/>
          <w:szCs w:val="20"/>
          <w14:textFill>
            <w14:solidFill>
              <w14:schemeClr w14:val="tx1"/>
            </w14:solidFill>
          </w14:textFill>
        </w:rPr>
        <w:t>21．销售文件：指本理财产品的理财产品合同及《信银理财理财产品销售总协议》（含附件：客户权益须知专页）（或合作销售机构向投资者提供的理财产品销售协议文本）等文件及其不时有效修订与补充。</w:t>
      </w:r>
    </w:p>
    <w:p w14:paraId="5BA56C23">
      <w:pPr>
        <w:snapToGrid w:val="0"/>
        <w:ind w:left="-2" w:leftChars="-1" w:right="53" w:rightChars="22" w:firstLine="400" w:firstLineChars="200"/>
        <w:rPr>
          <w:rFonts w:ascii="黑体" w:hAnsi="Times New Roman" w:eastAsia="黑体"/>
          <w:color w:val="000000" w:themeColor="text1"/>
          <w:sz w:val="20"/>
          <w:szCs w:val="20"/>
          <w14:textFill>
            <w14:solidFill>
              <w14:schemeClr w14:val="tx1"/>
            </w14:solidFill>
          </w14:textFill>
        </w:rPr>
      </w:pPr>
    </w:p>
    <w:p w14:paraId="4050E095">
      <w:pPr>
        <w:snapToGrid w:val="0"/>
        <w:ind w:left="-2" w:leftChars="-1" w:right="53" w:rightChars="22"/>
        <w:rPr>
          <w:rFonts w:ascii="黑体" w:hAnsi="Times New Roman" w:eastAsia="黑体" w:cs="黑体"/>
          <w:b/>
          <w:bCs/>
          <w:color w:val="000000" w:themeColor="text1"/>
          <w:sz w:val="20"/>
          <w:szCs w:val="20"/>
          <w14:textFill>
            <w14:solidFill>
              <w14:schemeClr w14:val="tx1"/>
            </w14:solidFill>
          </w14:textFill>
        </w:rPr>
      </w:pPr>
      <w:r>
        <w:rPr>
          <w:rFonts w:ascii="黑体" w:hAnsi="Times New Roman" w:eastAsia="黑体" w:cs="黑体"/>
          <w:b/>
          <w:bCs/>
          <w:color w:val="000000" w:themeColor="text1"/>
          <w:sz w:val="20"/>
          <w:szCs w:val="20"/>
          <w14:textFill>
            <w14:solidFill>
              <w14:schemeClr w14:val="tx1"/>
            </w14:solidFill>
          </w14:textFill>
        </w:rPr>
        <w:t> </w:t>
      </w:r>
      <w:r>
        <w:rPr>
          <w:rFonts w:hint="eastAsia" w:ascii="黑体" w:hAnsi="Times New Roman" w:eastAsia="黑体" w:cs="黑体"/>
          <w:b/>
          <w:bCs/>
          <w:color w:val="000000" w:themeColor="text1"/>
          <w:sz w:val="20"/>
          <w:szCs w:val="20"/>
          <w14:textFill>
            <w14:solidFill>
              <w14:schemeClr w14:val="tx1"/>
            </w14:solidFill>
          </w14:textFill>
        </w:rPr>
        <w:t>理财产品风险评级及</w:t>
      </w:r>
      <w:r>
        <w:rPr>
          <w:rFonts w:ascii="黑体" w:hAnsi="Times New Roman" w:eastAsia="黑体" w:cs="黑体"/>
          <w:b/>
          <w:bCs/>
          <w:color w:val="000000" w:themeColor="text1"/>
          <w:sz w:val="20"/>
          <w:szCs w:val="20"/>
          <w14:textFill>
            <w14:solidFill>
              <w14:schemeClr w14:val="tx1"/>
            </w14:solidFill>
          </w14:textFill>
        </w:rPr>
        <w:t>与投资者</w:t>
      </w:r>
      <w:r>
        <w:rPr>
          <w:rFonts w:hint="eastAsia" w:ascii="黑体" w:hAnsi="Times New Roman" w:eastAsia="黑体" w:cs="黑体"/>
          <w:b/>
          <w:bCs/>
          <w:color w:val="000000" w:themeColor="text1"/>
          <w:sz w:val="20"/>
          <w:szCs w:val="20"/>
          <w14:textFill>
            <w14:solidFill>
              <w14:schemeClr w14:val="tx1"/>
            </w14:solidFill>
          </w14:textFill>
        </w:rPr>
        <w:t>类型</w:t>
      </w:r>
      <w:r>
        <w:rPr>
          <w:rFonts w:ascii="黑体" w:hAnsi="Times New Roman" w:eastAsia="黑体" w:cs="黑体"/>
          <w:b/>
          <w:bCs/>
          <w:color w:val="000000" w:themeColor="text1"/>
          <w:sz w:val="20"/>
          <w:szCs w:val="20"/>
          <w14:textFill>
            <w14:solidFill>
              <w14:schemeClr w14:val="tx1"/>
            </w14:solidFill>
          </w14:textFill>
        </w:rPr>
        <w:t>对应关系</w:t>
      </w:r>
      <w:r>
        <w:rPr>
          <w:rFonts w:hint="eastAsia" w:ascii="黑体" w:hAnsi="Times New Roman" w:eastAsia="黑体" w:cs="黑体"/>
          <w:b/>
          <w:bCs/>
          <w:color w:val="000000" w:themeColor="text1"/>
          <w:sz w:val="20"/>
          <w:szCs w:val="20"/>
          <w14:textFill>
            <w14:solidFill>
              <w14:schemeClr w14:val="tx1"/>
            </w14:solidFill>
          </w14:textFill>
        </w:rPr>
        <w:t>：</w:t>
      </w:r>
    </w:p>
    <w:p w14:paraId="224B0D63">
      <w:pPr>
        <w:snapToGrid w:val="0"/>
        <w:ind w:left="-2" w:leftChars="-1" w:right="53" w:rightChars="22"/>
        <w:rPr>
          <w:rFonts w:ascii="黑体" w:hAnsi="Times New Roman" w:eastAsia="黑体" w:cs="黑体"/>
          <w:b/>
          <w:bCs/>
          <w:color w:val="000000" w:themeColor="text1"/>
          <w:sz w:val="20"/>
          <w:szCs w:val="20"/>
          <w14:textFill>
            <w14:solidFill>
              <w14:schemeClr w14:val="tx1"/>
            </w14:solidFill>
          </w14:textFill>
        </w:rPr>
      </w:pP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62"/>
        <w:gridCol w:w="2554"/>
        <w:gridCol w:w="3412"/>
      </w:tblGrid>
      <w:tr w14:paraId="38A93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32FDC08B">
            <w:pPr>
              <w:adjustRightInd w:val="0"/>
              <w:jc w:val="center"/>
              <w:textAlignment w:val="baseline"/>
              <w:outlineLvl w:val="0"/>
              <w:rPr>
                <w:rFonts w:ascii="楷体" w:hAnsi="楷体" w:eastAsia="楷体" w:cs="楷体"/>
                <w:b/>
                <w:color w:val="000000"/>
              </w:rPr>
            </w:pPr>
            <w:r>
              <w:rPr>
                <w:rFonts w:hint="eastAsia" w:ascii="楷体" w:hAnsi="楷体" w:eastAsia="楷体" w:cs="楷体"/>
                <w:b/>
                <w:color w:val="000000"/>
              </w:rPr>
              <w:t>产品</w:t>
            </w:r>
            <w:r>
              <w:rPr>
                <w:rFonts w:ascii="楷体" w:hAnsi="楷体" w:eastAsia="楷体" w:cs="楷体"/>
                <w:b/>
                <w:color w:val="000000"/>
              </w:rPr>
              <w:t>风险评级</w:t>
            </w:r>
          </w:p>
        </w:tc>
        <w:tc>
          <w:tcPr>
            <w:tcW w:w="2710" w:type="dxa"/>
            <w:vAlign w:val="center"/>
          </w:tcPr>
          <w:p w14:paraId="26CB86A9">
            <w:pPr>
              <w:adjustRightInd w:val="0"/>
              <w:jc w:val="center"/>
              <w:textAlignment w:val="baseline"/>
              <w:outlineLvl w:val="0"/>
              <w:rPr>
                <w:rFonts w:ascii="楷体" w:hAnsi="楷体" w:eastAsia="楷体" w:cs="楷体"/>
                <w:b/>
                <w:color w:val="000000"/>
              </w:rPr>
            </w:pPr>
            <w:r>
              <w:rPr>
                <w:rFonts w:ascii="楷体" w:hAnsi="楷体" w:eastAsia="楷体" w:cs="楷体"/>
                <w:b/>
                <w:color w:val="000000"/>
              </w:rPr>
              <w:t>风险程度</w:t>
            </w:r>
          </w:p>
        </w:tc>
        <w:tc>
          <w:tcPr>
            <w:tcW w:w="3619" w:type="dxa"/>
            <w:vAlign w:val="center"/>
          </w:tcPr>
          <w:p w14:paraId="218A1567">
            <w:pPr>
              <w:adjustRightInd w:val="0"/>
              <w:jc w:val="center"/>
              <w:textAlignment w:val="baseline"/>
              <w:outlineLvl w:val="0"/>
              <w:rPr>
                <w:rFonts w:ascii="楷体" w:hAnsi="楷体" w:eastAsia="楷体" w:cs="楷体"/>
                <w:b/>
                <w:color w:val="000000"/>
              </w:rPr>
            </w:pPr>
            <w:r>
              <w:rPr>
                <w:rFonts w:hint="eastAsia" w:ascii="楷体" w:hAnsi="楷体" w:eastAsia="楷体" w:cs="楷体"/>
                <w:b/>
                <w:color w:val="000000"/>
                <w:kern w:val="2"/>
              </w:rPr>
              <w:t>适合投资者类型</w:t>
            </w:r>
          </w:p>
        </w:tc>
      </w:tr>
      <w:tr w14:paraId="1CEC9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4A1FC3F0">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PR1级</w:t>
            </w:r>
          </w:p>
        </w:tc>
        <w:tc>
          <w:tcPr>
            <w:tcW w:w="2710" w:type="dxa"/>
            <w:vAlign w:val="center"/>
          </w:tcPr>
          <w:p w14:paraId="151556EE">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低</w:t>
            </w:r>
          </w:p>
        </w:tc>
        <w:tc>
          <w:tcPr>
            <w:tcW w:w="3619" w:type="dxa"/>
            <w:vAlign w:val="center"/>
          </w:tcPr>
          <w:p w14:paraId="4215F3DB">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kern w:val="2"/>
                <w:sz w:val="21"/>
                <w:szCs w:val="21"/>
              </w:rPr>
              <w:t>谨慎型、稳健型、平衡型、进取型、激进型</w:t>
            </w:r>
          </w:p>
        </w:tc>
      </w:tr>
      <w:tr w14:paraId="725FF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580337BD">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PR2级</w:t>
            </w:r>
          </w:p>
        </w:tc>
        <w:tc>
          <w:tcPr>
            <w:tcW w:w="2710" w:type="dxa"/>
            <w:vAlign w:val="center"/>
          </w:tcPr>
          <w:p w14:paraId="16E94548">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中低</w:t>
            </w:r>
          </w:p>
        </w:tc>
        <w:tc>
          <w:tcPr>
            <w:tcW w:w="3619" w:type="dxa"/>
            <w:vAlign w:val="center"/>
          </w:tcPr>
          <w:p w14:paraId="61D6FA71">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kern w:val="2"/>
                <w:sz w:val="21"/>
                <w:szCs w:val="21"/>
              </w:rPr>
              <w:t>稳健型、平衡型、进取型、激进型</w:t>
            </w:r>
          </w:p>
        </w:tc>
      </w:tr>
      <w:tr w14:paraId="6D0E6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16823A2D">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PR3级</w:t>
            </w:r>
          </w:p>
        </w:tc>
        <w:tc>
          <w:tcPr>
            <w:tcW w:w="2710" w:type="dxa"/>
            <w:vAlign w:val="center"/>
          </w:tcPr>
          <w:p w14:paraId="238FFE2F">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中等</w:t>
            </w:r>
          </w:p>
        </w:tc>
        <w:tc>
          <w:tcPr>
            <w:tcW w:w="3619" w:type="dxa"/>
            <w:vAlign w:val="center"/>
          </w:tcPr>
          <w:p w14:paraId="545D1C56">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kern w:val="2"/>
                <w:sz w:val="21"/>
                <w:szCs w:val="21"/>
              </w:rPr>
              <w:t>平衡型、进取型、激进型</w:t>
            </w:r>
          </w:p>
        </w:tc>
      </w:tr>
      <w:tr w14:paraId="72E25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6FC75FC8">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PR4级</w:t>
            </w:r>
          </w:p>
        </w:tc>
        <w:tc>
          <w:tcPr>
            <w:tcW w:w="2710" w:type="dxa"/>
            <w:vAlign w:val="center"/>
          </w:tcPr>
          <w:p w14:paraId="71000AFD">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szCs w:val="21"/>
              </w:rPr>
              <w:t>中高</w:t>
            </w:r>
          </w:p>
        </w:tc>
        <w:tc>
          <w:tcPr>
            <w:tcW w:w="3619" w:type="dxa"/>
            <w:vAlign w:val="center"/>
          </w:tcPr>
          <w:p w14:paraId="360CB3FE">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kern w:val="2"/>
                <w:sz w:val="21"/>
                <w:szCs w:val="21"/>
              </w:rPr>
              <w:t>进取型、激进型</w:t>
            </w:r>
          </w:p>
        </w:tc>
      </w:tr>
      <w:tr w14:paraId="5CD33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2710" w:type="dxa"/>
            <w:vAlign w:val="center"/>
          </w:tcPr>
          <w:p w14:paraId="2CE83BDA">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PR5级</w:t>
            </w:r>
          </w:p>
        </w:tc>
        <w:tc>
          <w:tcPr>
            <w:tcW w:w="2710" w:type="dxa"/>
            <w:vAlign w:val="center"/>
          </w:tcPr>
          <w:p w14:paraId="782F679E">
            <w:pPr>
              <w:adjustRightInd w:val="0"/>
              <w:jc w:val="center"/>
              <w:textAlignment w:val="baseline"/>
              <w:outlineLvl w:val="0"/>
              <w:rPr>
                <w:rFonts w:ascii="楷体" w:hAnsi="楷体" w:eastAsia="楷体" w:cs="楷体"/>
                <w:color w:val="000000"/>
                <w:szCs w:val="21"/>
              </w:rPr>
            </w:pPr>
            <w:r>
              <w:rPr>
                <w:rFonts w:ascii="楷体" w:hAnsi="楷体" w:eastAsia="楷体" w:cs="楷体"/>
                <w:color w:val="000000"/>
                <w:szCs w:val="21"/>
              </w:rPr>
              <w:t>高</w:t>
            </w:r>
          </w:p>
        </w:tc>
        <w:tc>
          <w:tcPr>
            <w:tcW w:w="3619" w:type="dxa"/>
            <w:vAlign w:val="center"/>
          </w:tcPr>
          <w:p w14:paraId="3D95B0F4">
            <w:pPr>
              <w:adjustRightInd w:val="0"/>
              <w:jc w:val="center"/>
              <w:textAlignment w:val="baseline"/>
              <w:outlineLvl w:val="0"/>
              <w:rPr>
                <w:rFonts w:ascii="楷体" w:hAnsi="楷体" w:eastAsia="楷体" w:cs="楷体"/>
                <w:color w:val="000000"/>
                <w:szCs w:val="21"/>
              </w:rPr>
            </w:pPr>
            <w:r>
              <w:rPr>
                <w:rFonts w:hint="eastAsia" w:ascii="楷体" w:hAnsi="楷体" w:eastAsia="楷体" w:cs="楷体"/>
                <w:color w:val="000000"/>
                <w:kern w:val="2"/>
                <w:sz w:val="21"/>
                <w:szCs w:val="21"/>
              </w:rPr>
              <w:t>激进型</w:t>
            </w:r>
          </w:p>
        </w:tc>
      </w:tr>
    </w:tbl>
    <w:p w14:paraId="257DD839">
      <w:pPr>
        <w:snapToGrid w:val="0"/>
        <w:ind w:left="-2" w:leftChars="-1" w:right="53" w:rightChars="22" w:firstLine="422"/>
        <w:jc w:val="both"/>
        <w:rPr>
          <w:color w:val="000000" w:themeColor="text1"/>
          <w14:textFill>
            <w14:solidFill>
              <w14:schemeClr w14:val="tx1"/>
            </w14:solidFill>
          </w14:textFill>
        </w:rPr>
      </w:pPr>
    </w:p>
    <w:p w14:paraId="3EDB6492">
      <w:pPr>
        <w:snapToGrid w:val="0"/>
        <w:ind w:left="433" w:right="53" w:rightChars="22" w:hanging="435"/>
        <w:outlineLvl w:val="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一、</w:t>
      </w:r>
      <w:r>
        <w:rPr>
          <w:rFonts w:ascii="Times New Roman" w:hAnsi="Times New Roman" w:eastAsia="黑体"/>
          <w:color w:val="000000" w:themeColor="text1"/>
          <w:sz w:val="14"/>
          <w:szCs w:val="14"/>
          <w14:textFill>
            <w14:solidFill>
              <w14:schemeClr w14:val="tx1"/>
            </w14:solidFill>
          </w14:textFill>
        </w:rPr>
        <w:t xml:space="preserve"> </w:t>
      </w:r>
      <w:r>
        <w:rPr>
          <w:rFonts w:hint="eastAsia" w:ascii="黑体" w:hAnsi="Times New Roman" w:eastAsia="黑体" w:cs="黑体"/>
          <w:color w:val="000000" w:themeColor="text1"/>
          <w:sz w:val="20"/>
          <w:szCs w:val="20"/>
          <w14:textFill>
            <w14:solidFill>
              <w14:schemeClr w14:val="tx1"/>
            </w14:solidFill>
          </w14:textFill>
        </w:rPr>
        <w:t>产品投资范围</w:t>
      </w:r>
    </w:p>
    <w:p w14:paraId="4F68DED9">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1．产品</w:t>
      </w:r>
      <w:r>
        <w:rPr>
          <w:rFonts w:ascii="楷体_GB2312" w:eastAsia="楷体_GB2312"/>
          <w:color w:val="000000" w:themeColor="text1"/>
          <w:sz w:val="20"/>
          <w:szCs w:val="20"/>
          <w14:textFill>
            <w14:solidFill>
              <w14:schemeClr w14:val="tx1"/>
            </w14:solidFill>
          </w14:textFill>
        </w:rPr>
        <w:t>投资策略：</w:t>
      </w:r>
    </w:p>
    <w:p w14:paraId="2BDA1088">
      <w:pPr>
        <w:spacing w:line="300" w:lineRule="exact"/>
        <w:ind w:firstLine="400"/>
        <w:jc w:val="both"/>
        <w:rPr>
          <w:rFonts w:ascii="楷体_GB2312" w:eastAsia="楷体_GB2312"/>
          <w:color w:val="000000" w:themeColor="text1"/>
          <w:sz w:val="20"/>
          <w:szCs w:val="20"/>
          <w14:textFill>
            <w14:solidFill>
              <w14:schemeClr w14:val="tx1"/>
            </w14:solidFill>
          </w14:textFill>
        </w:rPr>
      </w:pPr>
      <w:r>
        <w:rPr>
          <w:rFonts w:hint="eastAsia" w:ascii="楷体_GB2312" w:hAnsi="楷体_GB2312" w:eastAsia="楷体_GB2312"/>
          <w:color w:val="000000" w:themeColor="text1"/>
          <w:sz w:val="20"/>
          <w:szCs w:val="20"/>
          <w14:textFill>
            <w14:solidFill>
              <w14:schemeClr w14:val="tx1"/>
            </w14:solidFill>
          </w14:textFill>
        </w:rPr>
        <w:t>本产品通过综合分析经济形势、货币政策、利率走势、行业状况、信用风险等因素，自上而下判断宏观趋势和利率趋势，并自下而上结合内部信用评级制度，分析企业的市场地位、管理水平、发展趋势和财务状况等，作为产品投资的重要依据，以获取长期稳定的收益，本产品不投资衍生品。</w:t>
      </w:r>
    </w:p>
    <w:p w14:paraId="3EAE1212">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2</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本理财产品存续期间，投资于以下投资对象：</w:t>
      </w:r>
    </w:p>
    <w:p w14:paraId="0C4DD0FC">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（1）债权类资产</w:t>
      </w:r>
    </w:p>
    <w:p w14:paraId="1176DEF8">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a</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货币市场类：现金</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存款、大额</w:t>
      </w:r>
      <w:r>
        <w:rPr>
          <w:rFonts w:ascii="楷体_GB2312" w:eastAsia="楷体_GB2312"/>
          <w:color w:val="000000" w:themeColor="text1"/>
          <w:sz w:val="20"/>
          <w:szCs w:val="20"/>
          <w14:textFill>
            <w14:solidFill>
              <w14:schemeClr w14:val="tx1"/>
            </w14:solidFill>
          </w14:textFill>
        </w:rPr>
        <w:t>存单、同业存单、</w:t>
      </w:r>
      <w:r>
        <w:rPr>
          <w:rFonts w:hint="eastAsia" w:ascii="楷体_GB2312" w:eastAsia="楷体_GB2312"/>
          <w:color w:val="000000" w:themeColor="text1"/>
          <w:sz w:val="20"/>
          <w:szCs w:val="20"/>
          <w14:textFill>
            <w14:solidFill>
              <w14:schemeClr w14:val="tx1"/>
            </w14:solidFill>
          </w14:textFill>
        </w:rPr>
        <w:t>货币基金、质押式回购和其他货币市场类资产；</w:t>
      </w:r>
    </w:p>
    <w:p w14:paraId="1B718801">
      <w:pPr>
        <w:spacing w:line="300" w:lineRule="exact"/>
        <w:ind w:firstLine="422"/>
        <w:jc w:val="both"/>
        <w:rPr>
          <w:rFonts w:ascii="Times New Roman" w:hAnsi="Times New Roman"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b.固定收益类：国债</w:t>
      </w:r>
      <w:r>
        <w:rPr>
          <w:rFonts w:ascii="楷体_GB2312" w:eastAsia="楷体_GB2312"/>
          <w:color w:val="000000" w:themeColor="text1"/>
          <w:sz w:val="20"/>
          <w:szCs w:val="20"/>
          <w14:textFill>
            <w14:solidFill>
              <w14:schemeClr w14:val="tx1"/>
            </w14:solidFill>
          </w14:textFill>
        </w:rPr>
        <w:t>、地方政府债券、中央银行票据、政府机构债券、金融债券、公司信用类债券、在银行间市场和证券交易所市场发行的</w:t>
      </w:r>
      <w:r>
        <w:rPr>
          <w:rFonts w:hint="eastAsia" w:ascii="楷体_GB2312" w:eastAsia="楷体_GB2312"/>
          <w:color w:val="000000" w:themeColor="text1"/>
          <w:sz w:val="20"/>
          <w:szCs w:val="20"/>
          <w14:textFill>
            <w14:solidFill>
              <w14:schemeClr w14:val="tx1"/>
            </w14:solidFill>
          </w14:textFill>
        </w:rPr>
        <w:t>资产支持证券、非公开定向债务融资工具、债券型</w:t>
      </w:r>
      <w:r>
        <w:rPr>
          <w:rFonts w:ascii="楷体_GB2312" w:eastAsia="楷体_GB2312"/>
          <w:color w:val="000000" w:themeColor="text1"/>
          <w:sz w:val="20"/>
          <w:szCs w:val="20"/>
          <w14:textFill>
            <w14:solidFill>
              <w14:schemeClr w14:val="tx1"/>
            </w14:solidFill>
          </w14:textFill>
        </w:rPr>
        <w:t>证券投资</w:t>
      </w:r>
      <w:r>
        <w:rPr>
          <w:rFonts w:hint="eastAsia" w:ascii="楷体_GB2312" w:eastAsia="楷体_GB2312"/>
          <w:color w:val="000000" w:themeColor="text1"/>
          <w:sz w:val="20"/>
          <w:szCs w:val="20"/>
          <w14:textFill>
            <w14:solidFill>
              <w14:schemeClr w14:val="tx1"/>
            </w14:solidFill>
          </w14:textFill>
        </w:rPr>
        <w:t>基金、</w:t>
      </w:r>
      <w:r>
        <w:rPr>
          <w:rFonts w:ascii="楷体_GB2312" w:eastAsia="楷体_GB2312"/>
          <w:color w:val="000000" w:themeColor="text1"/>
          <w:sz w:val="20"/>
          <w:szCs w:val="20"/>
          <w14:textFill>
            <w14:solidFill>
              <w14:schemeClr w14:val="tx1"/>
            </w14:solidFill>
          </w14:textFill>
        </w:rPr>
        <w:t>非标准化债权类资产</w:t>
      </w:r>
      <w:r>
        <w:rPr>
          <w:rFonts w:hint="eastAsia" w:ascii="楷体_GB2312" w:eastAsia="楷体_GB2312"/>
          <w:color w:val="000000" w:themeColor="text1"/>
          <w:sz w:val="20"/>
          <w:szCs w:val="20"/>
          <w14:textFill>
            <w14:solidFill>
              <w14:schemeClr w14:val="tx1"/>
            </w14:solidFill>
          </w14:textFill>
        </w:rPr>
        <w:t>和其他固定收益类资产；</w:t>
      </w:r>
    </w:p>
    <w:p w14:paraId="154243E2">
      <w:pPr>
        <w:spacing w:line="300" w:lineRule="exact"/>
        <w:ind w:firstLine="422"/>
        <w:jc w:val="both"/>
        <w:rPr>
          <w:rFonts w:ascii="Times New Roman" w:hAnsi="Times New Roman"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（2）</w:t>
      </w:r>
      <w:r>
        <w:rPr>
          <w:rFonts w:hint="eastAsia" w:ascii="Times New Roman" w:hAnsi="Times New Roman" w:eastAsia="楷体_GB2312"/>
          <w:color w:val="000000" w:themeColor="text1"/>
          <w:sz w:val="20"/>
          <w:szCs w:val="20"/>
          <w14:textFill>
            <w14:solidFill>
              <w14:schemeClr w14:val="tx1"/>
            </w14:solidFill>
          </w14:textFill>
        </w:rPr>
        <w:t>权益</w:t>
      </w:r>
      <w:r>
        <w:rPr>
          <w:rFonts w:ascii="Times New Roman" w:hAnsi="Times New Roman" w:eastAsia="楷体_GB2312"/>
          <w:color w:val="000000" w:themeColor="text1"/>
          <w:sz w:val="20"/>
          <w:szCs w:val="20"/>
          <w14:textFill>
            <w14:solidFill>
              <w14:schemeClr w14:val="tx1"/>
            </w14:solidFill>
          </w14:textFill>
        </w:rPr>
        <w:t>类</w:t>
      </w:r>
      <w:r>
        <w:rPr>
          <w:rFonts w:hint="eastAsia" w:ascii="Times New Roman" w:hAnsi="Times New Roman" w:eastAsia="楷体_GB2312"/>
          <w:color w:val="000000" w:themeColor="text1"/>
          <w:sz w:val="20"/>
          <w:szCs w:val="20"/>
          <w14:textFill>
            <w14:solidFill>
              <w14:schemeClr w14:val="tx1"/>
            </w14:solidFill>
          </w14:textFill>
        </w:rPr>
        <w:t>资产</w:t>
      </w:r>
      <w:r>
        <w:rPr>
          <w:rFonts w:ascii="Times New Roman" w:hAnsi="Times New Roman" w:eastAsia="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上市</w:t>
      </w:r>
      <w:r>
        <w:rPr>
          <w:rFonts w:ascii="楷体_GB2312" w:eastAsia="楷体_GB2312" w:cs="楷体_GB2312"/>
          <w:color w:val="000000" w:themeColor="text1"/>
          <w:sz w:val="20"/>
          <w:szCs w:val="20"/>
          <w14:textFill>
            <w14:solidFill>
              <w14:schemeClr w14:val="tx1"/>
            </w14:solidFill>
          </w14:textFill>
        </w:rPr>
        <w:t>交易</w:t>
      </w:r>
      <w:r>
        <w:rPr>
          <w:rFonts w:hint="eastAsia" w:ascii="楷体_GB2312" w:eastAsia="楷体_GB2312" w:cs="楷体_GB2312"/>
          <w:color w:val="000000" w:themeColor="text1"/>
          <w:sz w:val="20"/>
          <w:szCs w:val="20"/>
          <w14:textFill>
            <w14:solidFill>
              <w14:schemeClr w14:val="tx1"/>
            </w14:solidFill>
          </w14:textFill>
        </w:rPr>
        <w:t>的</w:t>
      </w:r>
      <w:r>
        <w:rPr>
          <w:rFonts w:ascii="楷体_GB2312" w:eastAsia="楷体_GB2312" w:cs="楷体_GB2312"/>
          <w:color w:val="000000" w:themeColor="text1"/>
          <w:sz w:val="20"/>
          <w:szCs w:val="20"/>
          <w14:textFill>
            <w14:solidFill>
              <w14:schemeClr w14:val="tx1"/>
            </w14:solidFill>
          </w14:textFill>
        </w:rPr>
        <w:t>股票以及法律法规允许或监管部门批准的其他具备权益特征的资产和资产组合</w:t>
      </w:r>
      <w:r>
        <w:rPr>
          <w:rFonts w:ascii="Times New Roman" w:hAnsi="Times New Roman" w:eastAsia="楷体_GB2312"/>
          <w:color w:val="000000" w:themeColor="text1"/>
          <w:sz w:val="20"/>
          <w:szCs w:val="20"/>
          <w14:textFill>
            <w14:solidFill>
              <w14:schemeClr w14:val="tx1"/>
            </w14:solidFill>
          </w14:textFill>
        </w:rPr>
        <w:t>。</w:t>
      </w:r>
    </w:p>
    <w:p w14:paraId="4C0A09EA">
      <w:pPr>
        <w:spacing w:line="300" w:lineRule="exact"/>
        <w:ind w:firstLine="422"/>
        <w:jc w:val="both"/>
        <w:rPr>
          <w:rFonts w:ascii="Times New Roman" w:hAnsi="Times New Roman"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（3）</w:t>
      </w:r>
      <w:r>
        <w:rPr>
          <w:rFonts w:hint="eastAsia" w:ascii="Times New Roman" w:hAnsi="Times New Roman" w:eastAsia="楷体_GB2312"/>
          <w:color w:val="000000" w:themeColor="text1"/>
          <w:sz w:val="20"/>
          <w:szCs w:val="20"/>
          <w14:textFill>
            <w14:solidFill>
              <w14:schemeClr w14:val="tx1"/>
            </w14:solidFill>
          </w14:textFill>
        </w:rPr>
        <w:t>商品</w:t>
      </w:r>
      <w:r>
        <w:rPr>
          <w:rFonts w:ascii="Times New Roman" w:hAnsi="Times New Roman" w:eastAsia="楷体_GB2312"/>
          <w:color w:val="000000" w:themeColor="text1"/>
          <w:sz w:val="20"/>
          <w:szCs w:val="20"/>
          <w14:textFill>
            <w14:solidFill>
              <w14:schemeClr w14:val="tx1"/>
            </w14:solidFill>
          </w14:textFill>
        </w:rPr>
        <w:t>及</w:t>
      </w:r>
      <w:r>
        <w:rPr>
          <w:rFonts w:hint="eastAsia" w:ascii="Times New Roman" w:hAnsi="Times New Roman" w:eastAsia="楷体_GB2312"/>
          <w:color w:val="000000" w:themeColor="text1"/>
          <w:sz w:val="20"/>
          <w:szCs w:val="20"/>
          <w14:textFill>
            <w14:solidFill>
              <w14:schemeClr w14:val="tx1"/>
            </w14:solidFill>
          </w14:textFill>
        </w:rPr>
        <w:t>金融</w:t>
      </w:r>
      <w:r>
        <w:rPr>
          <w:rFonts w:ascii="Times New Roman" w:hAnsi="Times New Roman" w:eastAsia="楷体_GB2312"/>
          <w:color w:val="000000" w:themeColor="text1"/>
          <w:sz w:val="20"/>
          <w:szCs w:val="20"/>
          <w14:textFill>
            <w14:solidFill>
              <w14:schemeClr w14:val="tx1"/>
            </w14:solidFill>
          </w14:textFill>
        </w:rPr>
        <w:t>衍生品类资产：</w:t>
      </w:r>
      <w:r>
        <w:rPr>
          <w:rFonts w:hint="eastAsia" w:ascii="Times New Roman" w:hAnsi="Times New Roman" w:eastAsia="楷体_GB2312"/>
          <w:color w:val="000000" w:themeColor="text1"/>
          <w:sz w:val="20"/>
          <w:szCs w:val="20"/>
          <w14:textFill>
            <w14:solidFill>
              <w14:schemeClr w14:val="tx1"/>
            </w14:solidFill>
          </w14:textFill>
        </w:rPr>
        <w:t>商品现货，互换</w:t>
      </w:r>
      <w:r>
        <w:rPr>
          <w:rFonts w:ascii="Times New Roman" w:hAnsi="Times New Roman" w:eastAsia="楷体_GB2312"/>
          <w:color w:val="000000" w:themeColor="text1"/>
          <w:sz w:val="20"/>
          <w:szCs w:val="20"/>
          <w14:textFill>
            <w14:solidFill>
              <w14:schemeClr w14:val="tx1"/>
            </w14:solidFill>
          </w14:textFill>
        </w:rPr>
        <w:t>、</w:t>
      </w:r>
      <w:r>
        <w:rPr>
          <w:rFonts w:hint="eastAsia" w:ascii="Times New Roman" w:hAnsi="Times New Roman" w:eastAsia="楷体_GB2312"/>
          <w:color w:val="000000" w:themeColor="text1"/>
          <w:sz w:val="20"/>
          <w:szCs w:val="20"/>
          <w14:textFill>
            <w14:solidFill>
              <w14:schemeClr w14:val="tx1"/>
            </w14:solidFill>
          </w14:textFill>
        </w:rPr>
        <w:t>远期、掉期、期货、期权、信用风险缓释工具等衍生工具及其他资产或者资产组合（管理人将通过其他资产管理产品以及其他符合法律法规的投资渠道和方式实现对商品及金融衍生品类资产的投资）。</w:t>
      </w:r>
    </w:p>
    <w:p w14:paraId="7FD46D37">
      <w:pPr>
        <w:spacing w:line="300" w:lineRule="exact"/>
        <w:ind w:firstLine="400" w:firstLineChars="200"/>
        <w:jc w:val="both"/>
        <w:rPr>
          <w:rFonts w:ascii="Times New Roman" w:hAnsi="Times New Roman"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3．</w:t>
      </w:r>
      <w:r>
        <w:rPr>
          <w:rFonts w:hint="eastAsia" w:ascii="Times New Roman" w:hAnsi="Times New Roman" w:eastAsia="楷体_GB2312"/>
          <w:color w:val="000000" w:themeColor="text1"/>
          <w:sz w:val="20"/>
          <w:szCs w:val="20"/>
          <w14:textFill>
            <w14:solidFill>
              <w14:schemeClr w14:val="tx1"/>
            </w14:solidFill>
          </w14:textFill>
        </w:rPr>
        <w:t>各</w:t>
      </w:r>
      <w:r>
        <w:rPr>
          <w:rFonts w:ascii="Times New Roman" w:hAnsi="Times New Roman" w:eastAsia="楷体_GB2312"/>
          <w:color w:val="000000" w:themeColor="text1"/>
          <w:sz w:val="20"/>
          <w:szCs w:val="20"/>
          <w14:textFill>
            <w14:solidFill>
              <w14:schemeClr w14:val="tx1"/>
            </w14:solidFill>
          </w14:textFill>
        </w:rPr>
        <w:t>投资对象投资比例为：</w:t>
      </w:r>
    </w:p>
    <w:tbl>
      <w:tblPr>
        <w:tblStyle w:val="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13"/>
        <w:gridCol w:w="3815"/>
      </w:tblGrid>
      <w:tr w14:paraId="3D7854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7DC3E7E9">
            <w:pPr>
              <w:ind w:right="29" w:rightChars="12"/>
              <w:jc w:val="center"/>
              <w:rPr>
                <w:rFonts w:ascii="楷体" w:hAnsi="楷体" w:eastAsia="楷体"/>
                <w:b/>
                <w:bCs/>
                <w:color w:val="000000" w:themeColor="text1"/>
                <w:sz w:val="20"/>
                <w:szCs w:val="20"/>
                <w14:textFill>
                  <w14:solidFill>
                    <w14:schemeClr w14:val="tx1"/>
                  </w14:solidFill>
                </w14:textFill>
              </w:rPr>
            </w:pPr>
            <w:r>
              <w:rPr>
                <w:rFonts w:hint="eastAsia" w:ascii="楷体" w:hAnsi="楷体" w:eastAsia="楷体"/>
                <w:b/>
                <w:bCs/>
                <w:color w:val="000000" w:themeColor="text1"/>
                <w:sz w:val="20"/>
                <w:szCs w:val="20"/>
                <w14:textFill>
                  <w14:solidFill>
                    <w14:schemeClr w14:val="tx1"/>
                  </w14:solidFill>
                </w14:textFill>
              </w:rPr>
              <w:t>资产种类</w:t>
            </w:r>
          </w:p>
        </w:tc>
        <w:tc>
          <w:tcPr>
            <w:tcW w:w="2237" w:type="pct"/>
            <w:vAlign w:val="center"/>
          </w:tcPr>
          <w:p w14:paraId="0F74556D">
            <w:pPr>
              <w:ind w:right="29" w:rightChars="12"/>
              <w:jc w:val="center"/>
              <w:rPr>
                <w:rFonts w:ascii="楷体" w:hAnsi="楷体" w:eastAsia="楷体"/>
                <w:b/>
                <w:bCs/>
                <w:color w:val="000000" w:themeColor="text1"/>
                <w:sz w:val="20"/>
                <w:szCs w:val="20"/>
                <w14:textFill>
                  <w14:solidFill>
                    <w14:schemeClr w14:val="tx1"/>
                  </w14:solidFill>
                </w14:textFill>
              </w:rPr>
            </w:pPr>
            <w:r>
              <w:rPr>
                <w:rFonts w:hint="eastAsia" w:ascii="楷体" w:hAnsi="楷体" w:eastAsia="楷体"/>
                <w:b/>
                <w:bCs/>
                <w:color w:val="000000" w:themeColor="text1"/>
                <w:sz w:val="20"/>
                <w:szCs w:val="20"/>
                <w14:textFill>
                  <w14:solidFill>
                    <w14:schemeClr w14:val="tx1"/>
                  </w14:solidFill>
                </w14:textFill>
              </w:rPr>
              <w:t>投资比例</w:t>
            </w:r>
          </w:p>
        </w:tc>
      </w:tr>
      <w:tr w14:paraId="4CA5A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6DE2186A">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债权类资产</w:t>
            </w:r>
          </w:p>
        </w:tc>
        <w:tc>
          <w:tcPr>
            <w:tcW w:w="2237" w:type="pct"/>
            <w:vAlign w:val="center"/>
          </w:tcPr>
          <w:p w14:paraId="6ABB5EFD">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w:t>
            </w:r>
            <w:r>
              <w:rPr>
                <w:rFonts w:ascii="楷体" w:hAnsi="楷体" w:eastAsia="楷体"/>
                <w:color w:val="000000" w:themeColor="text1"/>
                <w:sz w:val="20"/>
                <w:szCs w:val="20"/>
                <w14:textFill>
                  <w14:solidFill>
                    <w14:schemeClr w14:val="tx1"/>
                  </w14:solidFill>
                </w14:textFill>
              </w:rPr>
              <w:t>100%</w:t>
            </w:r>
            <w:r>
              <w:rPr>
                <w:rFonts w:hint="eastAsia" w:ascii="楷体" w:hAnsi="楷体" w:eastAsia="楷体"/>
                <w:color w:val="000000" w:themeColor="text1"/>
                <w:sz w:val="20"/>
                <w:szCs w:val="20"/>
                <w14:textFill>
                  <w14:solidFill>
                    <w14:schemeClr w14:val="tx1"/>
                  </w14:solidFill>
                </w14:textFill>
              </w:rPr>
              <w:t>】</w:t>
            </w:r>
          </w:p>
        </w:tc>
      </w:tr>
      <w:tr w14:paraId="575BC3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59F46E96">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其中</w:t>
            </w:r>
            <w:r>
              <w:rPr>
                <w:rFonts w:ascii="楷体" w:hAnsi="楷体" w:eastAsia="楷体"/>
                <w:color w:val="000000" w:themeColor="text1"/>
                <w:sz w:val="20"/>
                <w:szCs w:val="20"/>
                <w14:textFill>
                  <w14:solidFill>
                    <w14:schemeClr w14:val="tx1"/>
                  </w14:solidFill>
                </w14:textFill>
              </w:rPr>
              <w:t>，非标准化债权类资产</w:t>
            </w:r>
          </w:p>
        </w:tc>
        <w:tc>
          <w:tcPr>
            <w:tcW w:w="2237" w:type="pct"/>
            <w:vAlign w:val="center"/>
          </w:tcPr>
          <w:p w14:paraId="075FC5B4">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【0%</w:t>
            </w:r>
            <w:r>
              <w:rPr>
                <w:rFonts w:ascii="楷体" w:hAnsi="楷体" w:eastAsia="楷体"/>
                <w:color w:val="000000" w:themeColor="text1"/>
                <w:sz w:val="20"/>
                <w:szCs w:val="20"/>
                <w14:textFill>
                  <w14:solidFill>
                    <w14:schemeClr w14:val="tx1"/>
                  </w14:solidFill>
                </w14:textFill>
              </w:rPr>
              <w:t>】</w:t>
            </w:r>
          </w:p>
        </w:tc>
      </w:tr>
      <w:tr w14:paraId="0EF471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39B610DF">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权益类资产</w:t>
            </w:r>
          </w:p>
        </w:tc>
        <w:tc>
          <w:tcPr>
            <w:tcW w:w="2237" w:type="pct"/>
            <w:vAlign w:val="center"/>
          </w:tcPr>
          <w:p w14:paraId="73BF2347">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【0%】</w:t>
            </w:r>
          </w:p>
        </w:tc>
      </w:tr>
      <w:tr w14:paraId="6807C6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6F51FD56">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商品</w:t>
            </w:r>
            <w:r>
              <w:rPr>
                <w:rFonts w:ascii="楷体" w:hAnsi="楷体" w:eastAsia="楷体"/>
                <w:color w:val="000000" w:themeColor="text1"/>
                <w:sz w:val="20"/>
                <w:szCs w:val="20"/>
                <w14:textFill>
                  <w14:solidFill>
                    <w14:schemeClr w14:val="tx1"/>
                  </w14:solidFill>
                </w14:textFill>
              </w:rPr>
              <w:t>及</w:t>
            </w:r>
            <w:r>
              <w:rPr>
                <w:rFonts w:hint="eastAsia" w:ascii="楷体" w:hAnsi="楷体" w:eastAsia="楷体"/>
                <w:color w:val="000000" w:themeColor="text1"/>
                <w:sz w:val="20"/>
                <w:szCs w:val="20"/>
                <w14:textFill>
                  <w14:solidFill>
                    <w14:schemeClr w14:val="tx1"/>
                  </w14:solidFill>
                </w14:textFill>
              </w:rPr>
              <w:t>金融</w:t>
            </w:r>
            <w:r>
              <w:rPr>
                <w:rFonts w:ascii="楷体" w:hAnsi="楷体" w:eastAsia="楷体"/>
                <w:color w:val="000000" w:themeColor="text1"/>
                <w:sz w:val="20"/>
                <w:szCs w:val="20"/>
                <w14:textFill>
                  <w14:solidFill>
                    <w14:schemeClr w14:val="tx1"/>
                  </w14:solidFill>
                </w14:textFill>
              </w:rPr>
              <w:t>衍生品类</w:t>
            </w:r>
            <w:r>
              <w:rPr>
                <w:rFonts w:hint="eastAsia" w:ascii="楷体" w:hAnsi="楷体" w:eastAsia="楷体"/>
                <w:color w:val="000000" w:themeColor="text1"/>
                <w:sz w:val="20"/>
                <w:szCs w:val="20"/>
                <w14:textFill>
                  <w14:solidFill>
                    <w14:schemeClr w14:val="tx1"/>
                  </w14:solidFill>
                </w14:textFill>
              </w:rPr>
              <w:t>资产：持仓合约价值</w:t>
            </w:r>
          </w:p>
        </w:tc>
        <w:tc>
          <w:tcPr>
            <w:tcW w:w="2237" w:type="pct"/>
            <w:vAlign w:val="center"/>
          </w:tcPr>
          <w:p w14:paraId="3B018FC1">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【0%】</w:t>
            </w:r>
          </w:p>
        </w:tc>
      </w:tr>
      <w:tr w14:paraId="02B93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763" w:type="pct"/>
            <w:vAlign w:val="center"/>
          </w:tcPr>
          <w:p w14:paraId="12C5ED4E">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商品</w:t>
            </w:r>
            <w:r>
              <w:rPr>
                <w:rFonts w:ascii="楷体" w:hAnsi="楷体" w:eastAsia="楷体"/>
                <w:color w:val="000000" w:themeColor="text1"/>
                <w:sz w:val="20"/>
                <w:szCs w:val="20"/>
                <w14:textFill>
                  <w14:solidFill>
                    <w14:schemeClr w14:val="tx1"/>
                  </w14:solidFill>
                </w14:textFill>
              </w:rPr>
              <w:t>及</w:t>
            </w:r>
            <w:r>
              <w:rPr>
                <w:rFonts w:hint="eastAsia" w:ascii="楷体" w:hAnsi="楷体" w:eastAsia="楷体"/>
                <w:color w:val="000000" w:themeColor="text1"/>
                <w:sz w:val="20"/>
                <w:szCs w:val="20"/>
                <w14:textFill>
                  <w14:solidFill>
                    <w14:schemeClr w14:val="tx1"/>
                  </w14:solidFill>
                </w14:textFill>
              </w:rPr>
              <w:t>金融</w:t>
            </w:r>
            <w:r>
              <w:rPr>
                <w:rFonts w:ascii="楷体" w:hAnsi="楷体" w:eastAsia="楷体"/>
                <w:color w:val="000000" w:themeColor="text1"/>
                <w:sz w:val="20"/>
                <w:szCs w:val="20"/>
                <w14:textFill>
                  <w14:solidFill>
                    <w14:schemeClr w14:val="tx1"/>
                  </w14:solidFill>
                </w14:textFill>
              </w:rPr>
              <w:t>衍生品类</w:t>
            </w:r>
            <w:r>
              <w:rPr>
                <w:rFonts w:hint="eastAsia" w:ascii="楷体" w:hAnsi="楷体" w:eastAsia="楷体"/>
                <w:color w:val="000000" w:themeColor="text1"/>
                <w:sz w:val="20"/>
                <w:szCs w:val="20"/>
                <w14:textFill>
                  <w14:solidFill>
                    <w14:schemeClr w14:val="tx1"/>
                  </w14:solidFill>
                </w14:textFill>
              </w:rPr>
              <w:t>资产：衍生品账户权益</w:t>
            </w:r>
          </w:p>
        </w:tc>
        <w:tc>
          <w:tcPr>
            <w:tcW w:w="2237" w:type="pct"/>
            <w:vAlign w:val="center"/>
          </w:tcPr>
          <w:p w14:paraId="3F2F6CB9">
            <w:pPr>
              <w:ind w:right="29" w:rightChars="12"/>
              <w:jc w:val="center"/>
              <w:rPr>
                <w:rFonts w:ascii="楷体" w:hAnsi="楷体" w:eastAsia="楷体"/>
                <w:color w:val="000000" w:themeColor="text1"/>
                <w:sz w:val="20"/>
                <w:szCs w:val="20"/>
                <w14:textFill>
                  <w14:solidFill>
                    <w14:schemeClr w14:val="tx1"/>
                  </w14:solidFill>
                </w14:textFill>
              </w:rPr>
            </w:pPr>
            <w:r>
              <w:rPr>
                <w:rFonts w:hint="eastAsia" w:ascii="楷体" w:hAnsi="楷体" w:eastAsia="楷体"/>
                <w:color w:val="000000" w:themeColor="text1"/>
                <w:sz w:val="20"/>
                <w:szCs w:val="20"/>
                <w14:textFill>
                  <w14:solidFill>
                    <w14:schemeClr w14:val="tx1"/>
                  </w14:solidFill>
                </w14:textFill>
              </w:rPr>
              <w:t>【0%】</w:t>
            </w:r>
          </w:p>
        </w:tc>
      </w:tr>
    </w:tbl>
    <w:p w14:paraId="707FE9CE">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若本产品为商品及金融衍生品类产品，则上表中“持仓合约价值”及“衍生品账户权益”两项比例应同时满足；若本产品为其他类型产品，则上表中“持仓合约价值”及“衍生品账户权益”两项比例仅须满足其一。）</w:t>
      </w:r>
    </w:p>
    <w:p w14:paraId="69CEAFFF">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本产品可通过信托、证券、基金、期货、保险资产管理机构等依法设立的资产管理产品以及其他符合国家相关政策、法律法规的投资渠道和方式实现对上述投资品种的投资，且可以由资产名义持有人按公允价格转让本产品所投资的全部或部分投资标的。</w:t>
      </w:r>
    </w:p>
    <w:p w14:paraId="59E295C4">
      <w:pPr>
        <w:spacing w:line="300" w:lineRule="exact"/>
        <w:ind w:firstLine="400" w:firstLineChars="200"/>
        <w:jc w:val="both"/>
        <w:rPr>
          <w:rFonts w:ascii="楷体_GB2312" w:hAnsi="Times New Roman" w:eastAsia="楷体_GB2312"/>
          <w:color w:val="000000" w:themeColor="text1"/>
          <w:sz w:val="20"/>
          <w:szCs w:val="20"/>
          <w14:textFill>
            <w14:solidFill>
              <w14:schemeClr w14:val="tx1"/>
            </w14:solidFill>
          </w14:textFill>
        </w:rPr>
      </w:pPr>
      <w:r>
        <w:rPr>
          <w:rFonts w:hint="eastAsia" w:ascii="楷体_GB2312" w:hAnsi="Times New Roman" w:eastAsia="楷体_GB2312"/>
          <w:color w:val="000000" w:themeColor="text1"/>
          <w:sz w:val="20"/>
          <w:szCs w:val="20"/>
          <w14:textFill>
            <w14:solidFill>
              <w14:schemeClr w14:val="tx1"/>
            </w14:solidFill>
          </w14:textFill>
        </w:rPr>
        <w:t>产品管理人应确保本产品建仓期后投资比例符合前述要求，非因管理人主观因素导致突破前述比例限制的，管理人应在流动性受限资产可出售、可转让或者恢复交易的15个交易日内调整至符合要求，国务院银行业监督管理机构规定的特殊情形除外。</w:t>
      </w:r>
    </w:p>
    <w:p w14:paraId="72E07B7C">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本产品的上述投资范围将有可能随国家法律法规及监管政策的变化而进行调整，或信银理财基于勤勉尽职从投资者利益出发，对投资范围进行调整。在本产品存续期间，信银理财</w:t>
      </w:r>
      <w:r>
        <w:rPr>
          <w:rFonts w:ascii="楷体_GB2312" w:eastAsia="楷体_GB2312" w:cs="楷体_GB2312"/>
          <w:color w:val="000000" w:themeColor="text1"/>
          <w:sz w:val="20"/>
          <w:szCs w:val="20"/>
          <w14:textFill>
            <w14:solidFill>
              <w14:schemeClr w14:val="tx1"/>
            </w14:solidFill>
          </w14:textFill>
        </w:rPr>
        <w:t>有权根据市场情况，在不损害投资者利益且根据</w:t>
      </w:r>
      <w:r>
        <w:rPr>
          <w:rFonts w:hint="eastAsia" w:ascii="楷体_GB2312" w:eastAsia="楷体_GB2312" w:cs="楷体_GB2312"/>
          <w:color w:val="000000" w:themeColor="text1"/>
          <w:sz w:val="20"/>
          <w:szCs w:val="20"/>
          <w14:textFill>
            <w14:solidFill>
              <w14:schemeClr w14:val="tx1"/>
            </w14:solidFill>
          </w14:textFill>
        </w:rPr>
        <w:t>本</w:t>
      </w:r>
      <w:r>
        <w:rPr>
          <w:rFonts w:ascii="楷体_GB2312" w:eastAsia="楷体_GB2312" w:cs="楷体_GB2312"/>
          <w:color w:val="000000" w:themeColor="text1"/>
          <w:sz w:val="20"/>
          <w:szCs w:val="20"/>
          <w14:textFill>
            <w14:solidFill>
              <w14:schemeClr w14:val="tx1"/>
            </w14:solidFill>
          </w14:textFill>
        </w:rPr>
        <w:t>说明书约定提前</w:t>
      </w:r>
      <w:r>
        <w:rPr>
          <w:rFonts w:hint="eastAsia" w:ascii="楷体_GB2312" w:eastAsia="楷体_GB2312" w:cs="楷体_GB2312"/>
          <w:color w:val="000000" w:themeColor="text1"/>
          <w:sz w:val="20"/>
          <w:szCs w:val="20"/>
          <w14:textFill>
            <w14:solidFill>
              <w14:schemeClr w14:val="tx1"/>
            </w14:solidFill>
          </w14:textFill>
        </w:rPr>
        <w:t>通知</w:t>
      </w:r>
      <w:r>
        <w:rPr>
          <w:rFonts w:ascii="楷体_GB2312" w:eastAsia="楷体_GB2312" w:cs="楷体_GB2312"/>
          <w:color w:val="000000" w:themeColor="text1"/>
          <w:sz w:val="20"/>
          <w:szCs w:val="20"/>
          <w14:textFill>
            <w14:solidFill>
              <w14:schemeClr w14:val="tx1"/>
            </w14:solidFill>
          </w14:textFill>
        </w:rPr>
        <w:t>投资者的情况下，对本</w:t>
      </w:r>
      <w:r>
        <w:rPr>
          <w:rFonts w:hint="eastAsia" w:ascii="楷体_GB2312" w:eastAsia="楷体_GB2312" w:cs="楷体_GB2312"/>
          <w:color w:val="000000" w:themeColor="text1"/>
          <w:sz w:val="20"/>
          <w:szCs w:val="20"/>
          <w14:textFill>
            <w14:solidFill>
              <w14:schemeClr w14:val="tx1"/>
            </w14:solidFill>
          </w14:textFill>
        </w:rPr>
        <w:t>产品</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投资范围、投资品种或投资比例进行</w:t>
      </w:r>
      <w:r>
        <w:rPr>
          <w:rFonts w:ascii="楷体_GB2312" w:eastAsia="楷体_GB2312" w:cs="楷体_GB2312"/>
          <w:color w:val="000000" w:themeColor="text1"/>
          <w:sz w:val="20"/>
          <w:szCs w:val="20"/>
          <w14:textFill>
            <w14:solidFill>
              <w14:schemeClr w14:val="tx1"/>
            </w14:solidFill>
          </w14:textFill>
        </w:rPr>
        <w:t>调整</w:t>
      </w:r>
      <w:r>
        <w:rPr>
          <w:rFonts w:hint="eastAsia" w:ascii="楷体_GB2312" w:eastAsia="楷体_GB2312" w:cs="楷体_GB2312"/>
          <w:color w:val="000000" w:themeColor="text1"/>
          <w:sz w:val="20"/>
          <w:szCs w:val="20"/>
          <w14:textFill>
            <w14:solidFill>
              <w14:schemeClr w14:val="tx1"/>
            </w14:solidFill>
          </w14:textFill>
        </w:rPr>
        <w:t>。投资者</w:t>
      </w:r>
      <w:r>
        <w:rPr>
          <w:rFonts w:ascii="楷体_GB2312" w:eastAsia="楷体_GB2312" w:cs="楷体_GB2312"/>
          <w:color w:val="000000" w:themeColor="text1"/>
          <w:sz w:val="20"/>
          <w:szCs w:val="20"/>
          <w14:textFill>
            <w14:solidFill>
              <w14:schemeClr w14:val="tx1"/>
            </w14:solidFill>
          </w14:textFill>
        </w:rPr>
        <w:t>不接受的，可</w:t>
      </w:r>
      <w:r>
        <w:rPr>
          <w:rFonts w:hint="eastAsia" w:ascii="楷体_GB2312" w:eastAsia="楷体_GB2312" w:cs="楷体_GB2312"/>
          <w:color w:val="000000" w:themeColor="text1"/>
          <w:sz w:val="20"/>
          <w:szCs w:val="20"/>
          <w14:textFill>
            <w14:solidFill>
              <w14:schemeClr w14:val="tx1"/>
            </w14:solidFill>
          </w14:textFill>
        </w:rPr>
        <w:t>于</w:t>
      </w:r>
      <w:r>
        <w:rPr>
          <w:rFonts w:ascii="楷体_GB2312" w:eastAsia="楷体_GB2312" w:cs="楷体_GB2312"/>
          <w:color w:val="000000" w:themeColor="text1"/>
          <w:sz w:val="20"/>
          <w:szCs w:val="20"/>
          <w14:textFill>
            <w14:solidFill>
              <w14:schemeClr w14:val="tx1"/>
            </w14:solidFill>
          </w14:textFill>
        </w:rPr>
        <w:t>最近一期开放日赎回理财产品。</w:t>
      </w:r>
      <w:r>
        <w:rPr>
          <w:rFonts w:hint="eastAsia" w:ascii="楷体_GB2312" w:eastAsia="楷体_GB2312" w:cs="楷体_GB2312"/>
          <w:color w:val="000000" w:themeColor="text1"/>
          <w:sz w:val="20"/>
          <w:szCs w:val="20"/>
          <w14:textFill>
            <w14:solidFill>
              <w14:schemeClr w14:val="tx1"/>
            </w14:solidFill>
          </w14:textFill>
        </w:rPr>
        <w:t>除</w:t>
      </w:r>
      <w:r>
        <w:rPr>
          <w:rFonts w:ascii="楷体_GB2312" w:eastAsia="楷体_GB2312" w:cs="楷体_GB2312"/>
          <w:color w:val="000000" w:themeColor="text1"/>
          <w:sz w:val="20"/>
          <w:szCs w:val="20"/>
          <w14:textFill>
            <w14:solidFill>
              <w14:schemeClr w14:val="tx1"/>
            </w14:solidFill>
          </w14:textFill>
        </w:rPr>
        <w:t>高风险类型的产品超出比例范围投资较低风险资产外，</w:t>
      </w:r>
      <w:r>
        <w:rPr>
          <w:rFonts w:hint="eastAsia" w:ascii="楷体_GB2312" w:eastAsia="楷体_GB2312" w:cs="楷体_GB2312"/>
          <w:color w:val="000000" w:themeColor="text1"/>
          <w:sz w:val="20"/>
          <w:szCs w:val="20"/>
          <w14:textFill>
            <w14:solidFill>
              <w14:schemeClr w14:val="tx1"/>
            </w14:solidFill>
          </w14:textFill>
        </w:rPr>
        <w:t>产品管理人应按</w:t>
      </w:r>
      <w:r>
        <w:rPr>
          <w:rFonts w:ascii="楷体_GB2312" w:eastAsia="楷体_GB2312" w:cs="楷体_GB2312"/>
          <w:color w:val="000000" w:themeColor="text1"/>
          <w:sz w:val="20"/>
          <w:szCs w:val="20"/>
          <w14:textFill>
            <w14:solidFill>
              <w14:schemeClr w14:val="tx1"/>
            </w14:solidFill>
          </w14:textFill>
        </w:rPr>
        <w:t>监管要求</w:t>
      </w:r>
      <w:r>
        <w:rPr>
          <w:rFonts w:hint="eastAsia" w:ascii="楷体_GB2312" w:eastAsia="楷体_GB2312" w:cs="楷体_GB2312"/>
          <w:color w:val="000000" w:themeColor="text1"/>
          <w:sz w:val="20"/>
          <w:szCs w:val="20"/>
          <w14:textFill>
            <w14:solidFill>
              <w14:schemeClr w14:val="tx1"/>
            </w14:solidFill>
          </w14:textFill>
        </w:rPr>
        <w:t>提前</w:t>
      </w:r>
      <w:r>
        <w:rPr>
          <w:rFonts w:ascii="楷体_GB2312" w:eastAsia="楷体_GB2312" w:cs="楷体_GB2312"/>
          <w:color w:val="000000" w:themeColor="text1"/>
          <w:sz w:val="20"/>
          <w:szCs w:val="20"/>
          <w14:textFill>
            <w14:solidFill>
              <w14:schemeClr w14:val="tx1"/>
            </w14:solidFill>
          </w14:textFill>
        </w:rPr>
        <w:t>取得投资者书面同意</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并履行登记备案等法律法规以及金融监督管理部门规定的程序。</w:t>
      </w:r>
    </w:p>
    <w:p w14:paraId="2B07BE2B">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4．</w:t>
      </w:r>
      <w:r>
        <w:rPr>
          <w:rFonts w:hint="eastAsia" w:ascii="楷体_GB2312" w:hAnsi="Times New Roman" w:eastAsia="楷体_GB2312" w:cs="楷体_GB2312"/>
          <w:color w:val="000000" w:themeColor="text1"/>
          <w:sz w:val="20"/>
          <w:szCs w:val="20"/>
          <w14:textFill>
            <w14:solidFill>
              <w14:schemeClr w14:val="tx1"/>
            </w14:solidFill>
          </w14:textFill>
        </w:rPr>
        <w:t>投资限制：</w:t>
      </w:r>
    </w:p>
    <w:p w14:paraId="07B138B3">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（1）本产品总资产不得超过净资产的140%；</w:t>
      </w:r>
    </w:p>
    <w:p w14:paraId="716EEE13">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 xml:space="preserve">（2）产品定期开放周期不低于90天的，在开放日及开放日前7个工作日内持有现金或者到期日在一年以内的国债、中央银行票据和政策性金融债券比例应不低于产品净资产的5%。产品定期开放周期低于90天的，应保证每日日终现金或者到期日在一年以内的国债、中央银行票据和政策性金融债券比例不低于产品净资产的5%; </w:t>
      </w:r>
    </w:p>
    <w:p w14:paraId="6404A138">
      <w:pPr>
        <w:spacing w:line="300" w:lineRule="exact"/>
        <w:ind w:firstLine="400" w:firstLineChars="200"/>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3）本产品投资单只证券或者单只证券投资基金的市值不得超过产品净资产的10%，投资于国债、地方政府债券、中央银行票据、政府机构债券、政策性金融债券以及完全按照有关指数的构成比例进行投资的除外；非因产品管理人主观因素导致突破前述比例限制的，产品管理人应当在流动性受限资产可出售、可转让或者恢复交易的10个交易日内调整至符合要求，国务院银行业监督管理机构规定的特殊情形除外。</w:t>
      </w:r>
    </w:p>
    <w:p w14:paraId="0C29927D">
      <w:pPr>
        <w:spacing w:line="300" w:lineRule="exact"/>
        <w:ind w:firstLine="426" w:firstLineChars="213"/>
        <w:jc w:val="both"/>
        <w:rPr>
          <w:rFonts w:ascii="楷体_GB2312" w:hAnsi="Times New Roman" w:eastAsia="楷体_GB2312" w:cs="楷体_GB2312"/>
          <w:b/>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（4）</w:t>
      </w:r>
      <w:r>
        <w:rPr>
          <w:rFonts w:hint="eastAsia" w:ascii="楷体_GB2312" w:hAnsi="Times New Roman" w:eastAsia="楷体_GB2312" w:cs="楷体_GB2312"/>
          <w:b/>
          <w:color w:val="000000" w:themeColor="text1"/>
          <w:sz w:val="20"/>
          <w:szCs w:val="20"/>
          <w14:textFill>
            <w14:solidFill>
              <w14:schemeClr w14:val="tx1"/>
            </w14:solidFill>
          </w14:textFill>
        </w:rPr>
        <w:t>不得同时出现下述情形:</w:t>
      </w:r>
    </w:p>
    <w:p w14:paraId="04FD2332">
      <w:pPr>
        <w:spacing w:line="300" w:lineRule="exact"/>
        <w:ind w:firstLine="426" w:firstLineChars="213"/>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（a）计划投资不存在活跃交易市场，并且需要采用估值技术确定公允价值的资产；</w:t>
      </w:r>
    </w:p>
    <w:p w14:paraId="71B0373B">
      <w:pPr>
        <w:spacing w:line="300" w:lineRule="exact"/>
        <w:ind w:firstLine="426" w:firstLineChars="213"/>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（b）计划投资上述资产的比例达到产品净资产50%以上。</w:t>
      </w:r>
    </w:p>
    <w:p w14:paraId="1CA2D807">
      <w:pPr>
        <w:spacing w:line="300" w:lineRule="exact"/>
        <w:ind w:firstLine="426" w:firstLineChars="213"/>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（5）</w:t>
      </w:r>
      <w:r>
        <w:rPr>
          <w:rFonts w:hint="eastAsia" w:ascii="楷体_GB2312" w:hAnsi="Times New Roman" w:eastAsia="楷体_GB2312" w:cs="楷体_GB2312"/>
          <w:b/>
          <w:color w:val="000000" w:themeColor="text1"/>
          <w:sz w:val="20"/>
          <w:szCs w:val="20"/>
          <w14:textFill>
            <w14:solidFill>
              <w14:schemeClr w14:val="tx1"/>
            </w14:solidFill>
          </w14:textFill>
        </w:rPr>
        <w:t>本产品单一投资者持有份额不得超过产品总份额的50%。</w:t>
      </w:r>
      <w:r>
        <w:rPr>
          <w:rFonts w:hint="eastAsia" w:ascii="楷体_GB2312" w:hAnsi="Times New Roman" w:eastAsia="楷体_GB2312" w:cs="楷体_GB2312"/>
          <w:color w:val="000000" w:themeColor="text1"/>
          <w:sz w:val="20"/>
          <w:szCs w:val="20"/>
          <w14:textFill>
            <w14:solidFill>
              <w14:schemeClr w14:val="tx1"/>
            </w14:solidFill>
          </w14:textFill>
        </w:rPr>
        <w:t>在该种情形下，非因管理人主观因素导致突破前款规定比例限制的，在单一投资者持有比例降至50%以下之前，管理人不得再接受该投资者对该理财产品的认购/申购申请。</w:t>
      </w:r>
    </w:p>
    <w:p w14:paraId="6CA0A54C">
      <w:pPr>
        <w:spacing w:line="300" w:lineRule="exact"/>
        <w:ind w:firstLine="426" w:firstLineChars="213"/>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6）直接投资于流动性受限资产的市值在开放日不得超过产品资产净值的15%。因证券市场波动、上市公司股票停牌、理财产品规模变动等因素导致理财产品不符合本条规定比例限制的，不得主动新增投资流动性受限资产。</w:t>
      </w:r>
    </w:p>
    <w:p w14:paraId="651FD242">
      <w:pPr>
        <w:spacing w:line="300" w:lineRule="exact"/>
        <w:ind w:firstLine="426" w:firstLineChars="213"/>
        <w:jc w:val="both"/>
        <w:rPr>
          <w:rFonts w:ascii="楷体_GB2312" w:hAnsi="Times New Roman"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（7）在开放日前一工作日内，7个工作日可变现资产的可变现价值应当不低于该产品资产净值的10%。</w:t>
      </w:r>
    </w:p>
    <w:p w14:paraId="215CFD8C">
      <w:pPr>
        <w:spacing w:line="300" w:lineRule="exact"/>
        <w:ind w:firstLine="400" w:firstLineChars="200"/>
        <w:jc w:val="both"/>
        <w:rPr>
          <w:rFonts w:ascii="Times New Roman" w:hAnsi="Times New Roman" w:eastAsia="楷体_GB2312" w:cs="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5．</w:t>
      </w:r>
      <w:r>
        <w:rPr>
          <w:rFonts w:hint="eastAsia" w:ascii="Times New Roman" w:hAnsi="Times New Roman" w:eastAsia="楷体_GB2312" w:cs="楷体_GB2312"/>
          <w:color w:val="000000" w:themeColor="text1"/>
          <w:sz w:val="20"/>
          <w:szCs w:val="20"/>
          <w14:textFill>
            <w14:solidFill>
              <w14:schemeClr w14:val="tx1"/>
            </w14:solidFill>
          </w14:textFill>
        </w:rPr>
        <w:t>投资合作机构指理财产品所投资资产管理产品的发行机构、根据合同约定从事理财产品受托投资的机构以及与理财产品投资管理相关的投资顾问等机构。投资合作机构的主要职责为进行受托资金的投资管理、根据合同约定从事受托投资或提供投资顾问等服务，具体职责以管理人与投资合作机构签署的合同为准。</w:t>
      </w:r>
    </w:p>
    <w:p w14:paraId="6D297C46">
      <w:pPr>
        <w:spacing w:line="300" w:lineRule="exact"/>
        <w:ind w:firstLine="400" w:firstLineChars="200"/>
        <w:jc w:val="both"/>
        <w:rPr>
          <w:rFonts w:ascii="Times New Roman" w:hAnsi="Times New Roman" w:eastAsia="楷体_GB2312" w:cs="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6.</w:t>
      </w:r>
      <w:r>
        <w:rPr>
          <w:rFonts w:hint="eastAsia" w:ascii="Times New Roman" w:hAnsi="Times New Roman" w:eastAsia="楷体_GB2312" w:cs="楷体_GB2312"/>
          <w:color w:val="000000" w:themeColor="text1"/>
          <w:sz w:val="20"/>
          <w:szCs w:val="20"/>
          <w14:textFill>
            <w14:solidFill>
              <w14:schemeClr w14:val="tx1"/>
            </w14:solidFill>
          </w14:textFill>
        </w:rPr>
        <w:t>在合法合规且履行应履行的内外部程序后，理财产品可能与管理人及其控股股东、实际控制人等发生关联交易。</w:t>
      </w:r>
    </w:p>
    <w:p w14:paraId="6CC6CF60">
      <w:pPr>
        <w:spacing w:line="300" w:lineRule="exact"/>
        <w:ind w:firstLine="400" w:firstLineChars="200"/>
        <w:jc w:val="both"/>
        <w:rPr>
          <w:rFonts w:ascii="Times New Roman" w:hAnsi="Times New Roman" w:eastAsia="楷体_GB2312" w:cs="楷体_GB2312"/>
          <w:color w:val="000000" w:themeColor="text1"/>
          <w:sz w:val="20"/>
          <w:szCs w:val="20"/>
          <w14:textFill>
            <w14:solidFill>
              <w14:schemeClr w14:val="tx1"/>
            </w14:solidFill>
          </w14:textFill>
        </w:rPr>
      </w:pPr>
    </w:p>
    <w:p w14:paraId="09BDB215">
      <w:pPr>
        <w:snapToGrid w:val="0"/>
        <w:ind w:left="-2" w:leftChars="-1" w:right="53" w:rightChars="22"/>
        <w:outlineLvl w:val="0"/>
        <w:rPr>
          <w:color w:val="000000" w:themeColor="text1"/>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二、产品基本要素</w:t>
      </w:r>
    </w:p>
    <w:tbl>
      <w:tblPr>
        <w:tblStyle w:val="8"/>
        <w:tblW w:w="5000" w:type="pct"/>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9"/>
        <w:gridCol w:w="6379"/>
      </w:tblGrid>
      <w:tr w14:paraId="65B7D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75DD352F">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产品名称</w:t>
            </w:r>
          </w:p>
        </w:tc>
        <w:tc>
          <w:tcPr>
            <w:tcW w:w="3740" w:type="pct"/>
            <w:vAlign w:val="center"/>
          </w:tcPr>
          <w:p w14:paraId="3C4F9F3D">
            <w:pPr>
              <w:spacing w:line="300" w:lineRule="exact"/>
              <w:ind w:left="-2" w:leftChars="-1" w:right="36" w:rightChars="15"/>
              <w:rPr>
                <w:color w:val="000000" w:themeColor="text1"/>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【信银理财安盈象固收稳利三个月持有期27号理财产品】</w:t>
            </w:r>
          </w:p>
        </w:tc>
      </w:tr>
      <w:tr w14:paraId="1B5F9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017353B2">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理财产品登记编码</w:t>
            </w:r>
          </w:p>
        </w:tc>
        <w:tc>
          <w:tcPr>
            <w:tcW w:w="3740" w:type="pct"/>
            <w:vAlign w:val="center"/>
          </w:tcPr>
          <w:p w14:paraId="74D8C79A">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Z7002624002029】</w:t>
            </w:r>
          </w:p>
        </w:tc>
      </w:tr>
      <w:tr w14:paraId="5F4B4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7640AE18">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产品</w:t>
            </w:r>
            <w:r>
              <w:rPr>
                <w:rFonts w:ascii="Times New Roman" w:eastAsia="楷体_GB2312" w:cs="楷体_GB2312"/>
                <w:color w:val="000000" w:themeColor="text1"/>
                <w:sz w:val="20"/>
                <w:szCs w:val="20"/>
                <w14:textFill>
                  <w14:solidFill>
                    <w14:schemeClr w14:val="tx1"/>
                  </w14:solidFill>
                </w14:textFill>
              </w:rPr>
              <w:t>代码</w:t>
            </w:r>
          </w:p>
        </w:tc>
        <w:tc>
          <w:tcPr>
            <w:tcW w:w="3740" w:type="pct"/>
            <w:vAlign w:val="center"/>
          </w:tcPr>
          <w:p w14:paraId="69E2D600">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【AF247784</w:t>
            </w:r>
            <w:r>
              <w:rPr>
                <w:rFonts w:ascii="楷体_GB2312" w:eastAsia="楷体_GB2312" w:cs="楷体_GB2312"/>
                <w:color w:val="000000" w:themeColor="text1"/>
                <w:sz w:val="20"/>
                <w:szCs w:val="20"/>
                <w14:textFill>
                  <w14:solidFill>
                    <w14:schemeClr w14:val="tx1"/>
                  </w14:solidFill>
                </w14:textFill>
              </w:rPr>
              <w:t>】</w:t>
            </w:r>
          </w:p>
        </w:tc>
      </w:tr>
      <w:tr w14:paraId="18A4F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033937B5">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产品类型</w:t>
            </w:r>
          </w:p>
        </w:tc>
        <w:tc>
          <w:tcPr>
            <w:tcW w:w="3740" w:type="pct"/>
            <w:vAlign w:val="center"/>
          </w:tcPr>
          <w:p w14:paraId="7F0C949D">
            <w:pPr>
              <w:spacing w:line="300" w:lineRule="exact"/>
              <w:ind w:left="-2" w:leftChars="-1" w:right="36" w:rightChars="15"/>
              <w:rPr>
                <w:rFonts w:ascii="楷体_GB2312" w:eastAsia="楷体_GB2312" w:cs="楷体_GB2312"/>
                <w:color w:val="000000" w:themeColor="text1"/>
                <w:sz w:val="20"/>
                <w:szCs w:val="20"/>
                <w:highlight w:val="yellow"/>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公募、【固定收益类】、开放式</w:t>
            </w:r>
          </w:p>
        </w:tc>
      </w:tr>
      <w:tr w14:paraId="71FE6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4CE6D072">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信银理财产品风险分级</w:t>
            </w:r>
          </w:p>
        </w:tc>
        <w:tc>
          <w:tcPr>
            <w:tcW w:w="3740" w:type="pct"/>
            <w:vAlign w:val="center"/>
          </w:tcPr>
          <w:p w14:paraId="47AFA5A8">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sz w:val="20"/>
                <w:szCs w:val="20"/>
              </w:rPr>
              <w:t>PR</w:t>
            </w:r>
            <w:r>
              <w:rPr>
                <w:rFonts w:hint="eastAsia" w:ascii="楷体_GB2312" w:eastAsia="楷体_GB2312" w:cs="楷体_GB2312"/>
                <w:sz w:val="20"/>
                <w:szCs w:val="20"/>
              </w:rPr>
              <w:t>【2】级（【稳健】</w:t>
            </w:r>
            <w:r>
              <w:rPr>
                <w:rFonts w:ascii="楷体_GB2312" w:eastAsia="楷体_GB2312" w:cs="楷体_GB2312"/>
                <w:sz w:val="20"/>
                <w:szCs w:val="20"/>
              </w:rPr>
              <w:t>型</w:t>
            </w:r>
            <w:r>
              <w:rPr>
                <w:rFonts w:hint="eastAsia" w:ascii="楷体_GB2312" w:eastAsia="楷体_GB2312" w:cs="楷体_GB2312"/>
                <w:sz w:val="20"/>
                <w:szCs w:val="20"/>
              </w:rPr>
              <w:t>）</w:t>
            </w:r>
            <w:r>
              <w:rPr>
                <w:rFonts w:hint="eastAsia" w:ascii="楷体_GB2312" w:eastAsia="楷体_GB2312" w:cs="楷体_GB2312"/>
                <w:color w:val="000000" w:themeColor="text1"/>
                <w:sz w:val="20"/>
                <w:szCs w:val="20"/>
                <w14:textFill>
                  <w14:solidFill>
                    <w14:schemeClr w14:val="tx1"/>
                  </w14:solidFill>
                </w14:textFill>
              </w:rPr>
              <w:t>。本风险分级为信银理财自行评定，仅供参考。</w:t>
            </w:r>
          </w:p>
          <w:p w14:paraId="5DE0BD72">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产品通过代销机构销售的，代销机构将</w:t>
            </w:r>
            <w:r>
              <w:rPr>
                <w:rFonts w:hint="eastAsia" w:ascii="楷体_GB2312" w:eastAsia="楷体_GB2312" w:cs="楷体_GB2312"/>
                <w:color w:val="000000" w:themeColor="text1"/>
                <w:sz w:val="20"/>
                <w:szCs w:val="20"/>
                <w14:textFill>
                  <w14:solidFill>
                    <w14:schemeClr w14:val="tx1"/>
                  </w14:solidFill>
                </w14:textFill>
              </w:rPr>
              <w:t>对</w:t>
            </w:r>
            <w:r>
              <w:rPr>
                <w:rFonts w:ascii="楷体_GB2312" w:eastAsia="楷体_GB2312" w:cs="楷体_GB2312"/>
                <w:color w:val="000000" w:themeColor="text1"/>
                <w:sz w:val="20"/>
                <w:szCs w:val="20"/>
                <w14:textFill>
                  <w14:solidFill>
                    <w14:schemeClr w14:val="tx1"/>
                  </w14:solidFill>
                </w14:textFill>
              </w:rPr>
              <w:t>理财产品进行风险评级</w:t>
            </w:r>
            <w:r>
              <w:rPr>
                <w:rFonts w:hint="eastAsia" w:ascii="楷体_GB2312" w:eastAsia="楷体_GB2312" w:cs="楷体_GB2312"/>
                <w:color w:val="000000" w:themeColor="text1"/>
                <w:sz w:val="20"/>
                <w:szCs w:val="20"/>
                <w14:textFill>
                  <w14:solidFill>
                    <w14:schemeClr w14:val="tx1"/>
                  </w14:solidFill>
                </w14:textFill>
              </w:rPr>
              <w:t>并</w:t>
            </w:r>
            <w:r>
              <w:rPr>
                <w:rFonts w:ascii="楷体_GB2312" w:eastAsia="楷体_GB2312" w:cs="楷体_GB2312"/>
                <w:color w:val="000000" w:themeColor="text1"/>
                <w:sz w:val="20"/>
                <w:szCs w:val="20"/>
                <w14:textFill>
                  <w14:solidFill>
                    <w14:schemeClr w14:val="tx1"/>
                  </w14:solidFill>
                </w14:textFill>
              </w:rPr>
              <w:t>对投资者进行风险</w:t>
            </w:r>
            <w:r>
              <w:rPr>
                <w:rFonts w:hint="eastAsia" w:ascii="楷体_GB2312" w:eastAsia="楷体_GB2312" w:cs="楷体_GB2312"/>
                <w:color w:val="000000" w:themeColor="text1"/>
                <w:sz w:val="20"/>
                <w:szCs w:val="20"/>
                <w14:textFill>
                  <w14:solidFill>
                    <w14:schemeClr w14:val="tx1"/>
                  </w14:solidFill>
                </w14:textFill>
              </w:rPr>
              <w:t>承受能力</w:t>
            </w:r>
            <w:r>
              <w:rPr>
                <w:rFonts w:ascii="楷体_GB2312" w:eastAsia="楷体_GB2312" w:cs="楷体_GB2312"/>
                <w:color w:val="000000" w:themeColor="text1"/>
                <w:sz w:val="20"/>
                <w:szCs w:val="20"/>
                <w14:textFill>
                  <w14:solidFill>
                    <w14:schemeClr w14:val="tx1"/>
                  </w14:solidFill>
                </w14:textFill>
              </w:rPr>
              <w:t>测评</w:t>
            </w:r>
            <w:r>
              <w:rPr>
                <w:rFonts w:hint="eastAsia" w:ascii="楷体_GB2312" w:eastAsia="楷体_GB2312" w:cs="楷体_GB2312"/>
                <w:color w:val="000000" w:themeColor="text1"/>
                <w:sz w:val="20"/>
                <w:szCs w:val="20"/>
                <w14:textFill>
                  <w14:solidFill>
                    <w14:schemeClr w14:val="tx1"/>
                  </w14:solidFill>
                </w14:textFill>
              </w:rPr>
              <w:t>，理财产品评级应当以代销机构最终披露的评级结果为准</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代销</w:t>
            </w:r>
            <w:r>
              <w:rPr>
                <w:rFonts w:ascii="楷体_GB2312" w:eastAsia="楷体_GB2312" w:cs="楷体_GB2312"/>
                <w:color w:val="000000" w:themeColor="text1"/>
                <w:sz w:val="20"/>
                <w:szCs w:val="20"/>
                <w14:textFill>
                  <w14:solidFill>
                    <w14:schemeClr w14:val="tx1"/>
                  </w14:solidFill>
                </w14:textFill>
              </w:rPr>
              <w:t>机构对</w:t>
            </w:r>
            <w:r>
              <w:rPr>
                <w:rFonts w:hint="eastAsia" w:ascii="楷体_GB2312" w:eastAsia="楷体_GB2312" w:cs="楷体_GB2312"/>
                <w:color w:val="000000" w:themeColor="text1"/>
                <w:sz w:val="20"/>
                <w:szCs w:val="20"/>
                <w14:textFill>
                  <w14:solidFill>
                    <w14:schemeClr w14:val="tx1"/>
                  </w14:solidFill>
                </w14:textFill>
              </w:rPr>
              <w:t>产品的</w:t>
            </w:r>
            <w:r>
              <w:rPr>
                <w:rFonts w:ascii="楷体_GB2312" w:eastAsia="楷体_GB2312" w:cs="楷体_GB2312"/>
                <w:color w:val="000000" w:themeColor="text1"/>
                <w:sz w:val="20"/>
                <w:szCs w:val="20"/>
                <w14:textFill>
                  <w14:solidFill>
                    <w14:schemeClr w14:val="tx1"/>
                  </w14:solidFill>
                </w14:textFill>
              </w:rPr>
              <w:t>风险</w:t>
            </w:r>
            <w:r>
              <w:rPr>
                <w:rFonts w:hint="eastAsia" w:ascii="楷体_GB2312" w:eastAsia="楷体_GB2312" w:cs="楷体_GB2312"/>
                <w:color w:val="000000" w:themeColor="text1"/>
                <w:sz w:val="20"/>
                <w:szCs w:val="20"/>
                <w14:textFill>
                  <w14:solidFill>
                    <w14:schemeClr w14:val="tx1"/>
                  </w14:solidFill>
                </w14:textFill>
              </w:rPr>
              <w:t>评级</w:t>
            </w:r>
            <w:r>
              <w:rPr>
                <w:rFonts w:ascii="楷体_GB2312" w:eastAsia="楷体_GB2312" w:cs="楷体_GB2312"/>
                <w:color w:val="000000" w:themeColor="text1"/>
                <w:sz w:val="20"/>
                <w:szCs w:val="20"/>
                <w14:textFill>
                  <w14:solidFill>
                    <w14:schemeClr w14:val="tx1"/>
                  </w14:solidFill>
                </w14:textFill>
              </w:rPr>
              <w:t>结果与信银理财不一致的，将采用对应较高风险</w:t>
            </w:r>
            <w:r>
              <w:rPr>
                <w:rFonts w:hint="eastAsia" w:ascii="楷体_GB2312" w:eastAsia="楷体_GB2312" w:cs="楷体_GB2312"/>
                <w:color w:val="000000" w:themeColor="text1"/>
                <w:sz w:val="20"/>
                <w:szCs w:val="20"/>
                <w14:textFill>
                  <w14:solidFill>
                    <w14:schemeClr w14:val="tx1"/>
                  </w14:solidFill>
                </w14:textFill>
              </w:rPr>
              <w:t>等级</w:t>
            </w:r>
            <w:r>
              <w:rPr>
                <w:rFonts w:ascii="楷体_GB2312" w:eastAsia="楷体_GB2312" w:cs="楷体_GB2312"/>
                <w:color w:val="000000" w:themeColor="text1"/>
                <w:sz w:val="20"/>
                <w:szCs w:val="20"/>
                <w14:textFill>
                  <w14:solidFill>
                    <w14:schemeClr w14:val="tx1"/>
                  </w14:solidFill>
                </w14:textFill>
              </w:rPr>
              <w:t>的评级结果。</w:t>
            </w:r>
          </w:p>
        </w:tc>
      </w:tr>
      <w:tr w14:paraId="18E37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02E8DDFC">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发行对象</w:t>
            </w:r>
          </w:p>
        </w:tc>
        <w:tc>
          <w:tcPr>
            <w:tcW w:w="3740" w:type="pct"/>
            <w:vAlign w:val="center"/>
          </w:tcPr>
          <w:p w14:paraId="4E5ADF80">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【个人/机构</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客户</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适合</w:t>
            </w:r>
            <w:r>
              <w:rPr>
                <w:rFonts w:hint="eastAsia" w:ascii="楷体_GB2312" w:eastAsia="楷体_GB2312" w:cs="Times New Roman"/>
                <w:sz w:val="20"/>
                <w:szCs w:val="20"/>
              </w:rPr>
              <w:t>【稳健型】【平衡型】【进取型】【激进型】</w:t>
            </w:r>
            <w:r>
              <w:rPr>
                <w:rFonts w:hint="eastAsia" w:ascii="楷体_GB2312" w:eastAsia="楷体_GB2312" w:cs="楷体_GB2312"/>
                <w:color w:val="000000" w:themeColor="text1"/>
                <w:sz w:val="20"/>
                <w:szCs w:val="20"/>
                <w14:textFill>
                  <w14:solidFill>
                    <w14:schemeClr w14:val="tx1"/>
                  </w14:solidFill>
                </w14:textFill>
              </w:rPr>
              <w:t>投资者。</w:t>
            </w:r>
            <w:r>
              <w:rPr>
                <w:rFonts w:hint="eastAsia" w:ascii="楷体_GB2312" w:eastAsia="楷体_GB2312" w:cs="楷体_GB2312"/>
                <w:sz w:val="20"/>
                <w:szCs w:val="20"/>
              </w:rPr>
              <w:t>代销机构对产品的发行对象与信银理财不一致的，以代销机构为准。</w:t>
            </w:r>
          </w:p>
        </w:tc>
      </w:tr>
      <w:tr w14:paraId="7A495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3B834D07">
            <w:pPr>
              <w:spacing w:line="300" w:lineRule="exact"/>
              <w:ind w:left="-2" w:leftChars="-1" w:right="36" w:rightChars="15"/>
              <w:rPr>
                <w:rFonts w:ascii="Times New Roman"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理财本金</w:t>
            </w:r>
          </w:p>
        </w:tc>
        <w:tc>
          <w:tcPr>
            <w:tcW w:w="3740" w:type="pct"/>
            <w:vAlign w:val="center"/>
          </w:tcPr>
          <w:p w14:paraId="7B326B50">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本理财产品不保证本金及理财收益，其理财收益随单位净值浮动。详细内容见以下“八</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b/>
                <w:bCs/>
                <w:color w:val="000000" w:themeColor="text1"/>
                <w:sz w:val="20"/>
                <w:szCs w:val="20"/>
                <w14:textFill>
                  <w14:solidFill>
                    <w14:schemeClr w14:val="tx1"/>
                  </w14:solidFill>
                </w14:textFill>
              </w:rPr>
              <w:t>理财资金分配</w:t>
            </w:r>
            <w:r>
              <w:rPr>
                <w:rFonts w:hint="eastAsia" w:ascii="楷体_GB2312" w:eastAsia="楷体_GB2312" w:cs="楷体_GB2312"/>
                <w:color w:val="000000" w:themeColor="text1"/>
                <w:sz w:val="20"/>
                <w:szCs w:val="20"/>
                <w14:textFill>
                  <w14:solidFill>
                    <w14:schemeClr w14:val="tx1"/>
                  </w14:solidFill>
                </w14:textFill>
              </w:rPr>
              <w:t>”。</w:t>
            </w:r>
          </w:p>
        </w:tc>
      </w:tr>
      <w:tr w14:paraId="6518C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6E58C750">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w:t>
            </w:r>
            <w:r>
              <w:rPr>
                <w:rFonts w:ascii="Times New Roman" w:eastAsia="楷体_GB2312" w:cs="楷体_GB2312"/>
                <w:color w:val="000000" w:themeColor="text1"/>
                <w:sz w:val="20"/>
                <w:szCs w:val="20"/>
                <w14:textFill>
                  <w14:solidFill>
                    <w14:schemeClr w14:val="tx1"/>
                  </w14:solidFill>
                </w14:textFill>
              </w:rPr>
              <w:t>产品份额</w:t>
            </w:r>
          </w:p>
        </w:tc>
        <w:tc>
          <w:tcPr>
            <w:tcW w:w="3740" w:type="pct"/>
            <w:vAlign w:val="center"/>
          </w:tcPr>
          <w:p w14:paraId="4A15B6CF">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指</w:t>
            </w:r>
            <w:r>
              <w:rPr>
                <w:rFonts w:ascii="楷体_GB2312" w:eastAsia="楷体_GB2312" w:cs="楷体_GB2312"/>
                <w:color w:val="000000" w:themeColor="text1"/>
                <w:sz w:val="20"/>
                <w:szCs w:val="20"/>
                <w14:textFill>
                  <w14:solidFill>
                    <w14:schemeClr w14:val="tx1"/>
                  </w14:solidFill>
                </w14:textFill>
              </w:rPr>
              <w:t>管理人依据理财产品</w:t>
            </w:r>
            <w:r>
              <w:rPr>
                <w:rFonts w:hint="eastAsia" w:ascii="楷体_GB2312" w:eastAsia="楷体_GB2312" w:cs="楷体_GB2312"/>
                <w:color w:val="000000" w:themeColor="text1"/>
                <w:sz w:val="20"/>
                <w:szCs w:val="20"/>
                <w14:textFill>
                  <w14:solidFill>
                    <w14:schemeClr w14:val="tx1"/>
                  </w14:solidFill>
                </w14:textFill>
              </w:rPr>
              <w:t>合同</w:t>
            </w:r>
            <w:r>
              <w:rPr>
                <w:rFonts w:ascii="楷体_GB2312" w:eastAsia="楷体_GB2312" w:cs="楷体_GB2312"/>
                <w:color w:val="000000" w:themeColor="text1"/>
                <w:sz w:val="20"/>
                <w:szCs w:val="20"/>
                <w14:textFill>
                  <w14:solidFill>
                    <w14:schemeClr w14:val="tx1"/>
                  </w14:solidFill>
                </w14:textFill>
              </w:rPr>
              <w:t>向投资者发行的</w:t>
            </w:r>
            <w:r>
              <w:rPr>
                <w:rFonts w:hint="eastAsia" w:ascii="楷体_GB2312" w:eastAsia="楷体_GB2312" w:cs="楷体_GB2312"/>
                <w:color w:val="000000" w:themeColor="text1"/>
                <w:sz w:val="20"/>
                <w:szCs w:val="20"/>
                <w14:textFill>
                  <w14:solidFill>
                    <w14:schemeClr w14:val="tx1"/>
                  </w14:solidFill>
                </w14:textFill>
              </w:rPr>
              <w:t>理财产品</w:t>
            </w:r>
            <w:r>
              <w:rPr>
                <w:rFonts w:ascii="楷体_GB2312" w:eastAsia="楷体_GB2312" w:cs="楷体_GB2312"/>
                <w:color w:val="000000" w:themeColor="text1"/>
                <w:sz w:val="20"/>
                <w:szCs w:val="20"/>
                <w14:textFill>
                  <w14:solidFill>
                    <w14:schemeClr w14:val="tx1"/>
                  </w14:solidFill>
                </w14:textFill>
              </w:rPr>
              <w:t>受益凭证。理财产品</w:t>
            </w:r>
            <w:r>
              <w:rPr>
                <w:rFonts w:hint="eastAsia" w:ascii="楷体_GB2312" w:eastAsia="楷体_GB2312" w:cs="楷体_GB2312"/>
                <w:color w:val="000000" w:themeColor="text1"/>
                <w:sz w:val="20"/>
                <w:szCs w:val="20"/>
                <w14:textFill>
                  <w14:solidFill>
                    <w14:schemeClr w14:val="tx1"/>
                  </w14:solidFill>
                </w14:textFill>
              </w:rPr>
              <w:t>份额</w:t>
            </w:r>
            <w:r>
              <w:rPr>
                <w:rFonts w:ascii="楷体_GB2312" w:eastAsia="楷体_GB2312" w:cs="楷体_GB2312"/>
                <w:color w:val="000000" w:themeColor="text1"/>
                <w:sz w:val="20"/>
                <w:szCs w:val="20"/>
                <w14:textFill>
                  <w14:solidFill>
                    <w14:schemeClr w14:val="tx1"/>
                  </w14:solidFill>
                </w14:textFill>
              </w:rPr>
              <w:t>持有人基于其所持有的理财产品份额享有理财产品利益、承担理财产品资产风险。</w:t>
            </w:r>
          </w:p>
        </w:tc>
      </w:tr>
      <w:tr w14:paraId="48B95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33DA1D00">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w:t>
            </w:r>
            <w:r>
              <w:rPr>
                <w:rFonts w:ascii="Times New Roman" w:eastAsia="楷体_GB2312" w:cs="楷体_GB2312"/>
                <w:color w:val="000000" w:themeColor="text1"/>
                <w:sz w:val="20"/>
                <w:szCs w:val="20"/>
                <w14:textFill>
                  <w14:solidFill>
                    <w14:schemeClr w14:val="tx1"/>
                  </w14:solidFill>
                </w14:textFill>
              </w:rPr>
              <w:t>产品份额面值</w:t>
            </w:r>
          </w:p>
        </w:tc>
        <w:tc>
          <w:tcPr>
            <w:tcW w:w="3740" w:type="pct"/>
            <w:vAlign w:val="center"/>
          </w:tcPr>
          <w:p w14:paraId="433D2C87">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产品份额面值为</w:t>
            </w:r>
            <w:r>
              <w:rPr>
                <w:rFonts w:hint="eastAsia" w:ascii="楷体_GB2312" w:eastAsia="楷体_GB2312" w:cs="楷体_GB2312"/>
                <w:color w:val="000000" w:themeColor="text1"/>
                <w:sz w:val="20"/>
                <w:szCs w:val="20"/>
                <w14:textFill>
                  <w14:solidFill>
                    <w14:schemeClr w14:val="tx1"/>
                  </w14:solidFill>
                </w14:textFill>
              </w:rPr>
              <w:t>【人民币</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1元。</w:t>
            </w:r>
          </w:p>
        </w:tc>
      </w:tr>
      <w:tr w14:paraId="07A45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260" w:type="pct"/>
            <w:vAlign w:val="center"/>
          </w:tcPr>
          <w:p w14:paraId="66B312C4">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w:t>
            </w:r>
            <w:r>
              <w:rPr>
                <w:rFonts w:ascii="Times New Roman" w:eastAsia="楷体_GB2312" w:cs="楷体_GB2312"/>
                <w:color w:val="000000" w:themeColor="text1"/>
                <w:sz w:val="20"/>
                <w:szCs w:val="20"/>
                <w14:textFill>
                  <w14:solidFill>
                    <w14:schemeClr w14:val="tx1"/>
                  </w14:solidFill>
                </w14:textFill>
              </w:rPr>
              <w:t>产品份额类型</w:t>
            </w:r>
          </w:p>
        </w:tc>
        <w:tc>
          <w:tcPr>
            <w:tcW w:w="3740" w:type="pct"/>
            <w:vAlign w:val="center"/>
          </w:tcPr>
          <w:p w14:paraId="7CEFACD0">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【B】类份额：份额代码【AF247784B】</w:t>
            </w:r>
            <w:r>
              <w:br w:type="textWrapping"/>
            </w:r>
            <w:r>
              <w:rPr>
                <w:rFonts w:hint="eastAsia" w:ascii="楷体_GB2312" w:eastAsia="楷体_GB2312" w:cs="楷体_GB2312"/>
                <w:color w:val="000000" w:themeColor="text1"/>
                <w:sz w:val="20"/>
                <w:szCs w:val="20"/>
                <w14:textFill>
                  <w14:solidFill>
                    <w14:schemeClr w14:val="tx1"/>
                  </w14:solidFill>
                </w14:textFill>
              </w:rPr>
              <w:t>【G】类份额：份额代码【AF247784G】</w:t>
            </w:r>
            <w:r>
              <w:br w:type="textWrapping"/>
            </w:r>
            <w:r>
              <w:rPr>
                <w:rFonts w:hint="eastAsia" w:ascii="楷体_GB2312" w:eastAsia="楷体_GB2312" w:cs="楷体_GB2312"/>
                <w:color w:val="000000" w:themeColor="text1"/>
                <w:sz w:val="20"/>
                <w:szCs w:val="20"/>
                <w14:textFill>
                  <w14:solidFill>
                    <w14:schemeClr w14:val="tx1"/>
                  </w14:solidFill>
                </w14:textFill>
              </w:rPr>
              <w:t>【H】类份额：份额代码【AF247784H】</w:t>
            </w:r>
          </w:p>
          <w:p w14:paraId="4E1262A2">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p>
          <w:p w14:paraId="1A7C1F80">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后续理财产品份额类型如有新增、减少和变更，信银理财将按照本说明书约定的方式告知投资者。</w:t>
            </w:r>
          </w:p>
        </w:tc>
      </w:tr>
      <w:tr w14:paraId="7E6A0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260" w:type="pct"/>
            <w:vAlign w:val="center"/>
          </w:tcPr>
          <w:p w14:paraId="537C64FF">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工作日</w:t>
            </w:r>
          </w:p>
        </w:tc>
        <w:tc>
          <w:tcPr>
            <w:tcW w:w="3740" w:type="pct"/>
            <w:vAlign w:val="center"/>
          </w:tcPr>
          <w:p w14:paraId="25DC21BF">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指除中国法定节假日和公休日外的其他日。</w:t>
            </w:r>
          </w:p>
        </w:tc>
      </w:tr>
      <w:tr w14:paraId="7B1E1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260" w:type="pct"/>
            <w:vAlign w:val="center"/>
          </w:tcPr>
          <w:p w14:paraId="466895EE">
            <w:pPr>
              <w:spacing w:line="300" w:lineRule="exact"/>
              <w:ind w:left="-2" w:leftChars="-1" w:right="36" w:rightChars="15"/>
              <w:rPr>
                <w:rFonts w:ascii="Times New Roman" w:hAnsi="Times New Roman" w:eastAsia="楷体_GB2312" w:cs="Times New Roman"/>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募集期</w:t>
            </w:r>
          </w:p>
        </w:tc>
        <w:tc>
          <w:tcPr>
            <w:tcW w:w="3740" w:type="pct"/>
            <w:vAlign w:val="center"/>
          </w:tcPr>
          <w:p w14:paraId="01B4B8D1">
            <w:pPr>
              <w:pStyle w:val="19"/>
              <w:numPr>
                <w:ilvl w:val="0"/>
                <w:numId w:val="1"/>
              </w:numPr>
              <w:spacing w:line="300" w:lineRule="exact"/>
              <w:ind w:right="36" w:rightChars="15" w:firstLineChars="0"/>
              <w:rPr>
                <w:rFonts w:ascii="Times New Roman" w:hAnsi="Times New Roman" w:eastAsia="楷体_GB2312" w:cs="Times New Roman"/>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【2024】年【12】月【5】日至【2024】年【12】月【11】日，</w:t>
            </w:r>
            <w:r>
              <w:rPr>
                <w:rFonts w:hint="eastAsia" w:ascii="Times New Roman" w:hAnsi="Times New Roman" w:eastAsia="楷体_GB2312" w:cs="Times New Roman"/>
                <w:color w:val="000000" w:themeColor="text1"/>
                <w:sz w:val="20"/>
                <w:szCs w:val="20"/>
                <w14:textFill>
                  <w14:solidFill>
                    <w14:schemeClr w14:val="tx1"/>
                  </w14:solidFill>
                </w14:textFill>
              </w:rPr>
              <w:t>信银理财有权提前结束募集期并提前成立产品或者延长募集期。</w:t>
            </w:r>
          </w:p>
          <w:p w14:paraId="3D0CEBE8">
            <w:pPr>
              <w:pStyle w:val="19"/>
              <w:numPr>
                <w:ilvl w:val="0"/>
                <w:numId w:val="1"/>
              </w:numPr>
              <w:spacing w:line="300" w:lineRule="exact"/>
              <w:ind w:right="36" w:rightChars="15" w:firstLineChars="0"/>
              <w:rPr>
                <w:rFonts w:ascii="Times New Roman" w:hAnsi="Times New Roman" w:eastAsia="楷体_GB2312" w:cs="Times New Roman"/>
                <w:color w:val="000000" w:themeColor="text1"/>
                <w:sz w:val="20"/>
                <w:szCs w:val="20"/>
                <w14:textFill>
                  <w14:solidFill>
                    <w14:schemeClr w14:val="tx1"/>
                  </w14:solidFill>
                </w14:textFill>
              </w:rPr>
            </w:pPr>
            <w:r>
              <w:rPr>
                <w:rFonts w:ascii="Times New Roman" w:hAnsi="Times New Roman" w:eastAsia="楷体_GB2312" w:cs="Times New Roman"/>
                <w:color w:val="000000" w:themeColor="text1"/>
                <w:sz w:val="20"/>
                <w:szCs w:val="20"/>
                <w14:textFill>
                  <w14:solidFill>
                    <w14:schemeClr w14:val="tx1"/>
                  </w14:solidFill>
                </w14:textFill>
              </w:rPr>
              <w:t>投资者在</w:t>
            </w:r>
            <w:r>
              <w:rPr>
                <w:rFonts w:hint="eastAsia" w:ascii="Times New Roman" w:hAnsi="Times New Roman" w:eastAsia="楷体_GB2312" w:cs="Times New Roman"/>
                <w:color w:val="000000" w:themeColor="text1"/>
                <w:sz w:val="20"/>
                <w:szCs w:val="20"/>
                <w14:textFill>
                  <w14:solidFill>
                    <w14:schemeClr w14:val="tx1"/>
                  </w14:solidFill>
                </w14:textFill>
              </w:rPr>
              <w:t>信银</w:t>
            </w:r>
            <w:r>
              <w:rPr>
                <w:rFonts w:ascii="Times New Roman" w:hAnsi="Times New Roman" w:eastAsia="楷体_GB2312" w:cs="Times New Roman"/>
                <w:color w:val="000000" w:themeColor="text1"/>
                <w:sz w:val="20"/>
                <w:szCs w:val="20"/>
                <w14:textFill>
                  <w14:solidFill>
                    <w14:schemeClr w14:val="tx1"/>
                  </w14:solidFill>
                </w14:textFill>
              </w:rPr>
              <w:t>理财直销渠道购买</w:t>
            </w:r>
            <w:r>
              <w:rPr>
                <w:rFonts w:hint="eastAsia" w:ascii="Times New Roman" w:hAnsi="Times New Roman" w:eastAsia="楷体_GB2312" w:cs="Times New Roman"/>
                <w:color w:val="000000" w:themeColor="text1"/>
                <w:sz w:val="20"/>
                <w:szCs w:val="20"/>
                <w14:textFill>
                  <w14:solidFill>
                    <w14:schemeClr w14:val="tx1"/>
                  </w14:solidFill>
                </w14:textFill>
              </w:rPr>
              <w:t>产品</w:t>
            </w:r>
            <w:r>
              <w:rPr>
                <w:rFonts w:ascii="Times New Roman" w:hAnsi="Times New Roman" w:eastAsia="楷体_GB2312" w:cs="Times New Roman"/>
                <w:color w:val="000000" w:themeColor="text1"/>
                <w:sz w:val="20"/>
                <w:szCs w:val="20"/>
                <w14:textFill>
                  <w14:solidFill>
                    <w14:schemeClr w14:val="tx1"/>
                  </w14:solidFill>
                </w14:textFill>
              </w:rPr>
              <w:t>的，募集期内可以撤单</w:t>
            </w:r>
            <w:r>
              <w:rPr>
                <w:rFonts w:hint="eastAsia" w:ascii="Times New Roman" w:hAnsi="Times New Roman" w:eastAsia="楷体_GB2312" w:cs="Times New Roman"/>
                <w:color w:val="000000" w:themeColor="text1"/>
                <w:sz w:val="20"/>
                <w:szCs w:val="20"/>
                <w14:textFill>
                  <w14:solidFill>
                    <w14:schemeClr w14:val="tx1"/>
                  </w14:solidFill>
                </w14:textFill>
              </w:rPr>
              <w:t>。撤单</w:t>
            </w:r>
            <w:r>
              <w:rPr>
                <w:rFonts w:ascii="Times New Roman" w:hAnsi="Times New Roman" w:eastAsia="楷体_GB2312" w:cs="Times New Roman"/>
                <w:color w:val="000000" w:themeColor="text1"/>
                <w:sz w:val="20"/>
                <w:szCs w:val="20"/>
                <w14:textFill>
                  <w14:solidFill>
                    <w14:schemeClr w14:val="tx1"/>
                  </w14:solidFill>
                </w14:textFill>
              </w:rPr>
              <w:t>具体规则</w:t>
            </w:r>
            <w:r>
              <w:rPr>
                <w:rFonts w:hint="eastAsia" w:ascii="Times New Roman" w:hAnsi="Times New Roman" w:eastAsia="楷体_GB2312" w:cs="Times New Roman"/>
                <w:color w:val="000000" w:themeColor="text1"/>
                <w:sz w:val="20"/>
                <w:szCs w:val="20"/>
                <w14:textFill>
                  <w14:solidFill>
                    <w14:schemeClr w14:val="tx1"/>
                  </w14:solidFill>
                </w14:textFill>
              </w:rPr>
              <w:t>以</w:t>
            </w:r>
            <w:r>
              <w:rPr>
                <w:rFonts w:ascii="Times New Roman" w:hAnsi="Times New Roman" w:eastAsia="楷体_GB2312" w:cs="Times New Roman"/>
                <w:color w:val="000000" w:themeColor="text1"/>
                <w:sz w:val="20"/>
                <w:szCs w:val="20"/>
                <w14:textFill>
                  <w14:solidFill>
                    <w14:schemeClr w14:val="tx1"/>
                  </w14:solidFill>
                </w14:textFill>
              </w:rPr>
              <w:t>信银理财</w:t>
            </w:r>
            <w:r>
              <w:rPr>
                <w:rFonts w:hint="eastAsia" w:ascii="Times New Roman" w:hAnsi="Times New Roman" w:eastAsia="楷体_GB2312" w:cs="Times New Roman"/>
                <w:color w:val="000000" w:themeColor="text1"/>
                <w:sz w:val="20"/>
                <w:szCs w:val="20"/>
                <w14:textFill>
                  <w14:solidFill>
                    <w14:schemeClr w14:val="tx1"/>
                  </w14:solidFill>
                </w14:textFill>
              </w:rPr>
              <w:t>说明</w:t>
            </w:r>
            <w:r>
              <w:rPr>
                <w:rFonts w:ascii="Times New Roman" w:hAnsi="Times New Roman" w:eastAsia="楷体_GB2312" w:cs="Times New Roman"/>
                <w:color w:val="000000" w:themeColor="text1"/>
                <w:sz w:val="20"/>
                <w:szCs w:val="20"/>
                <w14:textFill>
                  <w14:solidFill>
                    <w14:schemeClr w14:val="tx1"/>
                  </w14:solidFill>
                </w14:textFill>
              </w:rPr>
              <w:t>或公布的操作方式为准。</w:t>
            </w:r>
          </w:p>
          <w:p w14:paraId="3752EFF4">
            <w:pPr>
              <w:pStyle w:val="19"/>
              <w:spacing w:line="300" w:lineRule="exact"/>
              <w:ind w:left="358" w:right="36" w:rightChars="15" w:firstLine="0" w:firstLineChars="0"/>
              <w:rPr>
                <w:rFonts w:ascii="Times New Roman" w:hAnsi="Times New Roman" w:eastAsia="楷体_GB2312" w:cs="Times New Roman"/>
                <w:color w:val="000000" w:themeColor="text1"/>
                <w:sz w:val="20"/>
                <w:szCs w:val="20"/>
                <w14:textFill>
                  <w14:solidFill>
                    <w14:schemeClr w14:val="tx1"/>
                  </w14:solidFill>
                </w14:textFill>
              </w:rPr>
            </w:pPr>
            <w:r>
              <w:rPr>
                <w:rFonts w:hint="eastAsia" w:ascii="Times New Roman" w:hAnsi="Times New Roman" w:eastAsia="楷体_GB2312" w:cs="Times New Roman"/>
                <w:color w:val="000000" w:themeColor="text1"/>
                <w:sz w:val="20"/>
                <w:szCs w:val="20"/>
                <w14:textFill>
                  <w14:solidFill>
                    <w14:schemeClr w14:val="tx1"/>
                  </w14:solidFill>
                </w14:textFill>
              </w:rPr>
              <w:t>投资者在</w:t>
            </w:r>
            <w:r>
              <w:rPr>
                <w:rFonts w:ascii="Times New Roman" w:hAnsi="Times New Roman" w:eastAsia="楷体_GB2312" w:cs="Times New Roman"/>
                <w:color w:val="000000" w:themeColor="text1"/>
                <w:sz w:val="20"/>
                <w:szCs w:val="20"/>
                <w14:textFill>
                  <w14:solidFill>
                    <w14:schemeClr w14:val="tx1"/>
                  </w14:solidFill>
                </w14:textFill>
              </w:rPr>
              <w:t>代销</w:t>
            </w:r>
            <w:r>
              <w:rPr>
                <w:rFonts w:hint="eastAsia" w:ascii="Times New Roman" w:hAnsi="Times New Roman" w:eastAsia="楷体_GB2312" w:cs="Times New Roman"/>
                <w:color w:val="000000" w:themeColor="text1"/>
                <w:sz w:val="20"/>
                <w:szCs w:val="20"/>
                <w14:textFill>
                  <w14:solidFill>
                    <w14:schemeClr w14:val="tx1"/>
                  </w14:solidFill>
                </w14:textFill>
              </w:rPr>
              <w:t>机构</w:t>
            </w:r>
            <w:r>
              <w:rPr>
                <w:rFonts w:ascii="Times New Roman" w:hAnsi="Times New Roman" w:eastAsia="楷体_GB2312" w:cs="Times New Roman"/>
                <w:color w:val="000000" w:themeColor="text1"/>
                <w:sz w:val="20"/>
                <w:szCs w:val="20"/>
                <w14:textFill>
                  <w14:solidFill>
                    <w14:schemeClr w14:val="tx1"/>
                  </w14:solidFill>
                </w14:textFill>
              </w:rPr>
              <w:t>购买理财产品的，</w:t>
            </w:r>
            <w:r>
              <w:rPr>
                <w:rFonts w:hint="eastAsia" w:ascii="Times New Roman" w:hAnsi="Times New Roman" w:eastAsia="楷体_GB2312" w:cs="Times New Roman"/>
                <w:color w:val="000000" w:themeColor="text1"/>
                <w:sz w:val="20"/>
                <w:szCs w:val="20"/>
                <w14:textFill>
                  <w14:solidFill>
                    <w14:schemeClr w14:val="tx1"/>
                  </w14:solidFill>
                </w14:textFill>
              </w:rPr>
              <w:t>募集期</w:t>
            </w:r>
            <w:r>
              <w:rPr>
                <w:rFonts w:ascii="Times New Roman" w:hAnsi="Times New Roman" w:eastAsia="楷体_GB2312" w:cs="Times New Roman"/>
                <w:color w:val="000000" w:themeColor="text1"/>
                <w:sz w:val="20"/>
                <w:szCs w:val="20"/>
                <w14:textFill>
                  <w14:solidFill>
                    <w14:schemeClr w14:val="tx1"/>
                  </w14:solidFill>
                </w14:textFill>
              </w:rPr>
              <w:t>内是否可以撤单</w:t>
            </w:r>
            <w:r>
              <w:rPr>
                <w:rFonts w:hint="eastAsia" w:ascii="Times New Roman" w:hAnsi="Times New Roman" w:eastAsia="楷体_GB2312" w:cs="Times New Roman"/>
                <w:color w:val="000000" w:themeColor="text1"/>
                <w:sz w:val="20"/>
                <w:szCs w:val="20"/>
                <w14:textFill>
                  <w14:solidFill>
                    <w14:schemeClr w14:val="tx1"/>
                  </w14:solidFill>
                </w14:textFill>
              </w:rPr>
              <w:t>以及</w:t>
            </w:r>
            <w:r>
              <w:rPr>
                <w:rFonts w:ascii="Times New Roman" w:hAnsi="Times New Roman" w:eastAsia="楷体_GB2312" w:cs="Times New Roman"/>
                <w:color w:val="000000" w:themeColor="text1"/>
                <w:sz w:val="20"/>
                <w:szCs w:val="20"/>
                <w14:textFill>
                  <w14:solidFill>
                    <w14:schemeClr w14:val="tx1"/>
                  </w14:solidFill>
                </w14:textFill>
              </w:rPr>
              <w:t>撤单规则，以代销机构说明或公布的操作方式为准。</w:t>
            </w:r>
          </w:p>
          <w:p w14:paraId="428D9695">
            <w:pPr>
              <w:pStyle w:val="19"/>
              <w:spacing w:line="300" w:lineRule="exact"/>
              <w:ind w:left="358" w:right="36" w:rightChars="15" w:firstLine="0" w:firstLineChars="0"/>
              <w:rPr>
                <w:rFonts w:ascii="Times New Roman" w:hAnsi="Times New Roman" w:eastAsia="楷体_GB2312" w:cs="Times New Roman"/>
                <w:color w:val="000000" w:themeColor="text1"/>
                <w:sz w:val="20"/>
                <w:szCs w:val="20"/>
                <w14:textFill>
                  <w14:solidFill>
                    <w14:schemeClr w14:val="tx1"/>
                  </w14:solidFill>
                </w14:textFill>
              </w:rPr>
            </w:pPr>
            <w:r>
              <w:rPr>
                <w:rFonts w:hint="eastAsia" w:ascii="Times New Roman" w:hAnsi="Times New Roman" w:eastAsia="楷体_GB2312" w:cs="Times New Roman"/>
                <w:color w:val="000000" w:themeColor="text1"/>
                <w:sz w:val="20"/>
                <w:szCs w:val="20"/>
                <w14:textFill>
                  <w14:solidFill>
                    <w14:schemeClr w14:val="tx1"/>
                  </w14:solidFill>
                </w14:textFill>
              </w:rPr>
              <w:t>“可以</w:t>
            </w:r>
            <w:r>
              <w:rPr>
                <w:rFonts w:ascii="Times New Roman" w:hAnsi="Times New Roman" w:eastAsia="楷体_GB2312" w:cs="Times New Roman"/>
                <w:color w:val="000000" w:themeColor="text1"/>
                <w:sz w:val="20"/>
                <w:szCs w:val="20"/>
                <w14:textFill>
                  <w14:solidFill>
                    <w14:schemeClr w14:val="tx1"/>
                  </w14:solidFill>
                </w14:textFill>
              </w:rPr>
              <w:t>撤单</w:t>
            </w:r>
            <w:r>
              <w:rPr>
                <w:rFonts w:hint="eastAsia" w:ascii="Times New Roman" w:hAnsi="Times New Roman" w:eastAsia="楷体_GB2312" w:cs="Times New Roman"/>
                <w:color w:val="000000" w:themeColor="text1"/>
                <w:sz w:val="20"/>
                <w:szCs w:val="20"/>
                <w14:textFill>
                  <w14:solidFill>
                    <w14:schemeClr w14:val="tx1"/>
                  </w14:solidFill>
                </w14:textFill>
              </w:rPr>
              <w:t>”则</w:t>
            </w:r>
            <w:r>
              <w:rPr>
                <w:rFonts w:ascii="Times New Roman" w:hAnsi="Times New Roman" w:eastAsia="楷体_GB2312" w:cs="Times New Roman"/>
                <w:color w:val="000000" w:themeColor="text1"/>
                <w:sz w:val="20"/>
                <w:szCs w:val="20"/>
                <w14:textFill>
                  <w14:solidFill>
                    <w14:schemeClr w14:val="tx1"/>
                  </w14:solidFill>
                </w14:textFill>
              </w:rPr>
              <w:t>意味着</w:t>
            </w:r>
            <w:r>
              <w:rPr>
                <w:rFonts w:hint="eastAsia" w:ascii="Times New Roman" w:hAnsi="Times New Roman" w:eastAsia="楷体_GB2312" w:cs="Times New Roman"/>
                <w:color w:val="000000" w:themeColor="text1"/>
                <w:sz w:val="20"/>
                <w:szCs w:val="20"/>
                <w14:textFill>
                  <w14:solidFill>
                    <w14:schemeClr w14:val="tx1"/>
                  </w14:solidFill>
                </w14:textFill>
              </w:rPr>
              <w:t>投资者有权撤销其已向信银理财或代销机构提交的认购申请。</w:t>
            </w:r>
          </w:p>
          <w:p w14:paraId="1D58EEDF">
            <w:pPr>
              <w:pStyle w:val="19"/>
              <w:numPr>
                <w:ilvl w:val="0"/>
                <w:numId w:val="1"/>
              </w:numPr>
              <w:spacing w:line="300" w:lineRule="exact"/>
              <w:ind w:right="36" w:rightChars="15" w:firstLineChars="0"/>
              <w:rPr>
                <w:rFonts w:ascii="Times New Roman" w:hAnsi="Times New Roman" w:eastAsia="楷体_GB2312" w:cs="Times New Roman"/>
                <w:color w:val="000000" w:themeColor="text1"/>
                <w:sz w:val="20"/>
                <w:szCs w:val="20"/>
                <w14:textFill>
                  <w14:solidFill>
                    <w14:schemeClr w14:val="tx1"/>
                  </w14:solidFill>
                </w14:textFill>
              </w:rPr>
            </w:pPr>
            <w:r>
              <w:rPr>
                <w:rFonts w:hint="eastAsia" w:ascii="Times New Roman" w:hAnsi="Times New Roman" w:eastAsia="楷体_GB2312" w:cs="Times New Roman"/>
                <w:color w:val="000000" w:themeColor="text1"/>
                <w:sz w:val="20"/>
                <w:szCs w:val="20"/>
                <w14:textFill>
                  <w14:solidFill>
                    <w14:schemeClr w14:val="tx1"/>
                  </w14:solidFill>
                </w14:textFill>
              </w:rPr>
              <w:t>募集期内管理人不向投资者认购款项计付利息，是否计付利息以代销机构为准。</w:t>
            </w:r>
          </w:p>
        </w:tc>
      </w:tr>
      <w:tr w14:paraId="611F8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38A2AEB">
            <w:pPr>
              <w:spacing w:line="300" w:lineRule="atLeast"/>
              <w:ind w:left="-2" w:right="31"/>
              <w:rPr>
                <w:rFonts w:ascii="Times New Roman" w:hAnsi="Times New Roman" w:eastAsia="楷体_GB2312" w:cs="Times New Roman"/>
                <w:color w:val="000000" w:themeColor="text1"/>
                <w:sz w:val="20"/>
                <w:szCs w:val="20"/>
                <w14:textFill>
                  <w14:solidFill>
                    <w14:schemeClr w14:val="tx1"/>
                  </w14:solidFill>
                </w14:textFill>
              </w:rPr>
            </w:pPr>
            <w:r>
              <w:rPr>
                <w:rFonts w:hint="eastAsia" w:ascii="Times New Roman" w:hAnsi="Times New Roman" w:eastAsia="楷体_GB2312" w:cs="Times New Roman"/>
                <w:color w:val="000000" w:themeColor="text1"/>
                <w:sz w:val="20"/>
                <w:szCs w:val="20"/>
                <w14:textFill>
                  <w14:solidFill>
                    <w14:schemeClr w14:val="tx1"/>
                  </w14:solidFill>
                </w14:textFill>
              </w:rPr>
              <w:t>运作</w:t>
            </w:r>
            <w:r>
              <w:rPr>
                <w:rFonts w:ascii="Times New Roman" w:hAnsi="Times New Roman" w:eastAsia="楷体_GB2312" w:cs="Times New Roman"/>
                <w:color w:val="000000" w:themeColor="text1"/>
                <w:sz w:val="20"/>
                <w:szCs w:val="20"/>
                <w14:textFill>
                  <w14:solidFill>
                    <w14:schemeClr w14:val="tx1"/>
                  </w14:solidFill>
                </w14:textFill>
              </w:rPr>
              <w:t>起始</w:t>
            </w:r>
            <w:r>
              <w:rPr>
                <w:rFonts w:hint="eastAsia" w:ascii="Times New Roman" w:hAnsi="Times New Roman" w:eastAsia="楷体_GB2312" w:cs="Times New Roman"/>
                <w:color w:val="000000" w:themeColor="text1"/>
                <w:sz w:val="20"/>
                <w:szCs w:val="20"/>
                <w14:textFill>
                  <w14:solidFill>
                    <w14:schemeClr w14:val="tx1"/>
                  </w14:solidFill>
                </w14:textFill>
              </w:rPr>
              <w:t>日</w:t>
            </w:r>
          </w:p>
        </w:tc>
        <w:tc>
          <w:tcPr>
            <w:tcW w:w="3740" w:type="pct"/>
            <w:vAlign w:val="center"/>
          </w:tcPr>
          <w:p w14:paraId="4A62251B">
            <w:pPr>
              <w:spacing w:line="300" w:lineRule="atLeast"/>
              <w:ind w:left="-2" w:right="31"/>
              <w:rPr>
                <w:rFonts w:ascii="楷体_GB2312" w:hAnsi="Times New Roman" w:eastAsia="楷体_GB2312" w:cs="Times New Roman"/>
                <w:color w:val="000000" w:themeColor="text1"/>
                <w:sz w:val="20"/>
                <w:szCs w:val="20"/>
                <w14:textFill>
                  <w14:solidFill>
                    <w14:schemeClr w14:val="tx1"/>
                  </w14:solidFill>
                </w14:textFill>
              </w:rPr>
            </w:pPr>
            <w:r>
              <w:rPr>
                <w:rFonts w:hint="eastAsia" w:ascii="楷体_GB2312" w:eastAsia="楷体_GB2312" w:cs="Times New Roman"/>
                <w:color w:val="000000" w:themeColor="text1"/>
                <w:sz w:val="20"/>
                <w:szCs w:val="20"/>
                <w14:textFill>
                  <w14:solidFill>
                    <w14:schemeClr w14:val="tx1"/>
                  </w14:solidFill>
                </w14:textFill>
              </w:rPr>
              <w:t>【</w:t>
            </w:r>
            <w:r>
              <w:rPr>
                <w:rFonts w:ascii="楷体_GB2312" w:eastAsia="楷体_GB2312" w:cs="Times New Roman"/>
                <w:color w:val="000000" w:themeColor="text1"/>
                <w:sz w:val="20"/>
                <w:szCs w:val="20"/>
                <w14:textFill>
                  <w14:solidFill>
                    <w14:schemeClr w14:val="tx1"/>
                  </w14:solidFill>
                </w14:textFill>
              </w:rPr>
              <w:t>2024】年【12】月【12】日</w:t>
            </w:r>
            <w:r>
              <w:rPr>
                <w:rFonts w:hint="eastAsia" w:ascii="楷体_GB2312" w:hAnsi="Times New Roman" w:eastAsia="楷体_GB2312" w:cs="Times New Roman"/>
                <w:color w:val="000000" w:themeColor="text1"/>
                <w:sz w:val="20"/>
                <w:szCs w:val="20"/>
                <w14:textFill>
                  <w14:solidFill>
                    <w14:schemeClr w14:val="tx1"/>
                  </w14:solidFill>
                </w14:textFill>
              </w:rPr>
              <w:t>（如信银理财调整募集期，则运作起始日将相应调整。）</w:t>
            </w:r>
          </w:p>
        </w:tc>
      </w:tr>
      <w:tr w14:paraId="380A6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6700ED45">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产品建仓期</w:t>
            </w:r>
          </w:p>
        </w:tc>
        <w:tc>
          <w:tcPr>
            <w:tcW w:w="3740" w:type="pct"/>
            <w:vAlign w:val="center"/>
          </w:tcPr>
          <w:p w14:paraId="74AC5C97">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【2024】年【12】月【12】日至【2025】年【1】月【11】日。</w:t>
            </w:r>
          </w:p>
        </w:tc>
      </w:tr>
      <w:tr w14:paraId="0297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5427CE37">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到期日</w:t>
            </w:r>
          </w:p>
        </w:tc>
        <w:tc>
          <w:tcPr>
            <w:tcW w:w="3740" w:type="pct"/>
            <w:vAlign w:val="center"/>
          </w:tcPr>
          <w:p w14:paraId="3AF6E677">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sz w:val="20"/>
                <w:szCs w:val="20"/>
              </w:rPr>
              <w:t>无固定期限</w:t>
            </w:r>
          </w:p>
        </w:tc>
      </w:tr>
      <w:tr w14:paraId="0E08E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1AC0C761">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最短</w:t>
            </w:r>
            <w:r>
              <w:rPr>
                <w:rFonts w:ascii="楷体_GB2312" w:eastAsia="楷体_GB2312" w:cs="楷体_GB2312"/>
                <w:color w:val="000000" w:themeColor="text1"/>
                <w:sz w:val="20"/>
                <w:szCs w:val="20"/>
                <w14:textFill>
                  <w14:solidFill>
                    <w14:schemeClr w14:val="tx1"/>
                  </w14:solidFill>
                </w14:textFill>
              </w:rPr>
              <w:t>持有期</w:t>
            </w:r>
          </w:p>
        </w:tc>
        <w:tc>
          <w:tcPr>
            <w:tcW w:w="3740" w:type="pct"/>
            <w:vAlign w:val="center"/>
          </w:tcPr>
          <w:p w14:paraId="786EBA3C">
            <w:pPr>
              <w:spacing w:line="300" w:lineRule="exact"/>
              <w:ind w:left="-2" w:leftChars="-1" w:right="96" w:rightChars="4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w:t>
            </w:r>
            <w:r>
              <w:rPr>
                <w:rFonts w:ascii="楷体_GB2312" w:eastAsia="楷体_GB2312" w:cs="楷体_GB2312"/>
                <w:color w:val="000000" w:themeColor="text1"/>
                <w:sz w:val="20"/>
                <w:szCs w:val="20"/>
                <w14:textFill>
                  <w14:solidFill>
                    <w14:schemeClr w14:val="tx1"/>
                  </w14:solidFill>
                </w14:textFill>
              </w:rPr>
              <w:t>产品的最短持有期为【</w:t>
            </w:r>
            <w:r>
              <w:rPr>
                <w:rFonts w:hint="eastAsia" w:ascii="楷体_GB2312" w:eastAsia="楷体_GB2312" w:cs="楷体_GB2312"/>
                <w:color w:val="000000" w:themeColor="text1"/>
                <w:sz w:val="20"/>
                <w:szCs w:val="20"/>
                <w14:textFill>
                  <w14:solidFill>
                    <w14:schemeClr w14:val="tx1"/>
                  </w14:solidFill>
                </w14:textFill>
              </w:rPr>
              <w:t>90</w:t>
            </w:r>
            <w:r>
              <w:rPr>
                <w:rFonts w:ascii="楷体_GB2312" w:eastAsia="楷体_GB2312" w:cs="楷体_GB2312"/>
                <w:color w:val="000000" w:themeColor="text1"/>
                <w:sz w:val="20"/>
                <w:szCs w:val="20"/>
                <w14:textFill>
                  <w14:solidFill>
                    <w14:schemeClr w14:val="tx1"/>
                  </w14:solidFill>
                </w14:textFill>
              </w:rPr>
              <w:t>】自然</w:t>
            </w:r>
            <w:r>
              <w:rPr>
                <w:rFonts w:hint="eastAsia" w:ascii="楷体_GB2312" w:eastAsia="楷体_GB2312" w:cs="楷体_GB2312"/>
                <w:color w:val="000000" w:themeColor="text1"/>
                <w:sz w:val="20"/>
                <w:szCs w:val="20"/>
                <w14:textFill>
                  <w14:solidFill>
                    <w14:schemeClr w14:val="tx1"/>
                  </w14:solidFill>
                </w14:textFill>
              </w:rPr>
              <w:t>日，</w:t>
            </w:r>
            <w:r>
              <w:rPr>
                <w:rFonts w:ascii="楷体_GB2312" w:eastAsia="楷体_GB2312" w:cs="楷体_GB2312"/>
                <w:color w:val="000000" w:themeColor="text1"/>
                <w:sz w:val="20"/>
                <w:szCs w:val="20"/>
                <w14:textFill>
                  <w14:solidFill>
                    <w14:schemeClr w14:val="tx1"/>
                  </w14:solidFill>
                </w14:textFill>
              </w:rPr>
              <w:t>即投资者成功购买本产品份额后，自该份额确认日（</w:t>
            </w:r>
            <w:r>
              <w:rPr>
                <w:rFonts w:hint="eastAsia" w:ascii="楷体_GB2312" w:eastAsia="楷体_GB2312" w:cs="楷体_GB2312"/>
                <w:color w:val="000000" w:themeColor="text1"/>
                <w:sz w:val="20"/>
                <w:szCs w:val="20"/>
                <w14:textFill>
                  <w14:solidFill>
                    <w14:schemeClr w14:val="tx1"/>
                  </w14:solidFill>
                </w14:textFill>
              </w:rPr>
              <w:t>含</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起</w:t>
            </w:r>
            <w:r>
              <w:rPr>
                <w:rFonts w:ascii="楷体_GB2312" w:eastAsia="楷体_GB2312" w:cs="楷体_GB2312"/>
                <w:color w:val="000000" w:themeColor="text1"/>
                <w:sz w:val="20"/>
                <w:szCs w:val="20"/>
                <w14:textFill>
                  <w14:solidFill>
                    <w14:schemeClr w14:val="tx1"/>
                  </w14:solidFill>
                </w14:textFill>
              </w:rPr>
              <w:t>连续持有超过【</w:t>
            </w:r>
            <w:r>
              <w:rPr>
                <w:rFonts w:hint="eastAsia" w:ascii="楷体_GB2312" w:eastAsia="楷体_GB2312" w:cs="楷体_GB2312"/>
                <w:color w:val="000000" w:themeColor="text1"/>
                <w:sz w:val="20"/>
                <w:szCs w:val="20"/>
                <w14:textFill>
                  <w14:solidFill>
                    <w14:schemeClr w14:val="tx1"/>
                  </w14:solidFill>
                </w14:textFill>
              </w:rPr>
              <w:t>90</w:t>
            </w:r>
            <w:r>
              <w:rPr>
                <w:rFonts w:ascii="楷体_GB2312" w:eastAsia="楷体_GB2312" w:cs="楷体_GB2312"/>
                <w:color w:val="000000" w:themeColor="text1"/>
                <w:sz w:val="20"/>
                <w:szCs w:val="20"/>
                <w14:textFill>
                  <w14:solidFill>
                    <w14:schemeClr w14:val="tx1"/>
                  </w14:solidFill>
                </w14:textFill>
              </w:rPr>
              <w:t>】自然</w:t>
            </w:r>
            <w:r>
              <w:rPr>
                <w:rFonts w:hint="eastAsia" w:ascii="楷体_GB2312" w:eastAsia="楷体_GB2312" w:cs="楷体_GB2312"/>
                <w:color w:val="000000" w:themeColor="text1"/>
                <w:sz w:val="20"/>
                <w:szCs w:val="20"/>
                <w14:textFill>
                  <w14:solidFill>
                    <w14:schemeClr w14:val="tx1"/>
                  </w14:solidFill>
                </w14:textFill>
              </w:rPr>
              <w:t>日</w:t>
            </w:r>
            <w:r>
              <w:rPr>
                <w:rFonts w:ascii="楷体_GB2312" w:eastAsia="楷体_GB2312" w:cs="楷体_GB2312"/>
                <w:color w:val="000000" w:themeColor="text1"/>
                <w:sz w:val="20"/>
                <w:szCs w:val="20"/>
                <w14:textFill>
                  <w14:solidFill>
                    <w14:schemeClr w14:val="tx1"/>
                  </w14:solidFill>
                </w14:textFill>
              </w:rPr>
              <w:t>，方可在开放日的交易时间发起相应份额的赎回申请</w:t>
            </w:r>
            <w:r>
              <w:rPr>
                <w:rFonts w:hint="eastAsia" w:ascii="楷体_GB2312" w:eastAsia="楷体_GB2312" w:cs="楷体_GB2312"/>
                <w:color w:val="000000" w:themeColor="text1"/>
                <w:sz w:val="20"/>
                <w:szCs w:val="20"/>
                <w14:textFill>
                  <w14:solidFill>
                    <w14:schemeClr w14:val="tx1"/>
                  </w14:solidFill>
                </w14:textFill>
              </w:rPr>
              <w:t>。</w:t>
            </w:r>
          </w:p>
        </w:tc>
      </w:tr>
      <w:tr w14:paraId="50951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2589115">
            <w:pPr>
              <w:spacing w:line="300" w:lineRule="exact"/>
              <w:ind w:left="-2" w:leftChars="-1" w:right="36" w:rightChars="15"/>
              <w:rPr>
                <w:rFonts w:ascii="Times New Roman" w:eastAsia="楷体_GB2312" w:cs="楷体_GB2312"/>
                <w:color w:val="000000" w:themeColor="text1"/>
                <w:sz w:val="20"/>
                <w:szCs w:val="20"/>
                <w:highlight w:val="yellow"/>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开放日</w:t>
            </w:r>
          </w:p>
        </w:tc>
        <w:tc>
          <w:tcPr>
            <w:tcW w:w="3740" w:type="pct"/>
            <w:vAlign w:val="center"/>
          </w:tcPr>
          <w:p w14:paraId="32D38707">
            <w:pPr>
              <w:spacing w:line="300" w:lineRule="exact"/>
              <w:ind w:left="-2" w:leftChars="-1" w:right="96" w:rightChars="40"/>
              <w:rPr>
                <w:rFonts w:ascii="楷体_GB2312" w:eastAsia="楷体_GB2312" w:cs="楷体_GB2312"/>
                <w:sz w:val="20"/>
                <w:szCs w:val="20"/>
              </w:rPr>
            </w:pPr>
            <w:r>
              <w:rPr>
                <w:rFonts w:hint="eastAsia" w:ascii="楷体_GB2312" w:eastAsia="楷体_GB2312" w:cs="楷体_GB2312"/>
                <w:color w:val="000000" w:themeColor="text1"/>
                <w:sz w:val="20"/>
                <w:szCs w:val="20"/>
                <w14:textFill>
                  <w14:solidFill>
                    <w14:schemeClr w14:val="tx1"/>
                  </w14:solidFill>
                </w14:textFill>
              </w:rPr>
              <w:t>1</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本产品首个申购开放日为【2024】年【12】月【13】日</w:t>
            </w:r>
            <w:r>
              <w:rPr>
                <w:rFonts w:ascii="楷体_GB2312" w:eastAsia="楷体_GB2312" w:cs="楷体_GB2312"/>
                <w:sz w:val="20"/>
                <w:szCs w:val="20"/>
              </w:rPr>
              <w:t>，之后【</w:t>
            </w:r>
            <w:r>
              <w:rPr>
                <w:rFonts w:hint="eastAsia" w:ascii="楷体_GB2312" w:eastAsia="楷体_GB2312" w:cs="楷体_GB2312"/>
                <w:sz w:val="20"/>
                <w:szCs w:val="20"/>
              </w:rPr>
              <w:t>每个</w:t>
            </w:r>
            <w:r>
              <w:rPr>
                <w:rFonts w:ascii="楷体_GB2312" w:eastAsia="楷体_GB2312" w:cs="楷体_GB2312"/>
                <w:sz w:val="20"/>
                <w:szCs w:val="20"/>
              </w:rPr>
              <w:t>工作日】开放申购（如遇非工作日则顺延至下一工作日）。</w:t>
            </w:r>
          </w:p>
          <w:p w14:paraId="1F8081B0">
            <w:pPr>
              <w:spacing w:line="300" w:lineRule="exact"/>
              <w:ind w:right="96" w:rightChars="40"/>
              <w:rPr>
                <w:rFonts w:ascii="楷体_GB2312" w:eastAsia="楷体_GB2312" w:cs="楷体_GB2312"/>
                <w:sz w:val="20"/>
                <w:szCs w:val="20"/>
              </w:rPr>
            </w:pPr>
            <w:r>
              <w:rPr>
                <w:rFonts w:ascii="楷体_GB2312" w:eastAsia="楷体_GB2312" w:cs="楷体_GB2312"/>
                <w:sz w:val="20"/>
                <w:szCs w:val="20"/>
              </w:rPr>
              <w:t>2.本产品【</w:t>
            </w:r>
            <w:r>
              <w:rPr>
                <w:rFonts w:hint="eastAsia" w:ascii="楷体_GB2312" w:eastAsia="楷体_GB2312" w:cs="楷体_GB2312"/>
                <w:sz w:val="20"/>
                <w:szCs w:val="20"/>
              </w:rPr>
              <w:t>每个工作日</w:t>
            </w:r>
            <w:r>
              <w:rPr>
                <w:rFonts w:ascii="楷体_GB2312" w:eastAsia="楷体_GB2312" w:cs="楷体_GB2312"/>
                <w:sz w:val="20"/>
                <w:szCs w:val="20"/>
              </w:rPr>
              <w:t>】开放赎回，投资者可以针对超过最短持有期后的产品份额发起赎回申请（如遇非工作日则顺延至下一工作日）。</w:t>
            </w:r>
          </w:p>
          <w:p w14:paraId="2743DB72">
            <w:pPr>
              <w:spacing w:line="300" w:lineRule="exact"/>
              <w:ind w:left="-2" w:leftChars="-1" w:right="96" w:rightChars="40"/>
              <w:rPr>
                <w:rFonts w:ascii="楷体_GB2312" w:eastAsia="楷体_GB2312" w:cs="楷体_GB2312"/>
                <w:color w:val="000000" w:themeColor="text1"/>
                <w:sz w:val="20"/>
                <w:szCs w:val="20"/>
                <w:highlight w:val="yellow"/>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3.如因实际投资运作需要等因素，管理人有权增加或调整开放日</w:t>
            </w:r>
            <w:r>
              <w:rPr>
                <w:rFonts w:hint="eastAsia" w:ascii="楷体_GB2312" w:eastAsia="楷体_GB2312" w:cs="楷体_GB2312"/>
                <w:color w:val="000000" w:themeColor="text1"/>
                <w:sz w:val="20"/>
                <w:szCs w:val="20"/>
                <w14:textFill>
                  <w14:solidFill>
                    <w14:schemeClr w14:val="tx1"/>
                  </w14:solidFill>
                </w14:textFill>
              </w:rPr>
              <w:t>和</w:t>
            </w:r>
            <w:r>
              <w:rPr>
                <w:rFonts w:ascii="楷体_GB2312" w:eastAsia="楷体_GB2312" w:cs="楷体_GB2312"/>
                <w:color w:val="000000" w:themeColor="text1"/>
                <w:sz w:val="20"/>
                <w:szCs w:val="20"/>
                <w14:textFill>
                  <w14:solidFill>
                    <w14:schemeClr w14:val="tx1"/>
                  </w14:solidFill>
                </w14:textFill>
              </w:rPr>
              <w:t>到期日，并最迟于增加或调整生效前</w:t>
            </w:r>
            <w:r>
              <w:rPr>
                <w:rFonts w:hint="eastAsia" w:ascii="楷体_GB2312" w:eastAsia="楷体_GB2312" w:cs="楷体_GB2312"/>
                <w:color w:val="000000" w:themeColor="text1"/>
                <w:sz w:val="20"/>
                <w:szCs w:val="20"/>
                <w14:textFill>
                  <w14:solidFill>
                    <w14:schemeClr w14:val="tx1"/>
                  </w14:solidFill>
                </w14:textFill>
              </w:rPr>
              <w:t>【2</w:t>
            </w:r>
            <w:r>
              <w:rPr>
                <w:rFonts w:ascii="楷体_GB2312" w:eastAsia="楷体_GB2312" w:cs="楷体_GB2312"/>
                <w:color w:val="000000" w:themeColor="text1"/>
                <w:sz w:val="20"/>
                <w:szCs w:val="20"/>
                <w14:textFill>
                  <w14:solidFill>
                    <w14:schemeClr w14:val="tx1"/>
                  </w14:solidFill>
                </w14:textFill>
              </w:rPr>
              <w:t>】个工作日</w:t>
            </w:r>
            <w:r>
              <w:rPr>
                <w:rFonts w:hint="eastAsia" w:ascii="楷体_GB2312" w:eastAsia="楷体_GB2312" w:cs="楷体_GB2312"/>
                <w:color w:val="000000" w:themeColor="text1"/>
                <w:sz w:val="20"/>
                <w:szCs w:val="20"/>
                <w14:textFill>
                  <w14:solidFill>
                    <w14:schemeClr w14:val="tx1"/>
                  </w14:solidFill>
                </w14:textFill>
              </w:rPr>
              <w:t>以</w:t>
            </w:r>
            <w:r>
              <w:rPr>
                <w:rFonts w:ascii="楷体_GB2312" w:eastAsia="楷体_GB2312" w:cs="楷体_GB2312"/>
                <w:color w:val="000000" w:themeColor="text1"/>
                <w:sz w:val="20"/>
                <w:szCs w:val="20"/>
                <w14:textFill>
                  <w14:solidFill>
                    <w14:schemeClr w14:val="tx1"/>
                  </w14:solidFill>
                </w14:textFill>
              </w:rPr>
              <w:t>本说明书约定的方式</w:t>
            </w:r>
            <w:r>
              <w:rPr>
                <w:rFonts w:hint="eastAsia" w:ascii="楷体_GB2312" w:eastAsia="楷体_GB2312" w:cs="楷体_GB2312"/>
                <w:color w:val="000000" w:themeColor="text1"/>
                <w:sz w:val="20"/>
                <w:szCs w:val="20"/>
                <w14:textFill>
                  <w14:solidFill>
                    <w14:schemeClr w14:val="tx1"/>
                  </w14:solidFill>
                </w14:textFill>
              </w:rPr>
              <w:t>向投资者发布相关信息</w:t>
            </w:r>
            <w:r>
              <w:rPr>
                <w:rFonts w:ascii="楷体_GB2312" w:eastAsia="楷体_GB2312" w:cs="楷体_GB2312"/>
                <w:color w:val="000000" w:themeColor="text1"/>
                <w:sz w:val="20"/>
                <w:szCs w:val="20"/>
                <w14:textFill>
                  <w14:solidFill>
                    <w14:schemeClr w14:val="tx1"/>
                  </w14:solidFill>
                </w14:textFill>
              </w:rPr>
              <w:t xml:space="preserve">。 </w:t>
            </w:r>
          </w:p>
        </w:tc>
      </w:tr>
      <w:tr w14:paraId="519B6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7F0A3A3">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清算期</w:t>
            </w:r>
          </w:p>
        </w:tc>
        <w:tc>
          <w:tcPr>
            <w:tcW w:w="3740" w:type="pct"/>
            <w:vAlign w:val="center"/>
          </w:tcPr>
          <w:p w14:paraId="4823934C">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到期日（或理财产品实际终止日）至投资者持有</w:t>
            </w:r>
            <w:r>
              <w:rPr>
                <w:rFonts w:ascii="楷体_GB2312" w:eastAsia="楷体_GB2312" w:cs="楷体_GB2312"/>
                <w:color w:val="000000" w:themeColor="text1"/>
                <w:sz w:val="20"/>
                <w:szCs w:val="20"/>
                <w14:textFill>
                  <w14:solidFill>
                    <w14:schemeClr w14:val="tx1"/>
                  </w14:solidFill>
                </w14:textFill>
              </w:rPr>
              <w:t>的本</w:t>
            </w: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产品份额清零之日</w:t>
            </w:r>
            <w:r>
              <w:rPr>
                <w:rFonts w:hint="eastAsia" w:ascii="楷体_GB2312" w:eastAsia="楷体_GB2312" w:cs="楷体_GB2312"/>
                <w:color w:val="000000" w:themeColor="text1"/>
                <w:sz w:val="20"/>
                <w:szCs w:val="20"/>
                <w14:textFill>
                  <w14:solidFill>
                    <w14:schemeClr w14:val="tx1"/>
                  </w14:solidFill>
                </w14:textFill>
              </w:rPr>
              <w:t>为清算期。</w:t>
            </w:r>
          </w:p>
        </w:tc>
      </w:tr>
      <w:tr w14:paraId="33EAF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456801AD">
            <w:pPr>
              <w:spacing w:line="300" w:lineRule="exact"/>
              <w:ind w:right="36" w:rightChars="15"/>
              <w:rPr>
                <w:rFonts w:ascii="Times New Roman" w:eastAsia="楷体_GB2312" w:cs="楷体_GB2312"/>
                <w:color w:val="000000" w:themeColor="text1"/>
                <w:sz w:val="20"/>
                <w:szCs w:val="20"/>
                <w14:textFill>
                  <w14:solidFill>
                    <w14:schemeClr w14:val="tx1"/>
                  </w14:solidFill>
                </w14:textFill>
              </w:rPr>
            </w:pPr>
            <w:r>
              <w:rPr>
                <w:rFonts w:ascii="Times New Roman" w:eastAsia="楷体_GB2312" w:cs="楷体_GB2312"/>
                <w:color w:val="000000" w:themeColor="text1"/>
                <w:sz w:val="20"/>
                <w:szCs w:val="20"/>
                <w14:textFill>
                  <w14:solidFill>
                    <w14:schemeClr w14:val="tx1"/>
                  </w14:solidFill>
                </w14:textFill>
              </w:rPr>
              <w:t>业绩</w:t>
            </w:r>
            <w:r>
              <w:rPr>
                <w:rFonts w:hint="eastAsia" w:ascii="Times New Roman" w:eastAsia="楷体_GB2312" w:cs="楷体_GB2312"/>
                <w:color w:val="000000" w:themeColor="text1"/>
                <w:sz w:val="20"/>
                <w:szCs w:val="20"/>
                <w14:textFill>
                  <w14:solidFill>
                    <w14:schemeClr w14:val="tx1"/>
                  </w14:solidFill>
                </w14:textFill>
              </w:rPr>
              <w:t>比较</w:t>
            </w:r>
            <w:r>
              <w:rPr>
                <w:rFonts w:ascii="Times New Roman" w:eastAsia="楷体_GB2312" w:cs="楷体_GB2312"/>
                <w:color w:val="000000" w:themeColor="text1"/>
                <w:sz w:val="20"/>
                <w:szCs w:val="20"/>
                <w14:textFill>
                  <w14:solidFill>
                    <w14:schemeClr w14:val="tx1"/>
                  </w14:solidFill>
                </w14:textFill>
              </w:rPr>
              <w:t>基准</w:t>
            </w:r>
          </w:p>
        </w:tc>
        <w:tc>
          <w:tcPr>
            <w:tcW w:w="3740" w:type="pct"/>
            <w:vAlign w:val="center"/>
          </w:tcPr>
          <w:p w14:paraId="3AF332EF">
            <w:pPr>
              <w:spacing w:line="300" w:lineRule="exact"/>
              <w:ind w:right="36" w:rightChars="15"/>
              <w:jc w:val="both"/>
              <w:rPr>
                <w:rFonts w:ascii="楷体_GB2312" w:eastAsia="楷体_GB2312" w:cs="楷体_GB2312"/>
                <w:color w:val="000000" w:themeColor="text1"/>
                <w:sz w:val="20"/>
                <w:szCs w:val="20"/>
                <w:highlight w:val="yellow"/>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【B】类份额：【中债</w:t>
            </w:r>
            <w:r>
              <w:rPr>
                <w:rFonts w:ascii="楷体_GB2312" w:eastAsia="楷体_GB2312" w:cs="楷体_GB2312"/>
                <w:color w:val="000000" w:themeColor="text1"/>
                <w:sz w:val="20"/>
                <w:szCs w:val="20"/>
                <w14:textFill>
                  <w14:solidFill>
                    <w14:schemeClr w14:val="tx1"/>
                  </w14:solidFill>
                </w14:textFill>
              </w:rPr>
              <w:t>-新综合全价（1年以下）指数</w:t>
            </w:r>
            <w:r>
              <w:rPr>
                <w:rFonts w:hint="eastAsia" w:ascii="楷体_GB2312" w:eastAsia="楷体_GB2312" w:cs="楷体_GB2312"/>
                <w:color w:val="000000" w:themeColor="text1"/>
                <w:sz w:val="20"/>
                <w:szCs w:val="20"/>
                <w14:textFill>
                  <w14:solidFill>
                    <w14:schemeClr w14:val="tx1"/>
                  </w14:solidFill>
                </w14:textFill>
              </w:rPr>
              <w:t>】</w:t>
            </w:r>
            <w:r>
              <w:br w:type="textWrapping"/>
            </w:r>
            <w:r>
              <w:rPr>
                <w:rFonts w:hint="eastAsia" w:ascii="楷体_GB2312" w:eastAsia="楷体_GB2312" w:cs="楷体_GB2312"/>
                <w:color w:val="000000" w:themeColor="text1"/>
                <w:sz w:val="20"/>
                <w:szCs w:val="20"/>
                <w14:textFill>
                  <w14:solidFill>
                    <w14:schemeClr w14:val="tx1"/>
                  </w14:solidFill>
                </w14:textFill>
              </w:rPr>
              <w:t>【G】类份额：【中债</w:t>
            </w:r>
            <w:r>
              <w:rPr>
                <w:rFonts w:ascii="楷体_GB2312" w:eastAsia="楷体_GB2312" w:cs="楷体_GB2312"/>
                <w:color w:val="000000" w:themeColor="text1"/>
                <w:sz w:val="20"/>
                <w:szCs w:val="20"/>
                <w14:textFill>
                  <w14:solidFill>
                    <w14:schemeClr w14:val="tx1"/>
                  </w14:solidFill>
                </w14:textFill>
              </w:rPr>
              <w:t>-新综合全价（1年以下）指数</w:t>
            </w:r>
            <w:r>
              <w:rPr>
                <w:rFonts w:hint="eastAsia" w:ascii="楷体_GB2312" w:eastAsia="楷体_GB2312" w:cs="楷体_GB2312"/>
                <w:color w:val="000000" w:themeColor="text1"/>
                <w:sz w:val="20"/>
                <w:szCs w:val="20"/>
                <w14:textFill>
                  <w14:solidFill>
                    <w14:schemeClr w14:val="tx1"/>
                  </w14:solidFill>
                </w14:textFill>
              </w:rPr>
              <w:t>】</w:t>
            </w:r>
            <w:r>
              <w:br w:type="textWrapping"/>
            </w:r>
            <w:r>
              <w:rPr>
                <w:rFonts w:hint="eastAsia" w:ascii="楷体_GB2312" w:eastAsia="楷体_GB2312" w:cs="楷体_GB2312"/>
                <w:color w:val="000000" w:themeColor="text1"/>
                <w:sz w:val="20"/>
                <w:szCs w:val="20"/>
                <w14:textFill>
                  <w14:solidFill>
                    <w14:schemeClr w14:val="tx1"/>
                  </w14:solidFill>
                </w14:textFill>
              </w:rPr>
              <w:t>【H】类份额：【中债</w:t>
            </w:r>
            <w:r>
              <w:rPr>
                <w:rFonts w:ascii="楷体_GB2312" w:eastAsia="楷体_GB2312" w:cs="楷体_GB2312"/>
                <w:color w:val="000000" w:themeColor="text1"/>
                <w:sz w:val="20"/>
                <w:szCs w:val="20"/>
                <w14:textFill>
                  <w14:solidFill>
                    <w14:schemeClr w14:val="tx1"/>
                  </w14:solidFill>
                </w14:textFill>
              </w:rPr>
              <w:t>-新综合全价（1年以下）指数</w:t>
            </w:r>
            <w:r>
              <w:rPr>
                <w:rFonts w:hint="eastAsia" w:ascii="楷体_GB2312" w:eastAsia="楷体_GB2312" w:cs="楷体_GB2312"/>
                <w:color w:val="000000" w:themeColor="text1"/>
                <w:sz w:val="20"/>
                <w:szCs w:val="20"/>
                <w14:textFill>
                  <w14:solidFill>
                    <w14:schemeClr w14:val="tx1"/>
                  </w14:solidFill>
                </w14:textFill>
              </w:rPr>
              <w:t>】</w:t>
            </w:r>
          </w:p>
          <w:p w14:paraId="7C4CF965">
            <w:pPr>
              <w:spacing w:line="300" w:lineRule="exact"/>
              <w:ind w:left="-2" w:leftChars="-1" w:right="36" w:rightChars="15"/>
              <w:jc w:val="both"/>
              <w:rPr>
                <w:rFonts w:ascii="楷体_GB2312" w:eastAsia="楷体_GB2312" w:cs="楷体_GB2312"/>
                <w:color w:val="000000" w:themeColor="text1"/>
                <w:sz w:val="20"/>
                <w:szCs w:val="20"/>
                <w14:textFill>
                  <w14:solidFill>
                    <w14:schemeClr w14:val="tx1"/>
                  </w14:solidFill>
                </w14:textFill>
              </w:rPr>
            </w:pPr>
          </w:p>
          <w:p w14:paraId="32E1F5C8">
            <w:pPr>
              <w:spacing w:line="300" w:lineRule="exact"/>
              <w:ind w:left="-2" w:leftChars="-1" w:right="36" w:rightChars="15"/>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业绩</w:t>
            </w:r>
            <w:r>
              <w:rPr>
                <w:rFonts w:hint="eastAsia" w:ascii="Times New Roman" w:eastAsia="楷体_GB2312" w:cs="楷体_GB2312"/>
                <w:color w:val="000000" w:themeColor="text1"/>
                <w:sz w:val="20"/>
                <w:szCs w:val="20"/>
                <w14:textFill>
                  <w14:solidFill>
                    <w14:schemeClr w14:val="tx1"/>
                  </w14:solidFill>
                </w14:textFill>
              </w:rPr>
              <w:t>比较</w:t>
            </w:r>
            <w:r>
              <w:rPr>
                <w:rFonts w:hint="eastAsia" w:ascii="楷体_GB2312" w:eastAsia="楷体_GB2312" w:cs="楷体_GB2312"/>
                <w:color w:val="000000" w:themeColor="text1"/>
                <w:sz w:val="20"/>
                <w:szCs w:val="20"/>
                <w14:textFill>
                  <w14:solidFill>
                    <w14:schemeClr w14:val="tx1"/>
                  </w14:solidFill>
                </w14:textFill>
              </w:rPr>
              <w:t>基准测算依据：【本理财产品为固定收益类产品，主要投向为同业存单、短融、中票、PPN、公司债、资产支持证券等标准化债权类资产。根据当前市场利率水平、组合目标久期、可投资债券的静态收益率、债券杠杆操作等因素作为测算依据，扣除相关税费成本之后，综合得出产品的业绩比较基准】。</w:t>
            </w:r>
          </w:p>
          <w:p w14:paraId="5C452985">
            <w:pPr>
              <w:spacing w:line="300" w:lineRule="exact"/>
              <w:ind w:left="-2" w:leftChars="-1" w:right="36" w:rightChars="15"/>
              <w:jc w:val="both"/>
              <w:rPr>
                <w:rFonts w:ascii="楷体_GB2312" w:eastAsia="楷体_GB2312" w:cs="楷体_GB2312"/>
                <w:b/>
                <w:bCs/>
                <w:color w:val="000000" w:themeColor="text1"/>
                <w:sz w:val="20"/>
                <w:szCs w:val="20"/>
                <w14:textFill>
                  <w14:solidFill>
                    <w14:schemeClr w14:val="tx1"/>
                  </w14:solidFill>
                </w14:textFill>
              </w:rPr>
            </w:pPr>
            <w:r>
              <w:rPr>
                <w:rFonts w:hint="eastAsia" w:ascii="楷体_GB2312" w:eastAsia="楷体_GB2312" w:cs="楷体_GB2312"/>
                <w:b/>
                <w:bCs/>
                <w:color w:val="000000" w:themeColor="text1"/>
                <w:sz w:val="20"/>
                <w:szCs w:val="20"/>
                <w14:textFill>
                  <w14:solidFill>
                    <w14:schemeClr w14:val="tx1"/>
                  </w14:solidFill>
                </w14:textFill>
              </w:rPr>
              <w:t>业绩比较基准是基于产品性质、投资策略、过往经验等因素对产品设定的投资目标，不是预期收益率，不代表产品的未来表现和实际收益，不构成对产品收益的承诺，投资须谨慎。</w:t>
            </w:r>
          </w:p>
          <w:p w14:paraId="137BA26A">
            <w:pPr>
              <w:spacing w:line="300" w:lineRule="exact"/>
              <w:ind w:left="-2" w:leftChars="-1" w:right="36" w:rightChars="15"/>
              <w:jc w:val="both"/>
              <w:rPr>
                <w:rFonts w:ascii="黑体" w:hAnsi="黑体" w:eastAsia="黑体" w:cs="楷体_GB2312"/>
                <w:b/>
                <w:color w:val="000000" w:themeColor="text1"/>
                <w:sz w:val="20"/>
                <w:szCs w:val="20"/>
                <w14:textFill>
                  <w14:solidFill>
                    <w14:schemeClr w14:val="tx1"/>
                  </w14:solidFill>
                </w14:textFill>
              </w:rPr>
            </w:pPr>
            <w:r>
              <w:rPr>
                <w:rFonts w:hint="eastAsia" w:ascii="楷体_GB2312" w:eastAsia="楷体_GB2312" w:cs="楷体_GB2312"/>
                <w:b/>
                <w:bCs/>
                <w:color w:val="000000" w:themeColor="text1"/>
                <w:sz w:val="20"/>
                <w:szCs w:val="20"/>
                <w14:textFill>
                  <w14:solidFill>
                    <w14:schemeClr w14:val="tx1"/>
                  </w14:solidFill>
                </w14:textFill>
              </w:rPr>
              <w:t>本产品收取的销售服务费可能因销售</w:t>
            </w:r>
            <w:r>
              <w:rPr>
                <w:rFonts w:ascii="楷体_GB2312" w:eastAsia="楷体_GB2312" w:cs="楷体_GB2312"/>
                <w:b/>
                <w:bCs/>
                <w:color w:val="000000" w:themeColor="text1"/>
                <w:sz w:val="20"/>
                <w:szCs w:val="20"/>
                <w14:textFill>
                  <w14:solidFill>
                    <w14:schemeClr w14:val="tx1"/>
                  </w14:solidFill>
                </w14:textFill>
              </w:rPr>
              <w:t>机构</w:t>
            </w:r>
            <w:r>
              <w:rPr>
                <w:rFonts w:hint="eastAsia" w:ascii="楷体_GB2312" w:eastAsia="楷体_GB2312" w:cs="楷体_GB2312"/>
                <w:b/>
                <w:bCs/>
                <w:color w:val="000000" w:themeColor="text1"/>
                <w:sz w:val="20"/>
                <w:szCs w:val="20"/>
                <w14:textFill>
                  <w14:solidFill>
                    <w14:schemeClr w14:val="tx1"/>
                  </w14:solidFill>
                </w14:textFill>
              </w:rPr>
              <w:t>不同有所差异，从而导致测算的业绩比较基准有所差异，请投资者关注管理人及销售机构相关信息披露。</w:t>
            </w:r>
          </w:p>
          <w:p w14:paraId="1CD80550">
            <w:pPr>
              <w:spacing w:line="300" w:lineRule="exact"/>
              <w:ind w:left="-2" w:leftChars="-1" w:right="36" w:rightChars="15"/>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若今后法律法规发生变化，或有其他代表性更强、更科学客观的业绩比较基准适用于本产品时，本产品可变更业绩比较基准并及时告知投资者。管理人有权根据法律法规要求、市场情况在每个开放日调整当期业绩比较基准，并在每个开放日前【</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个工作日以符合监管规定要求的方式向投资者披露，投资者不接受的，可于最近一个开放日赎回理财产品。</w:t>
            </w:r>
          </w:p>
        </w:tc>
      </w:tr>
      <w:tr w14:paraId="26ACF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2C4D08E">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交易时间</w:t>
            </w:r>
          </w:p>
        </w:tc>
        <w:tc>
          <w:tcPr>
            <w:tcW w:w="3740" w:type="pct"/>
            <w:vAlign w:val="center"/>
          </w:tcPr>
          <w:p w14:paraId="37D63503">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本产品认购交易时间为</w:t>
            </w:r>
            <w:r>
              <w:rPr>
                <w:rFonts w:ascii="楷体_GB2312" w:eastAsia="楷体_GB2312" w:cs="楷体_GB2312"/>
                <w:color w:val="000000" w:themeColor="text1"/>
                <w:sz w:val="20"/>
                <w:szCs w:val="20"/>
                <w14:textFill>
                  <w14:solidFill>
                    <w14:schemeClr w14:val="tx1"/>
                  </w14:solidFill>
                </w14:textFill>
              </w:rPr>
              <w:t>【8：30-</w:t>
            </w:r>
            <w:r>
              <w:rPr>
                <w:rFonts w:hint="eastAsia" w:ascii="楷体_GB2312" w:eastAsia="楷体_GB2312" w:cs="楷体_GB2312"/>
                <w:sz w:val="20"/>
                <w:szCs w:val="20"/>
              </w:rPr>
              <w:t>1</w:t>
            </w:r>
            <w:r>
              <w:rPr>
                <w:rFonts w:ascii="楷体_GB2312" w:eastAsia="楷体_GB2312" w:cs="楷体_GB2312"/>
                <w:sz w:val="20"/>
                <w:szCs w:val="20"/>
              </w:rPr>
              <w:t>7</w:t>
            </w:r>
            <w:r>
              <w:rPr>
                <w:rFonts w:hint="eastAsia" w:ascii="楷体_GB2312" w:eastAsia="楷体_GB2312" w:cs="楷体_GB2312"/>
                <w:sz w:val="20"/>
                <w:szCs w:val="20"/>
              </w:rPr>
              <w:t>：</w:t>
            </w:r>
            <w:r>
              <w:rPr>
                <w:rFonts w:ascii="楷体_GB2312" w:eastAsia="楷体_GB2312" w:cs="楷体_GB2312"/>
                <w:sz w:val="20"/>
                <w:szCs w:val="20"/>
              </w:rPr>
              <w:t>0</w:t>
            </w:r>
            <w:r>
              <w:rPr>
                <w:rFonts w:hint="eastAsia" w:ascii="楷体_GB2312" w:eastAsia="楷体_GB2312" w:cs="楷体_GB2312"/>
                <w:sz w:val="20"/>
                <w:szCs w:val="20"/>
              </w:rPr>
              <w:t>0</w:t>
            </w:r>
            <w:r>
              <w:rPr>
                <w:rFonts w:ascii="楷体_GB2312" w:eastAsia="楷体_GB2312" w:cs="楷体_GB2312"/>
                <w:color w:val="000000" w:themeColor="text1"/>
                <w:sz w:val="20"/>
                <w:szCs w:val="20"/>
                <w14:textFill>
                  <w14:solidFill>
                    <w14:schemeClr w14:val="tx1"/>
                  </w14:solidFill>
                </w14:textFill>
              </w:rPr>
              <w:t>】，申购和赎回交易时间为【8：30-</w:t>
            </w:r>
            <w:r>
              <w:rPr>
                <w:rFonts w:hint="eastAsia" w:ascii="楷体_GB2312" w:eastAsia="楷体_GB2312" w:cs="楷体_GB2312"/>
                <w:sz w:val="20"/>
                <w:szCs w:val="20"/>
              </w:rPr>
              <w:t>1</w:t>
            </w:r>
            <w:r>
              <w:rPr>
                <w:rFonts w:ascii="楷体_GB2312" w:eastAsia="楷体_GB2312" w:cs="楷体_GB2312"/>
                <w:sz w:val="20"/>
                <w:szCs w:val="20"/>
              </w:rPr>
              <w:t>7</w:t>
            </w:r>
            <w:r>
              <w:rPr>
                <w:rFonts w:hint="eastAsia" w:ascii="楷体_GB2312" w:eastAsia="楷体_GB2312" w:cs="楷体_GB2312"/>
                <w:sz w:val="20"/>
                <w:szCs w:val="20"/>
              </w:rPr>
              <w:t>：</w:t>
            </w:r>
            <w:r>
              <w:rPr>
                <w:rFonts w:ascii="楷体_GB2312" w:eastAsia="楷体_GB2312" w:cs="楷体_GB2312"/>
                <w:sz w:val="20"/>
                <w:szCs w:val="20"/>
              </w:rPr>
              <w:t>0</w:t>
            </w:r>
            <w:r>
              <w:rPr>
                <w:rFonts w:hint="eastAsia" w:ascii="楷体_GB2312" w:eastAsia="楷体_GB2312" w:cs="楷体_GB2312"/>
                <w:sz w:val="20"/>
                <w:szCs w:val="20"/>
              </w:rPr>
              <w:t>0</w:t>
            </w:r>
            <w:r>
              <w:rPr>
                <w:rFonts w:ascii="楷体_GB2312" w:eastAsia="楷体_GB2312" w:cs="楷体_GB2312"/>
                <w:color w:val="000000" w:themeColor="text1"/>
                <w:sz w:val="20"/>
                <w:szCs w:val="20"/>
                <w14:textFill>
                  <w14:solidFill>
                    <w14:schemeClr w14:val="tx1"/>
                  </w14:solidFill>
                </w14:textFill>
              </w:rPr>
              <w:t>】（信银理财有权变更交易时间</w:t>
            </w:r>
            <w:r>
              <w:rPr>
                <w:rFonts w:hint="eastAsia" w:ascii="楷体_GB2312" w:eastAsia="楷体_GB2312" w:cs="楷体_GB2312"/>
                <w:color w:val="000000" w:themeColor="text1"/>
                <w:sz w:val="20"/>
                <w:szCs w:val="20"/>
                <w14:textFill>
                  <w14:solidFill>
                    <w14:schemeClr w14:val="tx1"/>
                  </w14:solidFill>
                </w14:textFill>
              </w:rPr>
              <w:t>，请投资者关注管理人及销售机构相关信息披露。</w:t>
            </w:r>
            <w:r>
              <w:rPr>
                <w:rFonts w:ascii="楷体_GB2312" w:eastAsia="楷体_GB2312" w:cs="楷体_GB2312"/>
                <w:color w:val="000000" w:themeColor="text1"/>
                <w:sz w:val="20"/>
                <w:szCs w:val="20"/>
                <w14:textFill>
                  <w14:solidFill>
                    <w14:schemeClr w14:val="tx1"/>
                  </w14:solidFill>
                </w14:textFill>
              </w:rPr>
              <w:t>如果投资者通过信银理财</w:t>
            </w:r>
            <w:r>
              <w:rPr>
                <w:rFonts w:hint="eastAsia" w:ascii="楷体_GB2312" w:eastAsia="楷体_GB2312" w:cs="楷体_GB2312"/>
                <w:color w:val="000000" w:themeColor="text1"/>
                <w:sz w:val="20"/>
                <w:szCs w:val="20"/>
                <w14:textFill>
                  <w14:solidFill>
                    <w14:schemeClr w14:val="tx1"/>
                  </w14:solidFill>
                </w14:textFill>
              </w:rPr>
              <w:t>直销渠道</w:t>
            </w:r>
            <w:r>
              <w:rPr>
                <w:rFonts w:ascii="楷体_GB2312" w:eastAsia="楷体_GB2312" w:cs="楷体_GB2312"/>
                <w:color w:val="000000" w:themeColor="text1"/>
                <w:sz w:val="20"/>
                <w:szCs w:val="20"/>
                <w14:textFill>
                  <w14:solidFill>
                    <w14:schemeClr w14:val="tx1"/>
                  </w14:solidFill>
                </w14:textFill>
              </w:rPr>
              <w:t>购买的，则交易时间以</w:t>
            </w:r>
            <w:r>
              <w:rPr>
                <w:rFonts w:hint="eastAsia" w:ascii="楷体_GB2312" w:eastAsia="楷体_GB2312" w:cs="楷体_GB2312"/>
                <w:color w:val="000000" w:themeColor="text1"/>
                <w:sz w:val="20"/>
                <w:szCs w:val="20"/>
                <w14:textFill>
                  <w14:solidFill>
                    <w14:schemeClr w14:val="tx1"/>
                  </w14:solidFill>
                </w14:textFill>
              </w:rPr>
              <w:t>信银理财直销渠道</w:t>
            </w:r>
            <w:r>
              <w:rPr>
                <w:rFonts w:ascii="楷体_GB2312" w:eastAsia="楷体_GB2312" w:cs="楷体_GB2312"/>
                <w:color w:val="000000" w:themeColor="text1"/>
                <w:sz w:val="20"/>
                <w:szCs w:val="20"/>
                <w14:textFill>
                  <w14:solidFill>
                    <w14:schemeClr w14:val="tx1"/>
                  </w14:solidFill>
                </w14:textFill>
              </w:rPr>
              <w:t>的营业时间和公布的交易时间为准，且必须在【8：30-</w:t>
            </w:r>
            <w:r>
              <w:rPr>
                <w:rFonts w:hint="eastAsia" w:ascii="楷体_GB2312" w:eastAsia="楷体_GB2312" w:cs="楷体_GB2312"/>
                <w:sz w:val="20"/>
                <w:szCs w:val="20"/>
              </w:rPr>
              <w:t>1</w:t>
            </w:r>
            <w:r>
              <w:rPr>
                <w:rFonts w:ascii="楷体_GB2312" w:eastAsia="楷体_GB2312" w:cs="楷体_GB2312"/>
                <w:sz w:val="20"/>
                <w:szCs w:val="20"/>
              </w:rPr>
              <w:t>7</w:t>
            </w:r>
            <w:r>
              <w:rPr>
                <w:rFonts w:hint="eastAsia" w:ascii="楷体_GB2312" w:eastAsia="楷体_GB2312" w:cs="楷体_GB2312"/>
                <w:sz w:val="20"/>
                <w:szCs w:val="20"/>
              </w:rPr>
              <w:t>：</w:t>
            </w:r>
            <w:r>
              <w:rPr>
                <w:rFonts w:ascii="楷体_GB2312" w:eastAsia="楷体_GB2312" w:cs="楷体_GB2312"/>
                <w:sz w:val="20"/>
                <w:szCs w:val="20"/>
              </w:rPr>
              <w:t>0</w:t>
            </w:r>
            <w:r>
              <w:rPr>
                <w:rFonts w:hint="eastAsia" w:ascii="楷体_GB2312" w:eastAsia="楷体_GB2312" w:cs="楷体_GB2312"/>
                <w:sz w:val="20"/>
                <w:szCs w:val="20"/>
              </w:rPr>
              <w:t>0</w:t>
            </w:r>
            <w:r>
              <w:rPr>
                <w:rFonts w:ascii="楷体_GB2312" w:eastAsia="楷体_GB2312" w:cs="楷体_GB2312"/>
                <w:color w:val="000000" w:themeColor="text1"/>
                <w:sz w:val="20"/>
                <w:szCs w:val="20"/>
                <w14:textFill>
                  <w14:solidFill>
                    <w14:schemeClr w14:val="tx1"/>
                  </w14:solidFill>
                </w14:textFill>
              </w:rPr>
              <w:t>】内）；募集</w:t>
            </w:r>
            <w:r>
              <w:rPr>
                <w:rFonts w:hint="eastAsia" w:ascii="楷体_GB2312" w:eastAsia="楷体_GB2312" w:cs="楷体_GB2312"/>
                <w:color w:val="000000" w:themeColor="text1"/>
                <w:sz w:val="20"/>
                <w:szCs w:val="20"/>
                <w14:textFill>
                  <w14:solidFill>
                    <w14:schemeClr w14:val="tx1"/>
                  </w14:solidFill>
                </w14:textFill>
              </w:rPr>
              <w:t>期内，信银理财在认购交易时间内受理投资者的认购申请。投资者通过</w:t>
            </w:r>
            <w:r>
              <w:rPr>
                <w:rFonts w:ascii="楷体_GB2312" w:eastAsia="楷体_GB2312" w:cs="楷体_GB2312"/>
                <w:color w:val="000000" w:themeColor="text1"/>
                <w:sz w:val="20"/>
                <w:szCs w:val="20"/>
                <w14:textFill>
                  <w14:solidFill>
                    <w14:schemeClr w14:val="tx1"/>
                  </w14:solidFill>
                </w14:textFill>
              </w:rPr>
              <w:t>代销机构购买理财产品的，还应按照代销机构对于交易时间以及交易申请的相关规定执行，但认购交易时间必须在【8：30-</w:t>
            </w:r>
            <w:r>
              <w:rPr>
                <w:rFonts w:hint="eastAsia" w:ascii="楷体_GB2312" w:eastAsia="楷体_GB2312" w:cs="楷体_GB2312"/>
                <w:sz w:val="20"/>
                <w:szCs w:val="20"/>
              </w:rPr>
              <w:t>1</w:t>
            </w:r>
            <w:r>
              <w:rPr>
                <w:rFonts w:ascii="楷体_GB2312" w:eastAsia="楷体_GB2312" w:cs="楷体_GB2312"/>
                <w:sz w:val="20"/>
                <w:szCs w:val="20"/>
              </w:rPr>
              <w:t>7</w:t>
            </w:r>
            <w:r>
              <w:rPr>
                <w:rFonts w:hint="eastAsia" w:ascii="楷体_GB2312" w:eastAsia="楷体_GB2312" w:cs="楷体_GB2312"/>
                <w:sz w:val="20"/>
                <w:szCs w:val="20"/>
              </w:rPr>
              <w:t>：</w:t>
            </w:r>
            <w:r>
              <w:rPr>
                <w:rFonts w:ascii="楷体_GB2312" w:eastAsia="楷体_GB2312" w:cs="楷体_GB2312"/>
                <w:sz w:val="20"/>
                <w:szCs w:val="20"/>
              </w:rPr>
              <w:t>0</w:t>
            </w:r>
            <w:r>
              <w:rPr>
                <w:rFonts w:hint="eastAsia" w:ascii="楷体_GB2312" w:eastAsia="楷体_GB2312" w:cs="楷体_GB2312"/>
                <w:sz w:val="20"/>
                <w:szCs w:val="20"/>
              </w:rPr>
              <w:t>0</w:t>
            </w:r>
            <w:r>
              <w:rPr>
                <w:rFonts w:ascii="楷体_GB2312" w:eastAsia="楷体_GB2312" w:cs="楷体_GB2312"/>
                <w:color w:val="000000" w:themeColor="text1"/>
                <w:sz w:val="20"/>
                <w:szCs w:val="20"/>
                <w14:textFill>
                  <w14:solidFill>
                    <w14:schemeClr w14:val="tx1"/>
                  </w14:solidFill>
                </w14:textFill>
              </w:rPr>
              <w:t>】内，申购和赎回交易时间必须在【8：30-</w:t>
            </w:r>
            <w:r>
              <w:rPr>
                <w:rFonts w:hint="eastAsia" w:ascii="楷体_GB2312" w:eastAsia="楷体_GB2312" w:cs="楷体_GB2312"/>
                <w:sz w:val="20"/>
                <w:szCs w:val="20"/>
              </w:rPr>
              <w:t>1</w:t>
            </w:r>
            <w:r>
              <w:rPr>
                <w:rFonts w:ascii="楷体_GB2312" w:eastAsia="楷体_GB2312" w:cs="楷体_GB2312"/>
                <w:sz w:val="20"/>
                <w:szCs w:val="20"/>
              </w:rPr>
              <w:t>7</w:t>
            </w:r>
            <w:r>
              <w:rPr>
                <w:rFonts w:hint="eastAsia" w:ascii="楷体_GB2312" w:eastAsia="楷体_GB2312" w:cs="楷体_GB2312"/>
                <w:sz w:val="20"/>
                <w:szCs w:val="20"/>
              </w:rPr>
              <w:t>：</w:t>
            </w:r>
            <w:r>
              <w:rPr>
                <w:rFonts w:ascii="楷体_GB2312" w:eastAsia="楷体_GB2312" w:cs="楷体_GB2312"/>
                <w:sz w:val="20"/>
                <w:szCs w:val="20"/>
              </w:rPr>
              <w:t>0</w:t>
            </w:r>
            <w:r>
              <w:rPr>
                <w:rFonts w:hint="eastAsia" w:ascii="楷体_GB2312" w:eastAsia="楷体_GB2312" w:cs="楷体_GB2312"/>
                <w:sz w:val="20"/>
                <w:szCs w:val="20"/>
              </w:rPr>
              <w:t>0</w:t>
            </w:r>
            <w:r>
              <w:rPr>
                <w:rFonts w:ascii="楷体_GB2312" w:eastAsia="楷体_GB2312" w:cs="楷体_GB2312"/>
                <w:color w:val="000000" w:themeColor="text1"/>
                <w:sz w:val="20"/>
                <w:szCs w:val="20"/>
                <w14:textFill>
                  <w14:solidFill>
                    <w14:schemeClr w14:val="tx1"/>
                  </w14:solidFill>
                </w14:textFill>
              </w:rPr>
              <w:t>】内。</w:t>
            </w:r>
          </w:p>
        </w:tc>
      </w:tr>
      <w:tr w14:paraId="388A6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trPr>
        <w:tc>
          <w:tcPr>
            <w:tcW w:w="1260" w:type="pct"/>
            <w:vAlign w:val="center"/>
          </w:tcPr>
          <w:p w14:paraId="64AB6C07">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计划募集金额</w:t>
            </w:r>
            <w:r>
              <w:rPr>
                <w:rFonts w:hint="eastAsia" w:ascii="Times New Roman" w:eastAsia="楷体_GB2312" w:cs="楷体_GB2312"/>
                <w:color w:val="000000" w:themeColor="text1"/>
                <w:sz w:val="20"/>
                <w:szCs w:val="20"/>
                <w:lang w:eastAsia="zh-Hans"/>
                <w14:textFill>
                  <w14:solidFill>
                    <w14:schemeClr w14:val="tx1"/>
                  </w14:solidFill>
                </w14:textFill>
              </w:rPr>
              <w:t>上</w:t>
            </w:r>
            <w:r>
              <w:rPr>
                <w:rFonts w:ascii="Times New Roman" w:eastAsia="楷体_GB2312" w:cs="楷体_GB2312"/>
                <w:color w:val="000000" w:themeColor="text1"/>
                <w:sz w:val="20"/>
                <w:szCs w:val="20"/>
                <w14:textFill>
                  <w14:solidFill>
                    <w14:schemeClr w14:val="tx1"/>
                  </w14:solidFill>
                </w14:textFill>
              </w:rPr>
              <w:t>限</w:t>
            </w:r>
          </w:p>
        </w:tc>
        <w:tc>
          <w:tcPr>
            <w:tcW w:w="3740" w:type="pct"/>
            <w:vAlign w:val="center"/>
          </w:tcPr>
          <w:p w14:paraId="540E643F">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无。</w:t>
            </w:r>
          </w:p>
        </w:tc>
      </w:tr>
      <w:tr w14:paraId="5FFA8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trPr>
        <w:tc>
          <w:tcPr>
            <w:tcW w:w="1260" w:type="pct"/>
            <w:vAlign w:val="center"/>
          </w:tcPr>
          <w:p w14:paraId="560ED57F">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计划募集金额</w:t>
            </w:r>
            <w:r>
              <w:rPr>
                <w:rFonts w:ascii="Times New Roman" w:eastAsia="楷体_GB2312" w:cs="楷体_GB2312"/>
                <w:color w:val="000000" w:themeColor="text1"/>
                <w:sz w:val="20"/>
                <w:szCs w:val="20"/>
                <w14:textFill>
                  <w14:solidFill>
                    <w14:schemeClr w14:val="tx1"/>
                  </w14:solidFill>
                </w14:textFill>
              </w:rPr>
              <w:t>下限</w:t>
            </w:r>
          </w:p>
        </w:tc>
        <w:tc>
          <w:tcPr>
            <w:tcW w:w="3740" w:type="pct"/>
            <w:vAlign w:val="center"/>
          </w:tcPr>
          <w:p w14:paraId="73B3D58D">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本产品的计划募集金额下限为【人民币】【0】元。信银理财有权根据实际需要对此金额下限进行调整。</w:t>
            </w:r>
            <w:r>
              <w:br w:type="textWrapping"/>
            </w:r>
            <w:r>
              <w:rPr>
                <w:rFonts w:ascii="楷体_GB2312" w:eastAsia="楷体_GB2312" w:cs="楷体_GB2312"/>
                <w:color w:val="000000" w:themeColor="text1"/>
                <w:sz w:val="20"/>
                <w:szCs w:val="20"/>
                <w14:textFill>
                  <w14:solidFill>
                    <w14:schemeClr w14:val="tx1"/>
                  </w14:solidFill>
                </w14:textFill>
              </w:rPr>
              <w:t>如果募集期内未达到计划募集金额下限，信银理财有权决定产品不成立，并在宣告产品不成立后【2】个工作日内返还投资者资金，同时信银理财保留延长本产品募集期的权利。届时信银理财将按照本说明书约定的方式告知投资者。</w:t>
            </w:r>
          </w:p>
        </w:tc>
      </w:tr>
      <w:tr w14:paraId="5AB5B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FBD0D1A">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币种</w:t>
            </w:r>
          </w:p>
        </w:tc>
        <w:tc>
          <w:tcPr>
            <w:tcW w:w="3740" w:type="pct"/>
            <w:vAlign w:val="center"/>
          </w:tcPr>
          <w:p w14:paraId="10B5D8C6">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本产品投资与收益币种为【人民币</w:t>
            </w:r>
            <w:r>
              <w:rPr>
                <w:rFonts w:ascii="楷体_GB2312" w:eastAsia="楷体_GB2312" w:cs="楷体_GB2312"/>
                <w:color w:val="000000" w:themeColor="text1"/>
                <w:sz w:val="20"/>
                <w:szCs w:val="20"/>
                <w14:textFill>
                  <w14:solidFill>
                    <w14:schemeClr w14:val="tx1"/>
                  </w14:solidFill>
                </w14:textFill>
              </w:rPr>
              <w:t>】</w:t>
            </w:r>
          </w:p>
        </w:tc>
      </w:tr>
      <w:tr w14:paraId="1A002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72268D73">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认/申购起点</w:t>
            </w:r>
          </w:p>
        </w:tc>
        <w:tc>
          <w:tcPr>
            <w:tcW w:w="3740" w:type="pct"/>
            <w:vAlign w:val="center"/>
          </w:tcPr>
          <w:p w14:paraId="5449E6A5">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【B】类份额：初始认购/首次申购金额不低于【人民币】【1】元，以【人民币】【0.01】元的整数倍增加。追加认购/申购金额不低于【人民币】【0.01】元，以【人民币】【0.01】元的整数倍增加。</w:t>
            </w:r>
            <w:r>
              <w:br w:type="textWrapping"/>
            </w:r>
            <w:r>
              <w:rPr>
                <w:rFonts w:ascii="楷体_GB2312" w:eastAsia="楷体_GB2312" w:cs="楷体_GB2312"/>
                <w:color w:val="000000" w:themeColor="text1"/>
                <w:sz w:val="20"/>
                <w:szCs w:val="20"/>
                <w14:textFill>
                  <w14:solidFill>
                    <w14:schemeClr w14:val="tx1"/>
                  </w14:solidFill>
                </w14:textFill>
              </w:rPr>
              <w:t>【G】类份额：初始认购/首次申购金额不低于【人民币】【1】元，以【人民币】【0.01】元的整数倍增加。追加认购/申购金额不低于【人民币】【0.01】元，以【人民币】【0.01】元的整数倍增加。</w:t>
            </w:r>
            <w:r>
              <w:br w:type="textWrapping"/>
            </w:r>
            <w:r>
              <w:rPr>
                <w:rFonts w:ascii="楷体_GB2312" w:eastAsia="楷体_GB2312" w:cs="楷体_GB2312"/>
                <w:color w:val="000000" w:themeColor="text1"/>
                <w:sz w:val="20"/>
                <w:szCs w:val="20"/>
                <w14:textFill>
                  <w14:solidFill>
                    <w14:schemeClr w14:val="tx1"/>
                  </w14:solidFill>
                </w14:textFill>
              </w:rPr>
              <w:t>【H】类份额：初始认购/首次申购金额不低于【人民币】【1】元，以【人民币】【0.01】元的整数倍增加。追加认购/申购金额不低于【人民币】【0.01】元，以【人民币】【0.01】元的整数倍增加。</w:t>
            </w:r>
            <w:r>
              <w:rPr>
                <w:rFonts w:hint="eastAsia" w:ascii="楷体_GB2312" w:eastAsia="楷体_GB2312" w:cs="楷体_GB2312"/>
                <w:color w:val="000000" w:themeColor="text1"/>
                <w:sz w:val="20"/>
                <w:szCs w:val="20"/>
                <w14:textFill>
                  <w14:solidFill>
                    <w14:schemeClr w14:val="tx1"/>
                  </w14:solidFill>
                </w14:textFill>
              </w:rPr>
              <w:t xml:space="preserve"> </w:t>
            </w:r>
          </w:p>
          <w:p w14:paraId="38A672E2">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p>
          <w:p w14:paraId="5EDFE936">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代销机构对产品的认/申购起点及追加认/申购金额的要求与信银理财不一致的，以代销机构为准，但不得低于上述对应金额。</w:t>
            </w:r>
          </w:p>
          <w:p w14:paraId="270990CA">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客户持有理财产品份额时进行申购，不视为首次申购，按追加申购处理。客户全额赎回不再持有理财产品份额后再次申购，视同首次申购处理。</w:t>
            </w:r>
          </w:p>
        </w:tc>
      </w:tr>
      <w:tr w14:paraId="4990F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452DB398">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单个</w:t>
            </w:r>
            <w:r>
              <w:rPr>
                <w:rFonts w:ascii="Times New Roman" w:eastAsia="楷体_GB2312" w:cs="楷体_GB2312"/>
                <w:color w:val="000000" w:themeColor="text1"/>
                <w:sz w:val="20"/>
                <w:szCs w:val="20"/>
                <w14:textFill>
                  <w14:solidFill>
                    <w14:schemeClr w14:val="tx1"/>
                  </w14:solidFill>
                </w14:textFill>
              </w:rPr>
              <w:t>投资者持仓份额比例限制</w:t>
            </w:r>
          </w:p>
        </w:tc>
        <w:tc>
          <w:tcPr>
            <w:tcW w:w="3740" w:type="pct"/>
            <w:vAlign w:val="center"/>
          </w:tcPr>
          <w:p w14:paraId="3677A36C">
            <w:pPr>
              <w:spacing w:line="300" w:lineRule="exact"/>
              <w:ind w:left="-2"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单一</w:t>
            </w:r>
            <w:r>
              <w:rPr>
                <w:rFonts w:ascii="楷体_GB2312" w:eastAsia="楷体_GB2312" w:cs="楷体_GB2312"/>
                <w:color w:val="000000" w:themeColor="text1"/>
                <w:sz w:val="20"/>
                <w:szCs w:val="20"/>
                <w14:textFill>
                  <w14:solidFill>
                    <w14:schemeClr w14:val="tx1"/>
                  </w14:solidFill>
                </w14:textFill>
              </w:rPr>
              <w:t>投资者持有份额</w:t>
            </w:r>
            <w:r>
              <w:rPr>
                <w:rFonts w:hint="eastAsia" w:ascii="楷体_GB2312" w:eastAsia="楷体_GB2312" w:cs="楷体_GB2312"/>
                <w:color w:val="000000" w:themeColor="text1"/>
                <w:sz w:val="20"/>
                <w:szCs w:val="20"/>
                <w14:textFill>
                  <w14:solidFill>
                    <w14:schemeClr w14:val="tx1"/>
                  </w14:solidFill>
                </w14:textFill>
              </w:rPr>
              <w:t>不得</w:t>
            </w:r>
            <w:r>
              <w:rPr>
                <w:rFonts w:ascii="楷体_GB2312" w:eastAsia="楷体_GB2312" w:cs="楷体_GB2312"/>
                <w:color w:val="000000" w:themeColor="text1"/>
                <w:sz w:val="20"/>
                <w:szCs w:val="20"/>
                <w14:textFill>
                  <w14:solidFill>
                    <w14:schemeClr w14:val="tx1"/>
                  </w14:solidFill>
                </w14:textFill>
              </w:rPr>
              <w:t>超过产品总份额的50%</w:t>
            </w:r>
            <w:r>
              <w:rPr>
                <w:rFonts w:hint="eastAsia" w:ascii="楷体_GB2312" w:eastAsia="楷体_GB2312" w:cs="楷体_GB2312"/>
                <w:color w:val="000000" w:themeColor="text1"/>
                <w:sz w:val="20"/>
                <w:szCs w:val="20"/>
                <w14:textFill>
                  <w14:solidFill>
                    <w14:schemeClr w14:val="tx1"/>
                  </w14:solidFill>
                </w14:textFill>
              </w:rPr>
              <w:t>。投资者提出认购</w:t>
            </w:r>
            <w:r>
              <w:rPr>
                <w:rFonts w:ascii="楷体_GB2312" w:eastAsia="楷体_GB2312" w:cs="楷体_GB2312"/>
                <w:color w:val="000000" w:themeColor="text1"/>
                <w:sz w:val="20"/>
                <w:szCs w:val="20"/>
                <w14:textFill>
                  <w14:solidFill>
                    <w14:schemeClr w14:val="tx1"/>
                  </w14:solidFill>
                </w14:textFill>
              </w:rPr>
              <w:t>/申购申请时，如认/申购后投资者持有份额超过产品总份额的50%，信银理财将不接受超过单个投资者持仓份额比例限制的申请。</w:t>
            </w:r>
          </w:p>
        </w:tc>
      </w:tr>
      <w:tr w14:paraId="36E20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9C87E42">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单个</w:t>
            </w:r>
            <w:r>
              <w:rPr>
                <w:rFonts w:ascii="Times New Roman" w:eastAsia="楷体_GB2312" w:cs="楷体_GB2312"/>
                <w:color w:val="000000" w:themeColor="text1"/>
                <w:sz w:val="20"/>
                <w:szCs w:val="20"/>
                <w14:textFill>
                  <w14:solidFill>
                    <w14:schemeClr w14:val="tx1"/>
                  </w14:solidFill>
                </w14:textFill>
              </w:rPr>
              <w:t>投资者持仓</w:t>
            </w:r>
            <w:r>
              <w:rPr>
                <w:rFonts w:hint="eastAsia" w:ascii="Times New Roman" w:eastAsia="楷体_GB2312" w:cs="楷体_GB2312"/>
                <w:color w:val="000000" w:themeColor="text1"/>
                <w:sz w:val="20"/>
                <w:szCs w:val="20"/>
                <w14:textFill>
                  <w14:solidFill>
                    <w14:schemeClr w14:val="tx1"/>
                  </w14:solidFill>
                </w14:textFill>
              </w:rPr>
              <w:t>下限</w:t>
            </w:r>
          </w:p>
        </w:tc>
        <w:tc>
          <w:tcPr>
            <w:tcW w:w="3740" w:type="pct"/>
            <w:vAlign w:val="center"/>
          </w:tcPr>
          <w:p w14:paraId="6859A566">
            <w:pPr>
              <w:spacing w:line="300" w:lineRule="exact"/>
              <w:ind w:left="-2" w:leftChars="-1" w:right="36" w:rightChars="15"/>
              <w:rPr>
                <w:rFonts w:ascii="楷体_GB2312" w:eastAsia="楷体_GB2312" w:cs="楷体_GB2312"/>
                <w:sz w:val="20"/>
                <w:szCs w:val="20"/>
              </w:rPr>
            </w:pPr>
            <w:r>
              <w:rPr>
                <w:rFonts w:ascii="楷体_GB2312" w:eastAsia="楷体_GB2312" w:cs="楷体_GB2312"/>
                <w:sz w:val="20"/>
                <w:szCs w:val="20"/>
              </w:rPr>
              <w:t>【B】类份额：单个投资者持仓份额下限为【0.01】份，投资者提出部分赎回时，如赎回后投资者持有份额不足【0.01】份，则管理人将对投资者剩余份额发起强制赎回。</w:t>
            </w:r>
            <w:r>
              <w:br w:type="textWrapping"/>
            </w:r>
            <w:r>
              <w:rPr>
                <w:rFonts w:ascii="楷体_GB2312" w:eastAsia="楷体_GB2312" w:cs="楷体_GB2312"/>
                <w:sz w:val="20"/>
                <w:szCs w:val="20"/>
              </w:rPr>
              <w:t>【G】类份额：单个投资者持仓份额下限为【0.01】份，投资者提出部分赎回时，如赎回后投资者持有份额不足【0.01】份，则管理人将对投资者剩余份额发起强制赎回。</w:t>
            </w:r>
            <w:r>
              <w:br w:type="textWrapping"/>
            </w:r>
            <w:r>
              <w:rPr>
                <w:rFonts w:ascii="楷体_GB2312" w:eastAsia="楷体_GB2312" w:cs="楷体_GB2312"/>
                <w:sz w:val="20"/>
                <w:szCs w:val="20"/>
              </w:rPr>
              <w:t>【H】类份额：单个投资者持仓份额下限为【0.01】份，投资者提出部分赎回时，如赎回后投资者持有份额不足【0.01】份，则管理人将对投资者剩余份额发起强制赎回。</w:t>
            </w:r>
          </w:p>
          <w:p w14:paraId="108CF5E2">
            <w:pPr>
              <w:spacing w:line="300" w:lineRule="exact"/>
              <w:ind w:left="-2" w:leftChars="-1" w:right="36" w:rightChars="15"/>
              <w:rPr>
                <w:rFonts w:ascii="楷体_GB2312" w:eastAsia="楷体_GB2312" w:cs="楷体_GB2312"/>
                <w:color w:val="000000" w:themeColor="text1"/>
                <w:sz w:val="20"/>
                <w:szCs w:val="20"/>
                <w:u w:val="single"/>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w:t>
            </w:r>
            <w:r>
              <w:rPr>
                <w:rFonts w:ascii="楷体_GB2312" w:eastAsia="楷体_GB2312" w:cs="楷体_GB2312"/>
                <w:color w:val="000000" w:themeColor="text1"/>
                <w:sz w:val="20"/>
                <w:szCs w:val="20"/>
                <w14:textFill>
                  <w14:solidFill>
                    <w14:schemeClr w14:val="tx1"/>
                  </w14:solidFill>
                </w14:textFill>
              </w:rPr>
              <w:t>有权根据实际需要对此</w:t>
            </w:r>
            <w:r>
              <w:rPr>
                <w:rFonts w:hint="eastAsia" w:ascii="楷体_GB2312" w:eastAsia="楷体_GB2312" w:cs="楷体_GB2312"/>
                <w:color w:val="000000" w:themeColor="text1"/>
                <w:sz w:val="20"/>
                <w:szCs w:val="20"/>
                <w14:textFill>
                  <w14:solidFill>
                    <w14:schemeClr w14:val="tx1"/>
                  </w14:solidFill>
                </w14:textFill>
              </w:rPr>
              <w:t>份额</w:t>
            </w:r>
            <w:r>
              <w:rPr>
                <w:rFonts w:ascii="楷体_GB2312" w:eastAsia="楷体_GB2312" w:cs="楷体_GB2312"/>
                <w:color w:val="000000" w:themeColor="text1"/>
                <w:sz w:val="20"/>
                <w:szCs w:val="20"/>
                <w14:textFill>
                  <w14:solidFill>
                    <w14:schemeClr w14:val="tx1"/>
                  </w14:solidFill>
                </w14:textFill>
              </w:rPr>
              <w:t>下限进行调</w:t>
            </w:r>
            <w:r>
              <w:rPr>
                <w:rFonts w:hint="eastAsia" w:ascii="楷体_GB2312" w:eastAsia="楷体_GB2312" w:cs="楷体_GB2312"/>
                <w:color w:val="000000" w:themeColor="text1"/>
                <w:sz w:val="20"/>
                <w:szCs w:val="20"/>
                <w14:textFill>
                  <w14:solidFill>
                    <w14:schemeClr w14:val="tx1"/>
                  </w14:solidFill>
                </w14:textFill>
              </w:rPr>
              <w:t>整。</w:t>
            </w:r>
          </w:p>
        </w:tc>
      </w:tr>
      <w:tr w14:paraId="61DFD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3F94446B">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份额单位</w:t>
            </w:r>
          </w:p>
        </w:tc>
        <w:tc>
          <w:tcPr>
            <w:tcW w:w="3740" w:type="pct"/>
            <w:vAlign w:val="center"/>
          </w:tcPr>
          <w:p w14:paraId="42B93078">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份</w:t>
            </w:r>
          </w:p>
        </w:tc>
      </w:tr>
      <w:tr w14:paraId="12259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5F5CBD2A">
            <w:pPr>
              <w:spacing w:line="300" w:lineRule="exact"/>
              <w:ind w:left="-2" w:leftChars="-1" w:right="36" w:rightChars="15"/>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单位净值</w:t>
            </w:r>
          </w:p>
        </w:tc>
        <w:tc>
          <w:tcPr>
            <w:tcW w:w="3740" w:type="pct"/>
            <w:vAlign w:val="center"/>
          </w:tcPr>
          <w:p w14:paraId="489BBDD7">
            <w:pPr>
              <w:spacing w:line="300" w:lineRule="exact"/>
              <w:ind w:right="29" w:rightChars="12"/>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1</w:t>
            </w:r>
            <w:r>
              <w:rPr>
                <w:rFonts w:ascii="楷体_GB2312" w:eastAsia="楷体_GB2312" w:cs="楷体_GB2312"/>
                <w:color w:val="000000" w:themeColor="text1"/>
                <w:sz w:val="20"/>
                <w:szCs w:val="20"/>
                <w14:textFill>
                  <w14:solidFill>
                    <w14:schemeClr w14:val="tx1"/>
                  </w14:solidFill>
                </w14:textFill>
              </w:rPr>
              <w:t>.单位净值为单位产品份额的净值，该净值为扣除相关税费后的净值。相关税费包含固定管理费、销售服务费、托管费、本理财产品运营过程中产生的增值税及附加税费等。</w:t>
            </w:r>
          </w:p>
          <w:p w14:paraId="0600BAF3">
            <w:pPr>
              <w:spacing w:line="300" w:lineRule="exact"/>
              <w:ind w:right="29" w:rightChars="12"/>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本产品按照单位净值进行申购</w:t>
            </w:r>
            <w:r>
              <w:rPr>
                <w:rFonts w:ascii="楷体_GB2312" w:eastAsia="楷体_GB2312" w:cs="楷体_GB2312"/>
                <w:color w:val="000000" w:themeColor="text1"/>
                <w:sz w:val="20"/>
                <w:szCs w:val="20"/>
                <w14:textFill>
                  <w14:solidFill>
                    <w14:schemeClr w14:val="tx1"/>
                  </w14:solidFill>
                </w14:textFill>
              </w:rPr>
              <w:t>、赎回</w:t>
            </w:r>
            <w:r>
              <w:rPr>
                <w:rFonts w:hint="eastAsia" w:ascii="楷体_GB2312" w:eastAsia="楷体_GB2312" w:cs="楷体_GB2312"/>
                <w:color w:val="000000" w:themeColor="text1"/>
                <w:sz w:val="20"/>
                <w:szCs w:val="20"/>
                <w14:textFill>
                  <w14:solidFill>
                    <w14:schemeClr w14:val="tx1"/>
                  </w14:solidFill>
                </w14:textFill>
              </w:rPr>
              <w:t>。单位净值按照【四舍五入</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保留至小数点后【4】位。</w:t>
            </w:r>
          </w:p>
          <w:p w14:paraId="064515E5">
            <w:pPr>
              <w:spacing w:line="300" w:lineRule="exact"/>
              <w:ind w:right="29" w:rightChars="12"/>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本产品到期后，管理人将在到期日后【5】个工作日内披露份额最终单位净值。</w:t>
            </w:r>
          </w:p>
        </w:tc>
      </w:tr>
      <w:tr w14:paraId="5CB61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774619A2">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认购渠道</w:t>
            </w:r>
          </w:p>
        </w:tc>
        <w:tc>
          <w:tcPr>
            <w:tcW w:w="3740" w:type="pct"/>
            <w:vAlign w:val="center"/>
          </w:tcPr>
          <w:p w14:paraId="1858C5E2">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投资者可通过信银理财直销渠道认购本产品。</w:t>
            </w:r>
            <w:r>
              <w:br w:type="textWrapping"/>
            </w:r>
            <w:r>
              <w:rPr>
                <w:rFonts w:ascii="楷体_GB2312" w:eastAsia="楷体_GB2312" w:cs="楷体_GB2312"/>
                <w:color w:val="000000" w:themeColor="text1"/>
                <w:sz w:val="20"/>
                <w:szCs w:val="20"/>
                <w14:textFill>
                  <w14:solidFill>
                    <w14:schemeClr w14:val="tx1"/>
                  </w14:solidFill>
                </w14:textFill>
              </w:rPr>
              <w:t>如本产品通过代销机构销售，投资者可通过代销机构规定的渠道认购本产品。</w:t>
            </w:r>
          </w:p>
          <w:p w14:paraId="02FA8AB9">
            <w:pPr>
              <w:spacing w:line="300" w:lineRule="exact"/>
              <w:ind w:right="36" w:rightChars="15"/>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b/>
                <w:sz w:val="20"/>
                <w:szCs w:val="20"/>
              </w:rPr>
              <w:t>本产品可能同时在其他渠道销售，本产品收取的销售服务费可能因销售机构不同有所差异，从而导致测算的业绩比较基准有所差异，请投资者关注管理人及销售机构相关信息披露。</w:t>
            </w:r>
          </w:p>
        </w:tc>
      </w:tr>
      <w:tr w14:paraId="2F331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884E4FA">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申购</w:t>
            </w:r>
            <w:r>
              <w:rPr>
                <w:rFonts w:ascii="Times New Roman" w:eastAsia="楷体_GB2312" w:cs="楷体_GB2312"/>
                <w:color w:val="000000" w:themeColor="text1"/>
                <w:sz w:val="20"/>
                <w:szCs w:val="20"/>
                <w14:textFill>
                  <w14:solidFill>
                    <w14:schemeClr w14:val="tx1"/>
                  </w14:solidFill>
                </w14:textFill>
              </w:rPr>
              <w:t>和赎回渠道</w:t>
            </w:r>
          </w:p>
        </w:tc>
        <w:tc>
          <w:tcPr>
            <w:tcW w:w="3740" w:type="pct"/>
            <w:vAlign w:val="center"/>
          </w:tcPr>
          <w:p w14:paraId="3BCBE14F">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投资者可通过信银理财直销渠道申购及赎回本产品。</w:t>
            </w:r>
            <w:r>
              <w:br w:type="textWrapping"/>
            </w:r>
            <w:r>
              <w:rPr>
                <w:rFonts w:ascii="楷体_GB2312" w:eastAsia="楷体_GB2312" w:cs="楷体_GB2312"/>
                <w:color w:val="000000" w:themeColor="text1"/>
                <w:sz w:val="20"/>
                <w:szCs w:val="20"/>
                <w14:textFill>
                  <w14:solidFill>
                    <w14:schemeClr w14:val="tx1"/>
                  </w14:solidFill>
                </w14:textFill>
              </w:rPr>
              <w:t>如本产品通过代销机构销售，投资者可通过代销机构规定的渠道申购和赎回本产品。</w:t>
            </w:r>
          </w:p>
          <w:p w14:paraId="79B55B3A">
            <w:pPr>
              <w:spacing w:line="300" w:lineRule="exact"/>
              <w:ind w:right="36" w:rightChars="15"/>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b/>
                <w:sz w:val="20"/>
                <w:szCs w:val="20"/>
              </w:rPr>
              <w:t>本产品可能同时在其他渠道销售，本产品收取的销售服务费可能因销售机构不同有所差异，从而导致测算的业绩比较基准有所差异，请投资者关注管理人及销售机构相关信息披露。</w:t>
            </w:r>
          </w:p>
        </w:tc>
      </w:tr>
      <w:tr w14:paraId="37515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069C2955">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税收条款</w:t>
            </w:r>
          </w:p>
        </w:tc>
        <w:tc>
          <w:tcPr>
            <w:tcW w:w="3740" w:type="pct"/>
            <w:vAlign w:val="center"/>
          </w:tcPr>
          <w:p w14:paraId="5256B7F8">
            <w:pPr>
              <w:spacing w:line="300" w:lineRule="exact"/>
              <w:ind w:left="-2" w:leftChars="-1"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根据国家法律法规、部门规章和其他规范性文件，理财产品运营过程中产生的相关税费（包括但不限于增值税及相应的附加税费等）由理财产品承担，由信银理财作为</w:t>
            </w:r>
            <w:r>
              <w:rPr>
                <w:rFonts w:ascii="楷体_GB2312" w:eastAsia="楷体_GB2312" w:cs="楷体_GB2312"/>
                <w:color w:val="000000" w:themeColor="text1"/>
                <w:sz w:val="20"/>
                <w:szCs w:val="20"/>
                <w14:textFill>
                  <w14:solidFill>
                    <w14:schemeClr w14:val="tx1"/>
                  </w14:solidFill>
                </w14:textFill>
              </w:rPr>
              <w:t>产品管理人</w:t>
            </w:r>
            <w:r>
              <w:rPr>
                <w:rFonts w:hint="eastAsia" w:ascii="楷体_GB2312" w:eastAsia="楷体_GB2312" w:cs="楷体_GB2312"/>
                <w:color w:val="000000" w:themeColor="text1"/>
                <w:sz w:val="20"/>
                <w:szCs w:val="20"/>
                <w14:textFill>
                  <w14:solidFill>
                    <w14:schemeClr w14:val="tx1"/>
                  </w14:solidFill>
                </w14:textFill>
              </w:rPr>
              <w:t>以</w:t>
            </w:r>
            <w:r>
              <w:rPr>
                <w:rFonts w:ascii="楷体_GB2312" w:eastAsia="楷体_GB2312" w:cs="楷体_GB2312"/>
                <w:color w:val="000000" w:themeColor="text1"/>
                <w:sz w:val="20"/>
                <w:szCs w:val="20"/>
                <w14:textFill>
                  <w14:solidFill>
                    <w14:schemeClr w14:val="tx1"/>
                  </w14:solidFill>
                </w14:textFill>
              </w:rPr>
              <w:t>理财资金</w:t>
            </w:r>
            <w:r>
              <w:rPr>
                <w:rFonts w:hint="eastAsia" w:ascii="楷体_GB2312" w:eastAsia="楷体_GB2312" w:cs="楷体_GB2312"/>
                <w:color w:val="000000" w:themeColor="text1"/>
                <w:sz w:val="20"/>
                <w:szCs w:val="20"/>
                <w14:textFill>
                  <w14:solidFill>
                    <w14:schemeClr w14:val="tx1"/>
                  </w14:solidFill>
                </w14:textFill>
              </w:rPr>
              <w:t>予以缴纳。前述税费具体的计算、提取及缴纳，由信银理财按照应税行为发生时有效的相关税收法规确定。理财产品的实际收益为扣除增值税及附加税费后的收益。投资者取得理财收益产生的纳税义务（包括但不限于增值税、所得税等，如有），由投资者自行缴纳，信银理财不承担代扣代缴义务，法律法规另有明确规定的除外。</w:t>
            </w:r>
          </w:p>
        </w:tc>
      </w:tr>
      <w:tr w14:paraId="446DC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41AED893">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费用条款</w:t>
            </w:r>
          </w:p>
        </w:tc>
        <w:tc>
          <w:tcPr>
            <w:tcW w:w="3740" w:type="pct"/>
            <w:vAlign w:val="center"/>
          </w:tcPr>
          <w:p w14:paraId="2A5BA5CE">
            <w:pPr>
              <w:snapToGrid w:val="0"/>
              <w:spacing w:line="300" w:lineRule="exact"/>
              <w:ind w:left="-2" w:leftChars="-1" w:right="53" w:rightChars="22"/>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本产品的费用包括认购费、申购费、赎回费、销售服务费、托管费、固定管理费、浮动管理费，产品运作和清算中产生的其他资金汇划费、结算费、交易手续费、注册登记费、信息披露费、账户服务费、审计费、律师费</w:t>
            </w:r>
            <w:r>
              <w:rPr>
                <w:rFonts w:hint="eastAsia" w:ascii="楷体_GB2312" w:eastAsia="楷体_GB2312" w:cs="楷体_GB2312"/>
                <w:b/>
                <w:color w:val="000000" w:themeColor="text1"/>
                <w:sz w:val="20"/>
                <w:szCs w:val="20"/>
                <w14:textFill>
                  <w14:solidFill>
                    <w14:schemeClr w14:val="tx1"/>
                  </w14:solidFill>
                </w14:textFill>
              </w:rPr>
              <w:t>、因投资资产而产生的资产推荐服务费等相关费用</w:t>
            </w:r>
            <w:r>
              <w:rPr>
                <w:rFonts w:ascii="楷体_GB2312" w:eastAsia="楷体_GB2312" w:cs="楷体_GB2312"/>
                <w:b/>
                <w:color w:val="000000" w:themeColor="text1"/>
                <w:sz w:val="20"/>
                <w:szCs w:val="20"/>
                <w14:textFill>
                  <w14:solidFill>
                    <w14:schemeClr w14:val="tx1"/>
                  </w14:solidFill>
                </w14:textFill>
              </w:rPr>
              <w:t>，以及按照国家规定可以列入的其他费用</w:t>
            </w:r>
            <w:r>
              <w:rPr>
                <w:rFonts w:hint="eastAsia" w:ascii="楷体_GB2312" w:eastAsia="楷体_GB2312" w:cs="楷体_GB2312"/>
                <w:b/>
                <w:color w:val="000000" w:themeColor="text1"/>
                <w:sz w:val="20"/>
                <w:szCs w:val="20"/>
                <w14:textFill>
                  <w14:solidFill>
                    <w14:schemeClr w14:val="tx1"/>
                  </w14:solidFill>
                </w14:textFill>
              </w:rPr>
              <w:t>，按照实际发生时列支</w:t>
            </w:r>
            <w:r>
              <w:rPr>
                <w:rFonts w:ascii="楷体_GB2312" w:eastAsia="楷体_GB2312" w:cs="楷体_GB2312"/>
                <w:b/>
                <w:color w:val="000000" w:themeColor="text1"/>
                <w:sz w:val="20"/>
                <w:szCs w:val="20"/>
                <w14:textFill>
                  <w14:solidFill>
                    <w14:schemeClr w14:val="tx1"/>
                  </w14:solidFill>
                </w14:textFill>
              </w:rPr>
              <w:t>。管理人因管理、运营理财产品发生的税费</w:t>
            </w:r>
            <w:r>
              <w:rPr>
                <w:rFonts w:ascii="楷体_GB2312" w:eastAsia="楷体_GB2312"/>
                <w:b/>
                <w:color w:val="000000" w:themeColor="text1"/>
                <w:sz w:val="20"/>
                <w:szCs w:val="20"/>
                <w14:textFill>
                  <w14:solidFill>
                    <w14:schemeClr w14:val="tx1"/>
                  </w14:solidFill>
                </w14:textFill>
              </w:rPr>
              <w:t>（包括但不限于增值税及相应的附加税费等）</w:t>
            </w:r>
            <w:r>
              <w:rPr>
                <w:rFonts w:ascii="楷体_GB2312" w:eastAsia="楷体_GB2312" w:cs="楷体_GB2312"/>
                <w:b/>
                <w:color w:val="000000" w:themeColor="text1"/>
                <w:sz w:val="20"/>
                <w:szCs w:val="20"/>
                <w14:textFill>
                  <w14:solidFill>
                    <w14:schemeClr w14:val="tx1"/>
                  </w14:solidFill>
                </w14:textFill>
              </w:rPr>
              <w:t>由产品资产承担。法律法规另有规定时从其规定。</w:t>
            </w:r>
          </w:p>
          <w:p w14:paraId="420B85C9">
            <w:pPr>
              <w:snapToGrid w:val="0"/>
              <w:spacing w:line="300" w:lineRule="exact"/>
              <w:ind w:right="53" w:rightChars="22"/>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1．认购费：</w:t>
            </w:r>
            <w:r>
              <w:rPr>
                <w:rFonts w:hint="eastAsia" w:ascii="楷体_GB2312" w:eastAsia="楷体_GB2312" w:cs="楷体_GB2312"/>
                <w:b/>
                <w:color w:val="000000" w:themeColor="text1"/>
                <w:sz w:val="20"/>
                <w:szCs w:val="20"/>
                <w14:textFill>
                  <w14:solidFill>
                    <w14:schemeClr w14:val="tx1"/>
                  </w14:solidFill>
                </w14:textFill>
              </w:rPr>
              <w:t>B类份额不收取认购费，G类份额不收取认购费，H类份额不收取认购费</w:t>
            </w:r>
            <w:r>
              <w:rPr>
                <w:rFonts w:hint="eastAsia" w:ascii="楷体_GB2312" w:eastAsia="楷体_GB2312" w:cs="楷体_GB2312"/>
                <w:b/>
                <w:sz w:val="20"/>
                <w:szCs w:val="20"/>
              </w:rPr>
              <w:t>。</w:t>
            </w:r>
          </w:p>
          <w:p w14:paraId="69E4B343">
            <w:pPr>
              <w:snapToGrid w:val="0"/>
              <w:spacing w:line="300" w:lineRule="exact"/>
              <w:ind w:left="-2" w:leftChars="-1" w:right="53" w:rightChars="22"/>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2．申购费：</w:t>
            </w:r>
            <w:r>
              <w:rPr>
                <w:rFonts w:hint="eastAsia" w:ascii="楷体_GB2312" w:eastAsia="楷体_GB2312" w:cs="楷体_GB2312"/>
                <w:b/>
                <w:color w:val="000000" w:themeColor="text1"/>
                <w:sz w:val="20"/>
                <w:szCs w:val="20"/>
                <w14:textFill>
                  <w14:solidFill>
                    <w14:schemeClr w14:val="tx1"/>
                  </w14:solidFill>
                </w14:textFill>
              </w:rPr>
              <w:t>B类份额不收取申购费，G类份额不收取申购费，H类份额不收取申购费</w:t>
            </w:r>
            <w:r>
              <w:rPr>
                <w:rFonts w:ascii="楷体_GB2312" w:eastAsia="楷体_GB2312" w:cs="楷体_GB2312"/>
                <w:b/>
                <w:color w:val="000000" w:themeColor="text1"/>
                <w:sz w:val="20"/>
                <w:szCs w:val="20"/>
                <w14:textFill>
                  <w14:solidFill>
                    <w14:schemeClr w14:val="tx1"/>
                  </w14:solidFill>
                </w14:textFill>
              </w:rPr>
              <w:t>。</w:t>
            </w:r>
          </w:p>
          <w:p w14:paraId="54A9A1B4">
            <w:pPr>
              <w:snapToGrid w:val="0"/>
              <w:spacing w:line="300" w:lineRule="exact"/>
              <w:ind w:left="-2" w:leftChars="-1" w:right="53" w:rightChars="22"/>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3．赎回费：</w:t>
            </w:r>
            <w:r>
              <w:rPr>
                <w:rFonts w:hint="eastAsia" w:ascii="楷体_GB2312" w:eastAsia="楷体_GB2312" w:cs="楷体_GB2312"/>
                <w:b/>
                <w:color w:val="000000" w:themeColor="text1"/>
                <w:sz w:val="20"/>
                <w:szCs w:val="20"/>
                <w14:textFill>
                  <w14:solidFill>
                    <w14:schemeClr w14:val="tx1"/>
                  </w14:solidFill>
                </w14:textFill>
              </w:rPr>
              <w:t>B类份额不收取赎回费，G类份额不收取赎回费，H类份额不收取赎回费</w:t>
            </w:r>
            <w:r>
              <w:rPr>
                <w:rFonts w:ascii="楷体_GB2312" w:eastAsia="楷体_GB2312" w:cs="楷体_GB2312"/>
                <w:b/>
                <w:color w:val="000000" w:themeColor="text1"/>
                <w:sz w:val="20"/>
                <w:szCs w:val="20"/>
                <w14:textFill>
                  <w14:solidFill>
                    <w14:schemeClr w14:val="tx1"/>
                  </w14:solidFill>
                </w14:textFill>
              </w:rPr>
              <w:t>。</w:t>
            </w:r>
          </w:p>
          <w:p w14:paraId="613F48EE">
            <w:pPr>
              <w:snapToGrid w:val="0"/>
              <w:spacing w:line="300" w:lineRule="exact"/>
              <w:ind w:right="96" w:rightChars="4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4．销售服务费：</w:t>
            </w:r>
            <w:r>
              <w:rPr>
                <w:rFonts w:hint="eastAsia" w:ascii="楷体_GB2312" w:eastAsia="楷体_GB2312" w:cs="楷体_GB2312"/>
                <w:b/>
                <w:color w:val="000000" w:themeColor="text1"/>
                <w:sz w:val="20"/>
                <w:szCs w:val="20"/>
                <w14:textFill>
                  <w14:solidFill>
                    <w14:schemeClr w14:val="tx1"/>
                  </w14:solidFill>
                </w14:textFill>
              </w:rPr>
              <w:t>B类份额费率【0.30%】/年，G类份额费率【0.30%】/年，H类份额费率【0.30%】/年</w:t>
            </w:r>
            <w:r>
              <w:rPr>
                <w:rFonts w:ascii="楷体_GB2312" w:eastAsia="楷体_GB2312" w:cs="楷体_GB2312"/>
                <w:b/>
                <w:color w:val="000000" w:themeColor="text1"/>
                <w:sz w:val="20"/>
                <w:szCs w:val="20"/>
                <w14:textFill>
                  <w14:solidFill>
                    <w14:schemeClr w14:val="tx1"/>
                  </w14:solidFill>
                </w14:textFill>
              </w:rPr>
              <w:t>。</w:t>
            </w:r>
          </w:p>
          <w:p w14:paraId="473E5AA9">
            <w:pPr>
              <w:snapToGrid w:val="0"/>
              <w:spacing w:line="300" w:lineRule="exact"/>
              <w:ind w:right="53" w:rightChars="22"/>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5．托管费：费率【</w:t>
            </w:r>
            <w:r>
              <w:rPr>
                <w:rFonts w:hint="eastAsia" w:ascii="楷体_GB2312" w:eastAsia="楷体_GB2312" w:cs="楷体_GB2312"/>
                <w:b/>
                <w:color w:val="000000" w:themeColor="text1"/>
                <w:sz w:val="20"/>
                <w:szCs w:val="20"/>
                <w14:textFill>
                  <w14:solidFill>
                    <w14:schemeClr w14:val="tx1"/>
                  </w14:solidFill>
                </w14:textFill>
              </w:rPr>
              <w:t>0.03%</w:t>
            </w:r>
            <w:r>
              <w:rPr>
                <w:rFonts w:ascii="楷体_GB2312" w:eastAsia="楷体_GB2312" w:cs="楷体_GB2312"/>
                <w:b/>
                <w:color w:val="000000" w:themeColor="text1"/>
                <w:sz w:val="20"/>
                <w:szCs w:val="20"/>
                <w14:textFill>
                  <w14:solidFill>
                    <w14:schemeClr w14:val="tx1"/>
                  </w14:solidFill>
                </w14:textFill>
              </w:rPr>
              <w:t xml:space="preserve">】/年。 </w:t>
            </w:r>
          </w:p>
          <w:p w14:paraId="7D710B98">
            <w:pPr>
              <w:snapToGrid w:val="0"/>
              <w:spacing w:line="300" w:lineRule="exact"/>
              <w:ind w:right="53" w:rightChars="22"/>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6．固定管理费：费率【</w:t>
            </w:r>
            <w:r>
              <w:rPr>
                <w:rFonts w:hint="eastAsia" w:ascii="楷体_GB2312" w:eastAsia="楷体_GB2312" w:cs="楷体_GB2312"/>
                <w:b/>
                <w:color w:val="000000" w:themeColor="text1"/>
                <w:sz w:val="20"/>
                <w:szCs w:val="20"/>
                <w14:textFill>
                  <w14:solidFill>
                    <w14:schemeClr w14:val="tx1"/>
                  </w14:solidFill>
                </w14:textFill>
              </w:rPr>
              <w:t>0.30%</w:t>
            </w:r>
            <w:r>
              <w:rPr>
                <w:rFonts w:ascii="楷体_GB2312" w:eastAsia="楷体_GB2312" w:cs="楷体_GB2312"/>
                <w:b/>
                <w:color w:val="000000" w:themeColor="text1"/>
                <w:sz w:val="20"/>
                <w:szCs w:val="20"/>
                <w14:textFill>
                  <w14:solidFill>
                    <w14:schemeClr w14:val="tx1"/>
                  </w14:solidFill>
                </w14:textFill>
              </w:rPr>
              <w:t>】/年。</w:t>
            </w:r>
          </w:p>
          <w:p w14:paraId="4ABA103C">
            <w:pPr>
              <w:snapToGrid w:val="0"/>
              <w:spacing w:line="300" w:lineRule="exact"/>
              <w:ind w:right="53" w:rightChars="22"/>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7．浮动管理费：</w:t>
            </w:r>
          </w:p>
          <w:p w14:paraId="1C8EDBD0">
            <w:pPr>
              <w:snapToGrid w:val="0"/>
              <w:spacing w:line="300" w:lineRule="exact"/>
              <w:ind w:right="53" w:rightChars="22"/>
              <w:outlineLvl w:val="0"/>
              <w:rPr>
                <w:rFonts w:ascii="楷体_GB2312" w:eastAsia="楷体_GB2312" w:cs="楷体_GB2312"/>
                <w:b/>
                <w:color w:val="000000" w:themeColor="text1"/>
                <w:sz w:val="20"/>
                <w:szCs w:val="20"/>
                <w14:textFill>
                  <w14:solidFill>
                    <w14:schemeClr w14:val="tx1"/>
                  </w14:solidFill>
                </w14:textFill>
              </w:rPr>
            </w:pPr>
            <w:r>
              <w:rPr>
                <w:rFonts w:hint="eastAsia" w:ascii="楷体_GB2312" w:eastAsia="楷体_GB2312" w:cs="楷体_GB2312"/>
                <w:b/>
                <w:color w:val="000000" w:themeColor="text1"/>
                <w:sz w:val="20"/>
                <w:szCs w:val="20"/>
                <w14:textFill>
                  <w14:solidFill>
                    <w14:schemeClr w14:val="tx1"/>
                  </w14:solidFill>
                </w14:textFill>
              </w:rPr>
              <w:t>B类、G类、H类份额不收取浮动管理费。</w:t>
            </w:r>
          </w:p>
          <w:p w14:paraId="18680150">
            <w:pPr>
              <w:snapToGrid w:val="0"/>
              <w:spacing w:line="300" w:lineRule="exact"/>
              <w:ind w:right="53" w:rightChars="22"/>
              <w:jc w:val="both"/>
              <w:outlineLvl w:val="0"/>
              <w:rPr>
                <w:rFonts w:ascii="楷体_GB2312" w:eastAsia="楷体_GB2312" w:cs="楷体_GB2312"/>
                <w:b/>
                <w:color w:val="000000" w:themeColor="text1"/>
                <w:sz w:val="20"/>
                <w:szCs w:val="20"/>
                <w14:textFill>
                  <w14:solidFill>
                    <w14:schemeClr w14:val="tx1"/>
                  </w14:solidFill>
                </w14:textFill>
              </w:rPr>
            </w:pPr>
          </w:p>
          <w:p w14:paraId="48BEEB90">
            <w:pPr>
              <w:snapToGrid w:val="0"/>
              <w:spacing w:line="300" w:lineRule="exact"/>
              <w:ind w:right="53" w:rightChars="22"/>
              <w:jc w:val="both"/>
              <w:outlineLvl w:val="0"/>
              <w:rPr>
                <w:rFonts w:ascii="楷体_GB2312" w:eastAsia="楷体_GB2312"/>
                <w:b/>
                <w:color w:val="000000" w:themeColor="text1"/>
                <w:sz w:val="20"/>
                <w:szCs w:val="20"/>
                <w14:textFill>
                  <w14:solidFill>
                    <w14:schemeClr w14:val="tx1"/>
                  </w14:solidFill>
                </w14:textFill>
              </w:rPr>
            </w:pPr>
            <w:r>
              <w:rPr>
                <w:rFonts w:hint="eastAsia" w:ascii="楷体_GB2312" w:eastAsia="楷体_GB2312" w:cs="楷体_GB2312"/>
                <w:b/>
                <w:color w:val="000000" w:themeColor="text1"/>
                <w:sz w:val="20"/>
                <w:szCs w:val="20"/>
                <w14:textFill>
                  <w14:solidFill>
                    <w14:schemeClr w14:val="tx1"/>
                  </w14:solidFill>
                </w14:textFill>
              </w:rPr>
              <w:t>以上</w:t>
            </w:r>
            <w:r>
              <w:rPr>
                <w:rFonts w:ascii="楷体_GB2312" w:eastAsia="楷体_GB2312" w:cs="楷体_GB2312"/>
                <w:b/>
                <w:color w:val="000000" w:themeColor="text1"/>
                <w:sz w:val="20"/>
                <w:szCs w:val="20"/>
                <w14:textFill>
                  <w14:solidFill>
                    <w14:schemeClr w14:val="tx1"/>
                  </w14:solidFill>
                </w14:textFill>
              </w:rPr>
              <w:t>1-7</w:t>
            </w:r>
            <w:r>
              <w:rPr>
                <w:rFonts w:hint="eastAsia" w:ascii="楷体_GB2312" w:eastAsia="楷体_GB2312" w:cs="楷体_GB2312"/>
                <w:b/>
                <w:color w:val="000000" w:themeColor="text1"/>
                <w:sz w:val="20"/>
                <w:szCs w:val="20"/>
                <w14:textFill>
                  <w14:solidFill>
                    <w14:schemeClr w14:val="tx1"/>
                  </w14:solidFill>
                </w14:textFill>
              </w:rPr>
              <w:t>项费用</w:t>
            </w:r>
            <w:r>
              <w:rPr>
                <w:rFonts w:ascii="楷体_GB2312" w:eastAsia="楷体_GB2312" w:cs="楷体_GB2312"/>
                <w:b/>
                <w:color w:val="000000" w:themeColor="text1"/>
                <w:sz w:val="20"/>
                <w:szCs w:val="20"/>
                <w14:textFill>
                  <w14:solidFill>
                    <w14:schemeClr w14:val="tx1"/>
                  </w14:solidFill>
                </w14:textFill>
              </w:rPr>
              <w:t>金额均</w:t>
            </w:r>
            <w:r>
              <w:rPr>
                <w:rFonts w:hint="eastAsia" w:ascii="楷体_GB2312" w:eastAsia="楷体_GB2312" w:cs="楷体_GB2312"/>
                <w:b/>
                <w:color w:val="000000" w:themeColor="text1"/>
                <w:sz w:val="20"/>
                <w:szCs w:val="20"/>
                <w14:textFill>
                  <w14:solidFill>
                    <w14:schemeClr w14:val="tx1"/>
                  </w14:solidFill>
                </w14:textFill>
              </w:rPr>
              <w:t>四舍五入</w:t>
            </w:r>
            <w:r>
              <w:rPr>
                <w:rFonts w:ascii="楷体_GB2312" w:eastAsia="楷体_GB2312" w:cs="楷体_GB2312"/>
                <w:b/>
                <w:color w:val="000000" w:themeColor="text1"/>
                <w:sz w:val="20"/>
                <w:szCs w:val="20"/>
                <w14:textFill>
                  <w14:solidFill>
                    <w14:schemeClr w14:val="tx1"/>
                  </w14:solidFill>
                </w14:textFill>
              </w:rPr>
              <w:t>保留小数点后</w:t>
            </w:r>
            <w:r>
              <w:rPr>
                <w:rFonts w:hint="eastAsia" w:ascii="楷体_GB2312" w:eastAsia="楷体_GB2312" w:cs="楷体_GB2312"/>
                <w:b/>
                <w:color w:val="000000" w:themeColor="text1"/>
                <w:sz w:val="20"/>
                <w:szCs w:val="20"/>
                <w14:textFill>
                  <w14:solidFill>
                    <w14:schemeClr w14:val="tx1"/>
                  </w14:solidFill>
                </w14:textFill>
              </w:rPr>
              <w:t>【</w:t>
            </w:r>
            <w:r>
              <w:rPr>
                <w:rFonts w:ascii="楷体_GB2312" w:eastAsia="楷体_GB2312" w:cs="楷体_GB2312"/>
                <w:b/>
                <w:color w:val="000000" w:themeColor="text1"/>
                <w:sz w:val="20"/>
                <w:szCs w:val="20"/>
                <w14:textFill>
                  <w14:solidFill>
                    <w14:schemeClr w14:val="tx1"/>
                  </w14:solidFill>
                </w14:textFill>
              </w:rPr>
              <w:t>2】位。</w:t>
            </w:r>
          </w:p>
          <w:p w14:paraId="40948EED">
            <w:pPr>
              <w:snapToGrid w:val="0"/>
              <w:spacing w:line="300" w:lineRule="exact"/>
              <w:ind w:right="53" w:rightChars="22"/>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具体请参见本说明书“</w:t>
            </w:r>
            <w:r>
              <w:rPr>
                <w:rFonts w:hint="eastAsia" w:ascii="黑体" w:eastAsia="黑体" w:cs="黑体"/>
                <w:b/>
                <w:color w:val="000000" w:themeColor="text1"/>
                <w:sz w:val="20"/>
                <w:szCs w:val="20"/>
                <w14:textFill>
                  <w14:solidFill>
                    <w14:schemeClr w14:val="tx1"/>
                  </w14:solidFill>
                </w14:textFill>
              </w:rPr>
              <w:t>九、理财产品的费用</w:t>
            </w:r>
            <w:r>
              <w:rPr>
                <w:rFonts w:ascii="楷体_GB2312" w:eastAsia="楷体_GB2312" w:cs="楷体_GB2312"/>
                <w:b/>
                <w:color w:val="000000" w:themeColor="text1"/>
                <w:sz w:val="20"/>
                <w:szCs w:val="20"/>
                <w14:textFill>
                  <w14:solidFill>
                    <w14:schemeClr w14:val="tx1"/>
                  </w14:solidFill>
                </w14:textFill>
              </w:rPr>
              <w:t>”部分。</w:t>
            </w:r>
          </w:p>
          <w:p w14:paraId="2EDD31AE">
            <w:pPr>
              <w:spacing w:line="300" w:lineRule="exact"/>
              <w:ind w:right="36" w:rightChars="15"/>
              <w:jc w:val="both"/>
              <w:rPr>
                <w:rFonts w:ascii="楷体_GB2312" w:eastAsia="楷体_GB2312" w:cs="楷体_GB2312"/>
                <w:b/>
                <w:color w:val="000000" w:themeColor="text1"/>
                <w:sz w:val="20"/>
                <w:szCs w:val="20"/>
                <w14:textFill>
                  <w14:solidFill>
                    <w14:schemeClr w14:val="tx1"/>
                  </w14:solidFill>
                </w14:textFill>
              </w:rPr>
            </w:pPr>
            <w:r>
              <w:rPr>
                <w:rFonts w:hint="eastAsia" w:ascii="楷体_GB2312" w:eastAsia="楷体_GB2312" w:cs="楷体_GB2312"/>
                <w:b/>
                <w:sz w:val="20"/>
                <w:szCs w:val="20"/>
              </w:rPr>
              <w:t>本产品可能同时在其他渠道销售，本产品收取的销售服务费可能因销售机构不同有所差异，从而导致测算的业绩比较基准有所差异，请投资者关注管理人及销售机构相关信息披露。</w:t>
            </w:r>
          </w:p>
          <w:p w14:paraId="328FF65F">
            <w:pPr>
              <w:snapToGrid w:val="0"/>
              <w:spacing w:line="300" w:lineRule="exact"/>
              <w:ind w:right="53" w:rightChars="22"/>
              <w:outlineLvl w:val="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投资者通过代销机构购买理财产品的，代销机构收取的销售相关费用（如有）以代销机构规定为准，但不得超过上述费用标准。</w:t>
            </w:r>
          </w:p>
        </w:tc>
      </w:tr>
      <w:tr w14:paraId="65E65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63C699A7">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理财产品</w:t>
            </w:r>
            <w:r>
              <w:rPr>
                <w:rFonts w:ascii="Times New Roman" w:eastAsia="楷体_GB2312" w:cs="楷体_GB2312"/>
                <w:color w:val="000000" w:themeColor="text1"/>
                <w:sz w:val="20"/>
                <w:szCs w:val="20"/>
                <w14:textFill>
                  <w14:solidFill>
                    <w14:schemeClr w14:val="tx1"/>
                  </w14:solidFill>
                </w14:textFill>
              </w:rPr>
              <w:t>管理人</w:t>
            </w:r>
            <w:r>
              <w:rPr>
                <w:rFonts w:hint="eastAsia" w:ascii="Times New Roman" w:eastAsia="楷体_GB2312" w:cs="楷体_GB2312"/>
                <w:color w:val="000000" w:themeColor="text1"/>
                <w:sz w:val="20"/>
                <w:szCs w:val="20"/>
                <w14:textFill>
                  <w14:solidFill>
                    <w14:schemeClr w14:val="tx1"/>
                  </w14:solidFill>
                </w14:textFill>
              </w:rPr>
              <w:t>/产品</w:t>
            </w:r>
            <w:r>
              <w:rPr>
                <w:rFonts w:ascii="Times New Roman" w:eastAsia="楷体_GB2312" w:cs="楷体_GB2312"/>
                <w:color w:val="000000" w:themeColor="text1"/>
                <w:sz w:val="20"/>
                <w:szCs w:val="20"/>
                <w14:textFill>
                  <w14:solidFill>
                    <w14:schemeClr w14:val="tx1"/>
                  </w14:solidFill>
                </w14:textFill>
              </w:rPr>
              <w:t>管理</w:t>
            </w:r>
            <w:r>
              <w:rPr>
                <w:rFonts w:hint="eastAsia" w:ascii="Times New Roman" w:eastAsia="楷体_GB2312" w:cs="楷体_GB2312"/>
                <w:color w:val="000000" w:themeColor="text1"/>
                <w:sz w:val="20"/>
                <w:szCs w:val="20"/>
                <w14:textFill>
                  <w14:solidFill>
                    <w14:schemeClr w14:val="tx1"/>
                  </w14:solidFill>
                </w14:textFill>
              </w:rPr>
              <w:t>人/管理人</w:t>
            </w:r>
            <w:r>
              <w:rPr>
                <w:rFonts w:ascii="Times New Roman" w:eastAsia="楷体_GB2312" w:cs="楷体_GB2312"/>
                <w:color w:val="000000" w:themeColor="text1"/>
                <w:sz w:val="20"/>
                <w:szCs w:val="20"/>
                <w14:textFill>
                  <w14:solidFill>
                    <w14:schemeClr w14:val="tx1"/>
                  </w14:solidFill>
                </w14:textFill>
              </w:rPr>
              <w:t>、</w:t>
            </w:r>
            <w:r>
              <w:rPr>
                <w:rFonts w:hint="eastAsia" w:ascii="Times New Roman" w:eastAsia="楷体_GB2312" w:cs="楷体_GB2312"/>
                <w:color w:val="000000" w:themeColor="text1"/>
                <w:sz w:val="20"/>
                <w:szCs w:val="20"/>
                <w14:textFill>
                  <w14:solidFill>
                    <w14:schemeClr w14:val="tx1"/>
                  </w14:solidFill>
                </w14:textFill>
              </w:rPr>
              <w:t>收益</w:t>
            </w:r>
            <w:r>
              <w:rPr>
                <w:rFonts w:ascii="Times New Roman" w:eastAsia="楷体_GB2312" w:cs="楷体_GB2312"/>
                <w:color w:val="000000" w:themeColor="text1"/>
                <w:sz w:val="20"/>
                <w:szCs w:val="20"/>
                <w14:textFill>
                  <w14:solidFill>
                    <w14:schemeClr w14:val="tx1"/>
                  </w14:solidFill>
                </w14:textFill>
              </w:rPr>
              <w:t>计算方</w:t>
            </w:r>
          </w:p>
        </w:tc>
        <w:tc>
          <w:tcPr>
            <w:tcW w:w="3740" w:type="pct"/>
            <w:vAlign w:val="center"/>
          </w:tcPr>
          <w:p w14:paraId="4C777D8B">
            <w:pPr>
              <w:spacing w:line="300" w:lineRule="atLeast"/>
              <w:ind w:left="-2"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w:t>
            </w:r>
          </w:p>
        </w:tc>
      </w:tr>
      <w:tr w14:paraId="19527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6AB3E52A">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合作销售机构</w:t>
            </w:r>
          </w:p>
        </w:tc>
        <w:tc>
          <w:tcPr>
            <w:tcW w:w="3740" w:type="pct"/>
            <w:vAlign w:val="center"/>
          </w:tcPr>
          <w:p w14:paraId="48E95867">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B类份额（份额代码【AF247784B】）合作销售机构信息：</w:t>
            </w:r>
            <w:r>
              <w:br w:type="textWrapping"/>
            </w:r>
            <w:r>
              <w:rPr>
                <w:rFonts w:ascii="楷体_GB2312" w:eastAsia="楷体_GB2312" w:cs="楷体_GB2312"/>
                <w:color w:val="000000" w:themeColor="text1"/>
                <w:sz w:val="20"/>
                <w:szCs w:val="20"/>
                <w14:textFill>
                  <w14:solidFill>
                    <w14:schemeClr w14:val="tx1"/>
                  </w14:solidFill>
                </w14:textFill>
              </w:rPr>
              <w:t>1.企业名称：【信银理财有限责任公司】</w:t>
            </w:r>
            <w:r>
              <w:br w:type="textWrapping"/>
            </w:r>
            <w:r>
              <w:rPr>
                <w:rFonts w:ascii="楷体_GB2312" w:eastAsia="楷体_GB2312" w:cs="楷体_GB2312"/>
                <w:color w:val="000000" w:themeColor="text1"/>
                <w:sz w:val="20"/>
                <w:szCs w:val="20"/>
                <w14:textFill>
                  <w14:solidFill>
                    <w14:schemeClr w14:val="tx1"/>
                  </w14:solidFill>
                </w14:textFill>
              </w:rPr>
              <w:t>统一社会信用代码：【91310000MA1FL7AC87】</w:t>
            </w:r>
            <w:r>
              <w:br w:type="textWrapping"/>
            </w:r>
            <w:r>
              <w:rPr>
                <w:rFonts w:ascii="楷体_GB2312" w:eastAsia="楷体_GB2312" w:cs="楷体_GB2312"/>
                <w:color w:val="000000" w:themeColor="text1"/>
                <w:sz w:val="20"/>
                <w:szCs w:val="20"/>
                <w14:textFill>
                  <w14:solidFill>
                    <w14:schemeClr w14:val="tx1"/>
                  </w14:solidFill>
                </w14:textFill>
              </w:rPr>
              <w:t>住所：【上海市黄浦区中山东二路600号1幢35层、36层】</w:t>
            </w:r>
            <w:r>
              <w:br w:type="textWrapping"/>
            </w:r>
            <w:r>
              <w:rPr>
                <w:rFonts w:ascii="楷体_GB2312" w:eastAsia="楷体_GB2312" w:cs="楷体_GB2312"/>
                <w:color w:val="000000" w:themeColor="text1"/>
                <w:sz w:val="20"/>
                <w:szCs w:val="20"/>
                <w14:textFill>
                  <w14:solidFill>
                    <w14:schemeClr w14:val="tx1"/>
                  </w14:solidFill>
                </w14:textFill>
              </w:rPr>
              <w:t>客户服务热线：【950950】</w:t>
            </w:r>
          </w:p>
          <w:p w14:paraId="2B499FBD">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2</w:t>
            </w:r>
            <w:r>
              <w:rPr>
                <w:rFonts w:ascii="楷体_GB2312" w:eastAsia="楷体_GB2312" w:cs="楷体_GB2312"/>
                <w:color w:val="000000" w:themeColor="text1"/>
                <w:sz w:val="20"/>
                <w:szCs w:val="20"/>
                <w14:textFill>
                  <w14:solidFill>
                    <w14:schemeClr w14:val="tx1"/>
                  </w14:solidFill>
                </w14:textFill>
              </w:rPr>
              <w:t>.企业名称：【兴业银行股份有限公司】</w:t>
            </w:r>
          </w:p>
          <w:p w14:paraId="6EC76259">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w:t>
            </w:r>
            <w:r>
              <w:rPr>
                <w:rFonts w:ascii="楷体_GB2312" w:eastAsia="楷体_GB2312" w:cs="楷体_GB2312"/>
                <w:color w:val="000000" w:themeColor="text1"/>
                <w:sz w:val="20"/>
                <w:szCs w:val="20"/>
                <w14:textFill>
                  <w14:solidFill>
                    <w14:schemeClr w14:val="tx1"/>
                  </w14:solidFill>
                </w14:textFill>
              </w:rPr>
              <w:t>91350000158142711F】</w:t>
            </w:r>
          </w:p>
          <w:p w14:paraId="06F9FE40">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住所：【福建省福州市台江区江滨中大道</w:t>
            </w:r>
            <w:r>
              <w:rPr>
                <w:rFonts w:ascii="楷体_GB2312" w:eastAsia="楷体_GB2312" w:cs="楷体_GB2312"/>
                <w:color w:val="000000" w:themeColor="text1"/>
                <w:sz w:val="20"/>
                <w:szCs w:val="20"/>
                <w14:textFill>
                  <w14:solidFill>
                    <w14:schemeClr w14:val="tx1"/>
                  </w14:solidFill>
                </w14:textFill>
              </w:rPr>
              <w:t>398号兴业银行大厦】</w:t>
            </w:r>
          </w:p>
          <w:p w14:paraId="17C6F145">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w:t>
            </w:r>
            <w:r>
              <w:rPr>
                <w:rFonts w:ascii="楷体_GB2312" w:eastAsia="楷体_GB2312" w:cs="楷体_GB2312"/>
                <w:color w:val="000000" w:themeColor="text1"/>
                <w:sz w:val="20"/>
                <w:szCs w:val="20"/>
                <w14:textFill>
                  <w14:solidFill>
                    <w14:schemeClr w14:val="tx1"/>
                  </w14:solidFill>
                </w14:textFill>
              </w:rPr>
              <w:t>95561】</w:t>
            </w:r>
          </w:p>
          <w:p w14:paraId="0ECDB168">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.企业名称：【深圳农村商业银行股份有限公司】</w:t>
            </w:r>
          </w:p>
          <w:p w14:paraId="0F8586EB">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统一社会信用代码：【91440300782792953J】</w:t>
            </w:r>
          </w:p>
          <w:p w14:paraId="24C8B7A3">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住所：【广东省深圳市宝安区新安街道海旺社区海秀路2028号农商银行大厦】</w:t>
            </w:r>
          </w:p>
          <w:p w14:paraId="67CF98C6">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客户服务热线：【4001961200】</w:t>
            </w:r>
          </w:p>
          <w:p w14:paraId="07F32FFE">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.企业名称：【郑州银行股份有限公司】</w:t>
            </w:r>
          </w:p>
          <w:p w14:paraId="04A41422">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统一社会信用代码：【914100001699995779】</w:t>
            </w:r>
          </w:p>
          <w:p w14:paraId="6EDFE5EE">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住所：【郑州市郑东新区商务外环路22号】</w:t>
            </w:r>
          </w:p>
          <w:p w14:paraId="7A02E7B2">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客户服务热线：【95097】</w:t>
            </w:r>
          </w:p>
          <w:p w14:paraId="6C7E8052">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.企业名称：【江苏镇江农村商业银行股份有限公司】</w:t>
            </w:r>
          </w:p>
          <w:p w14:paraId="042A2ECA">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统一社会信用代码：【913211005691909538】</w:t>
            </w:r>
          </w:p>
          <w:p w14:paraId="79DDC7C0">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住所：【江苏省镇江市润州区长江路97号】</w:t>
            </w:r>
          </w:p>
          <w:p w14:paraId="26F61973">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客户服务热线：【0513-96008】</w:t>
            </w:r>
          </w:p>
          <w:p w14:paraId="62D668A7">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6</w:t>
            </w:r>
            <w:r>
              <w:rPr>
                <w:rFonts w:hint="eastAsia" w:ascii="楷体_GB2312" w:eastAsia="楷体_GB2312" w:cs="楷体_GB2312"/>
                <w:color w:val="000000" w:themeColor="text1"/>
                <w:sz w:val="20"/>
                <w:szCs w:val="20"/>
                <w14:textFill>
                  <w14:solidFill>
                    <w14:schemeClr w14:val="tx1"/>
                  </w14:solidFill>
                </w14:textFill>
              </w:rPr>
              <w:t>.企业名称：【江苏句容农村商业银行股份有限公司】</w:t>
            </w:r>
          </w:p>
          <w:p w14:paraId="1D22F0F4">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统一社会信用代码：【91321100576724933U】</w:t>
            </w:r>
          </w:p>
          <w:p w14:paraId="6DE3297B">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住所：【江苏省句容市福地东路66号】</w:t>
            </w:r>
          </w:p>
          <w:p w14:paraId="79654D1A">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客户服务热线：【0511-96008】</w:t>
            </w:r>
          </w:p>
          <w:p w14:paraId="41DDF6B4">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7</w:t>
            </w:r>
            <w:r>
              <w:rPr>
                <w:rFonts w:hint="eastAsia" w:ascii="楷体_GB2312" w:eastAsia="楷体_GB2312" w:cs="楷体_GB2312"/>
                <w:color w:val="000000" w:themeColor="text1"/>
                <w:sz w:val="20"/>
                <w:szCs w:val="20"/>
                <w14:textFill>
                  <w14:solidFill>
                    <w14:schemeClr w14:val="tx1"/>
                  </w14:solidFill>
                </w14:textFill>
              </w:rPr>
              <w:t>.企业名称：【江苏姜堰农村商业银行股份有限公司】</w:t>
            </w:r>
          </w:p>
          <w:p w14:paraId="327A40CC">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统一社会信用代码：【913212001419478711】</w:t>
            </w:r>
          </w:p>
          <w:p w14:paraId="73B7E005">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住所：【泰州市姜堰区姜堰大道128号】</w:t>
            </w:r>
          </w:p>
          <w:p w14:paraId="41EBB08A">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客户服务热线：【96008】</w:t>
            </w:r>
          </w:p>
          <w:p w14:paraId="5B65926F">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p>
          <w:p w14:paraId="5D4A3637">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G类份额（份额代码【AF247784G】）合作销售机构信息：</w:t>
            </w:r>
          </w:p>
          <w:p w14:paraId="75410BD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1.企业名称：【浙江新昌农村商业银行股份有限公司】</w:t>
            </w:r>
          </w:p>
          <w:p w14:paraId="528C74E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统一社会信用代码：【913306007707448740】</w:t>
            </w:r>
          </w:p>
          <w:p w14:paraId="355F8E9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住所：【浙江省新昌县七星街道七星路18号】</w:t>
            </w:r>
          </w:p>
          <w:p w14:paraId="1D339F8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638119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2.企业名称：【浙江杭州余杭农村商业银行股份有限公司】</w:t>
            </w:r>
          </w:p>
          <w:p w14:paraId="64D8987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统一社会信用代码：【9133010014387221XY】</w:t>
            </w:r>
          </w:p>
          <w:p w14:paraId="05DE255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住所：【浙江省杭州市临平区南苑街道南大街72号】</w:t>
            </w:r>
          </w:p>
          <w:p w14:paraId="6A6A108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90235A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3.企业名称：【浙江德清农村商业银行股份有限公司】</w:t>
            </w:r>
          </w:p>
          <w:p w14:paraId="7303092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统一社会信用代码：【9133050076962455XQ】</w:t>
            </w:r>
          </w:p>
          <w:p w14:paraId="3A711E6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住所：【浙江省德清县武康街道沈长圩街50号】</w:t>
            </w:r>
          </w:p>
          <w:p w14:paraId="40DCB5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71692D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4.企业名称：【浙江瑞安农村商业银行股份有限公司】</w:t>
            </w:r>
          </w:p>
          <w:p w14:paraId="57F1A91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统一社会信用代码：【91330300773121154L】</w:t>
            </w:r>
          </w:p>
          <w:p w14:paraId="103E797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住所：【瑞安市安阳街道万松东路148号】</w:t>
            </w:r>
          </w:p>
          <w:p w14:paraId="5013228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DC0904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5.企业名称：【浙江富阳农村商业银行股份有限公司】</w:t>
            </w:r>
          </w:p>
          <w:p w14:paraId="4F4AB10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统一社会信用代码：【91330100YA3600224E】</w:t>
            </w:r>
          </w:p>
          <w:p w14:paraId="3C5EFDF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住所：【浙江省杭州市富阳区鹿山街道依江路501号第1幢】</w:t>
            </w:r>
          </w:p>
          <w:p w14:paraId="0168972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78C819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6.企业名称：【浙江金华成泰农村商业银行股份有限公司】</w:t>
            </w:r>
          </w:p>
          <w:p w14:paraId="58BD3D8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统一社会信用代码：【91330700685598446M】</w:t>
            </w:r>
          </w:p>
          <w:p w14:paraId="3AEB515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住所：【浙江省金华市八一南街123号】</w:t>
            </w:r>
          </w:p>
          <w:p w14:paraId="606E425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F62E4C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7.企业名称：【浙江永康农村商业银行股份有限公司】</w:t>
            </w:r>
          </w:p>
          <w:p w14:paraId="2896092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统一社会信用代码：【91330700563336405G】</w:t>
            </w:r>
          </w:p>
          <w:p w14:paraId="266284E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住所：【浙江省金华市永康市九铃东路3259号】</w:t>
            </w:r>
          </w:p>
          <w:p w14:paraId="4A6A15C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CA0939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8.企业名称：【浙江东阳农村商业银行股份有限公司】</w:t>
            </w:r>
          </w:p>
          <w:p w14:paraId="5168682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统一社会信用代码：【91330700147546390Q】</w:t>
            </w:r>
          </w:p>
          <w:p w14:paraId="5FAB95C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住所：【东阳市双岘路18号】</w:t>
            </w:r>
          </w:p>
          <w:p w14:paraId="11548BA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05D2EC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9.企业名称：【浙江浦江农村商业银行股份有限公司】</w:t>
            </w:r>
          </w:p>
          <w:p w14:paraId="77CC1A0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统一社会信用代码：【913307261476928819】</w:t>
            </w:r>
          </w:p>
          <w:p w14:paraId="0F7D576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住所：【浙江省浦江县人民东路90号】</w:t>
            </w:r>
          </w:p>
          <w:p w14:paraId="2C06101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84A330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10.企业名称：【浙江衢州柯城农村商业银行股份有限公司】</w:t>
            </w:r>
          </w:p>
          <w:p w14:paraId="47FC227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统一社会信用代码：【913308001477477826】</w:t>
            </w:r>
          </w:p>
          <w:p w14:paraId="359EC60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住所：【浙江省上街92号】</w:t>
            </w:r>
          </w:p>
          <w:p w14:paraId="7472A07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820B31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11.企业名称：【浙江衢州衢江农村商业银行股份有限公司】</w:t>
            </w:r>
          </w:p>
          <w:p w14:paraId="2F4C61A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统一社会信用代码：【91330800147752813B】</w:t>
            </w:r>
          </w:p>
          <w:p w14:paraId="00F3E94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住所：【浙江省衢州市衢江区樟潭街道信安东路37号】</w:t>
            </w:r>
          </w:p>
          <w:p w14:paraId="707D294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253173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12.企业名称：【浙江龙游农村商业银行股份有限公司】</w:t>
            </w:r>
          </w:p>
          <w:p w14:paraId="1E4307B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统一社会信用代码：【91330825769632509M】</w:t>
            </w:r>
          </w:p>
          <w:p w14:paraId="22761FD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住所：【浙江省衢州市龙游县龙洲街道荣昌大道683、685、687号】</w:t>
            </w:r>
          </w:p>
          <w:p w14:paraId="0C5D473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6996B0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13.企业名称：【浙江江山农村商业银行股份有限公司】</w:t>
            </w:r>
          </w:p>
          <w:p w14:paraId="25335BD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统一社会信用代码：【913308001478831865】</w:t>
            </w:r>
          </w:p>
          <w:p w14:paraId="7A537AF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住所：【浙江省江山市双塔街道江滨路188号】</w:t>
            </w:r>
          </w:p>
          <w:p w14:paraId="46F4FC0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C50E71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14.企业名称：【浙江常山农村商业银行股份有限公司】</w:t>
            </w:r>
          </w:p>
          <w:p w14:paraId="5C7AD07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统一社会信用代码：【91330822147845315H】</w:t>
            </w:r>
          </w:p>
          <w:p w14:paraId="47DC16D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住所：【浙江省衢州市常山县天马街道人民路125号】</w:t>
            </w:r>
          </w:p>
          <w:p w14:paraId="10AFBE8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947081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15.企业名称：【浙江开化农村商业银行股份有限公司】</w:t>
            </w:r>
          </w:p>
          <w:p w14:paraId="0C80CFE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统一社会信用代码：【913308241479259480】</w:t>
            </w:r>
          </w:p>
          <w:p w14:paraId="62AB467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住所：【浙江省衢州市开化县华埠镇永吉二路8号】</w:t>
            </w:r>
          </w:p>
          <w:p w14:paraId="377843B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684ACE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16.企业名称：【浙江丽水莲都农村商业银行股份有限公司】</w:t>
            </w:r>
          </w:p>
          <w:p w14:paraId="02D01C9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统一社会信用代码：【91331100148440061D】</w:t>
            </w:r>
          </w:p>
          <w:p w14:paraId="37BDFFB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住所：【浙江丽水市解放街438号】</w:t>
            </w:r>
          </w:p>
          <w:p w14:paraId="4861A0A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3B907E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17.企业名称：【浙江青田农村商业银行股份有限公司】</w:t>
            </w:r>
          </w:p>
          <w:p w14:paraId="1C28740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统一社会信用代码：【913311007757320399】</w:t>
            </w:r>
          </w:p>
          <w:p w14:paraId="71EF078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住所：【浙江省青田县鹤城街道鹤城东路180号】</w:t>
            </w:r>
          </w:p>
          <w:p w14:paraId="2CCA90C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E87E94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18.企业名称：【浙江龙泉农村商业银行股份有限公司】</w:t>
            </w:r>
          </w:p>
          <w:p w14:paraId="705EC2B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统一社会信用代码：【91331181148543853J】</w:t>
            </w:r>
          </w:p>
          <w:p w14:paraId="630865D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住所：【浙江省丽水市龙泉市中山东路101号】</w:t>
            </w:r>
          </w:p>
          <w:p w14:paraId="0EF370C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A4E4DB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19.企业名称：【浙江遂昌农村商业银行股份有限公司】</w:t>
            </w:r>
          </w:p>
          <w:p w14:paraId="65A14D7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统一社会信用代码：【91331123148661817E】</w:t>
            </w:r>
          </w:p>
          <w:p w14:paraId="2DD6AE2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住所：【浙江省丽水市遂昌县妙高街道溪边路100号】</w:t>
            </w:r>
          </w:p>
          <w:p w14:paraId="0157C75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5E10F5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20.企业名称：【浙江松阳农村商业银行股份有限公司】</w:t>
            </w:r>
          </w:p>
          <w:p w14:paraId="3EE797D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统一社会信用代码：【91331124148632856X】</w:t>
            </w:r>
          </w:p>
          <w:p w14:paraId="69B7E79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住所：【浙江省丽水市松阳县水南街道要津南路71号】</w:t>
            </w:r>
          </w:p>
          <w:p w14:paraId="7139C87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A686D6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21.企业名称：【浙江景宁农村商业银行股份有限公司】</w:t>
            </w:r>
          </w:p>
          <w:p w14:paraId="155F8D3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统一社会信用代码：【91331127704796094T】</w:t>
            </w:r>
          </w:p>
          <w:p w14:paraId="3DCAA0C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住所：【浙江省丽水市景宁畲族自治县红星街道人民中路201号】</w:t>
            </w:r>
          </w:p>
          <w:p w14:paraId="4997A22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254DE8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22.企业名称：【浙江台州椒江农村商业银行股份有限公司】</w:t>
            </w:r>
          </w:p>
          <w:p w14:paraId="6B55A02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统一社会信用代码：【913310021482768636】</w:t>
            </w:r>
          </w:p>
          <w:p w14:paraId="53525C1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住所：【浙江省台州市椒江区工人东路322号】</w:t>
            </w:r>
          </w:p>
          <w:p w14:paraId="5AD60D8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DBFC28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23.企业名称：【浙江台州黄岩农村商业银行股份有限公司】</w:t>
            </w:r>
          </w:p>
          <w:p w14:paraId="2724E8E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统一社会信用代码：【91331003770736460B】</w:t>
            </w:r>
          </w:p>
          <w:p w14:paraId="2DDBF9E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住所：【浙江省台州市黄岩区洞天路88号】</w:t>
            </w:r>
          </w:p>
          <w:p w14:paraId="089E6A3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5C52A8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24.企业名称：【浙江台州路桥农村商业银行股份有限公司】</w:t>
            </w:r>
          </w:p>
          <w:p w14:paraId="27BF89C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统一社会信用代码：【91331004771942717H】</w:t>
            </w:r>
          </w:p>
          <w:p w14:paraId="0FC817F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住所：【浙江省台州市路桥区西路桥大道328号】</w:t>
            </w:r>
          </w:p>
          <w:p w14:paraId="7BFCF4F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88284B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25.企业名称：【浙江温岭农村商业银行股份有限公司】</w:t>
            </w:r>
          </w:p>
          <w:p w14:paraId="646D84A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统一社会信用代码：【913310001489096329】</w:t>
            </w:r>
          </w:p>
          <w:p w14:paraId="5930E86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住所：【浙江省台州市温岭市城东街道下保路100号】</w:t>
            </w:r>
          </w:p>
          <w:p w14:paraId="5F9DF20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FFA021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26.企业名称：【浙江天台农村商业银行股份有限公司】</w:t>
            </w:r>
          </w:p>
          <w:p w14:paraId="6D8311F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统一社会信用代码：【91331000148073695C】</w:t>
            </w:r>
          </w:p>
          <w:p w14:paraId="1E167D7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住所：【浙江省天台县赤城街道飞鹤路358号】</w:t>
            </w:r>
          </w:p>
          <w:p w14:paraId="574AF03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CF9A93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27.企业名称：【浙江三门农村商业银行股份有限公司】</w:t>
            </w:r>
          </w:p>
          <w:p w14:paraId="0F2C266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统一社会信用代码：【91331022774367359X】</w:t>
            </w:r>
          </w:p>
          <w:p w14:paraId="0E8DB43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住所：【浙江省三门县海游街道上洋路68号】</w:t>
            </w:r>
          </w:p>
          <w:p w14:paraId="0310470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DFA48C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28.企业名称：【浙江舟山定海海洋农村商业银行股份有限公司】</w:t>
            </w:r>
          </w:p>
          <w:p w14:paraId="06F4C03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统一社会信用代码：【91330900148740320U】</w:t>
            </w:r>
          </w:p>
          <w:p w14:paraId="63FC96E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住所：【浙江省舟山市定海区环城东路81号】</w:t>
            </w:r>
          </w:p>
          <w:p w14:paraId="5BF5081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C48E94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29.企业名称：【浙江舟山普陀农村商业银行股份有限公司】</w:t>
            </w:r>
          </w:p>
          <w:p w14:paraId="327EE14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统一社会信用代码：【913309006831072360】</w:t>
            </w:r>
          </w:p>
          <w:p w14:paraId="2D76573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住所：【浙江省舟山市普陀区东港街道麒麟街225号（自贸试验区内）】</w:t>
            </w:r>
          </w:p>
          <w:p w14:paraId="4507F41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E20894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30.企业名称：【湖州吴兴农村商业银行股份有限公司】</w:t>
            </w:r>
          </w:p>
          <w:p w14:paraId="43D7CB9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统一社会信用代码：【913305007782713708】</w:t>
            </w:r>
          </w:p>
          <w:p w14:paraId="32774DE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住所：【浙江省湖州市东街55号】</w:t>
            </w:r>
          </w:p>
          <w:p w14:paraId="77F3F13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FCACB5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31.企业名称：【浙江临安农村商业银行股份有限公司】</w:t>
            </w:r>
          </w:p>
          <w:p w14:paraId="5F23866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统一社会信用代码：【913301851437582064】</w:t>
            </w:r>
          </w:p>
          <w:p w14:paraId="289E6CF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住所：【浙江省杭州市临安区锦城街道城中街442号】</w:t>
            </w:r>
          </w:p>
          <w:p w14:paraId="3753981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4C84C1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32.企业名称：【浙江淳安农村商业银行股份有限公司】</w:t>
            </w:r>
          </w:p>
          <w:p w14:paraId="400D617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统一社会信用代码：【9133012714400940XB】</w:t>
            </w:r>
          </w:p>
          <w:p w14:paraId="694ADCE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住所：【浙江省杭州市淳安县千岛湖镇环湖北路369号】</w:t>
            </w:r>
          </w:p>
          <w:p w14:paraId="57C311C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92EE50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33.企业名称：【宁波北仑农村商业银行股份有限公司】</w:t>
            </w:r>
          </w:p>
          <w:p w14:paraId="4EF0638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统一社会信用代码：【91330206144292356K】</w:t>
            </w:r>
          </w:p>
          <w:p w14:paraId="55F2689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住所：【浙江省宁波市北仑区新碶宝山路69号（凤凰国际商务广场）1幢69号、63号（凤凰国际商务广场）1幢（2-26层）】</w:t>
            </w:r>
          </w:p>
          <w:p w14:paraId="4987DFE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53D4F8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34.企业名称：【宁波奉化农村商业银行股份有限公司】</w:t>
            </w:r>
          </w:p>
          <w:p w14:paraId="49B8412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统一社会信用代码：【913302001448601066】</w:t>
            </w:r>
          </w:p>
          <w:p w14:paraId="4943E0F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住所：【浙江省宁波市奉化区锦屏街道中山路27号】</w:t>
            </w:r>
          </w:p>
          <w:p w14:paraId="36BA455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5CE30B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35.企业名称：【宁波镇海农村商业银行股份有限公司】</w:t>
            </w:r>
          </w:p>
          <w:p w14:paraId="3085BC0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统一社会信用代码：【91330200717212676J】</w:t>
            </w:r>
          </w:p>
          <w:p w14:paraId="0695901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住所：【宁波市镇海区骆驼街道镇海大道中段788号】</w:t>
            </w:r>
          </w:p>
          <w:p w14:paraId="59D611B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6F1A4D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36.企业名称：【宁波宁海农村商业银行股份有限公司】</w:t>
            </w:r>
          </w:p>
          <w:p w14:paraId="2C3D4A0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统一社会信用代码：【91330200144938786M】</w:t>
            </w:r>
          </w:p>
          <w:p w14:paraId="4634BF8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住所：【宁海县跃龙街道学勉路1号（金融中心）】</w:t>
            </w:r>
          </w:p>
          <w:p w14:paraId="04AB1DD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0F1385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37.企业名称：【宁波甬城农村商业银行股份有限公司】</w:t>
            </w:r>
          </w:p>
          <w:p w14:paraId="1BA8FEA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统一社会信用代码：【91330205704848042N】</w:t>
            </w:r>
          </w:p>
          <w:p w14:paraId="69F3C30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住所：【浙江省宁波市江北区育才路15、17号】</w:t>
            </w:r>
          </w:p>
          <w:p w14:paraId="226205C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4568A4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38.企业名称：【浙江永嘉农村商业银行股份有限公司】</w:t>
            </w:r>
          </w:p>
          <w:p w14:paraId="6C6625E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统一社会信用代码：【91330300693852088P】</w:t>
            </w:r>
          </w:p>
          <w:p w14:paraId="18B5BCD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住所：【浙江省温州市永嘉县瓯北街道阳光大道3918号101室、201室、301室、401室、501室、1101室、1801室、2201室】</w:t>
            </w:r>
          </w:p>
          <w:p w14:paraId="2A0460D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7B0927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39.企业名称：【浙江平阳农村商业银行股份有限公司】</w:t>
            </w:r>
          </w:p>
          <w:p w14:paraId="729309A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统一社会信用代码：【91330300778260532C】</w:t>
            </w:r>
          </w:p>
          <w:p w14:paraId="4D2A29E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住所：【浙江省平阳县鳌江镇车站大道999号】</w:t>
            </w:r>
          </w:p>
          <w:p w14:paraId="2A6B1C1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860D31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40.企业名称：【浙江嘉善农村商业银行股份有限公司】</w:t>
            </w:r>
          </w:p>
          <w:p w14:paraId="2620064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统一社会信用代码：【91330400146600914H】</w:t>
            </w:r>
          </w:p>
          <w:p w14:paraId="2C39BFB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住所：【浙江省嘉兴市嘉善县罗星街道车站南路999号】</w:t>
            </w:r>
          </w:p>
          <w:p w14:paraId="2FC2365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D04BB3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41.企业名称：【浙江平湖农村商业银行股份有限公司】</w:t>
            </w:r>
          </w:p>
          <w:p w14:paraId="0A6920D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统一社会信用代码：【913304821466775403】</w:t>
            </w:r>
          </w:p>
          <w:p w14:paraId="29DEC63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住所：【浙江省平湖市当湖街道胜利路518号】</w:t>
            </w:r>
          </w:p>
          <w:p w14:paraId="3EAC417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BC6436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42.企业名称：【浙江海宁农村商业银行股份有限公司】</w:t>
            </w:r>
          </w:p>
          <w:p w14:paraId="1096674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统一社会信用代码：【91330400146707324M】</w:t>
            </w:r>
          </w:p>
          <w:p w14:paraId="4D0A21C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住所：【浙江省海宁市海洲街道钱江西路278号】</w:t>
            </w:r>
          </w:p>
          <w:p w14:paraId="3A812EA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0C6B10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43.企业名称：【浙江海盐农村商业银行股份有限公司】</w:t>
            </w:r>
          </w:p>
          <w:p w14:paraId="0689245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统一社会信用代码：【91330424254846268L】</w:t>
            </w:r>
          </w:p>
          <w:p w14:paraId="2E8840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住所：【浙江省海盐县武原街道枣园西路176号】</w:t>
            </w:r>
          </w:p>
          <w:p w14:paraId="3DACAC3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F8B6B4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44.企业名称：【浙江桐乡农村商业银行股份有限公司】</w:t>
            </w:r>
          </w:p>
          <w:p w14:paraId="399287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统一社会信用代码：【91330483146852863F】</w:t>
            </w:r>
          </w:p>
          <w:p w14:paraId="1C997FC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住所：【浙江省嘉兴市桐乡市梧桐街道校场东路59号】</w:t>
            </w:r>
          </w:p>
          <w:p w14:paraId="624F59C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711BF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45.企业名称：【浙江安吉农村商业银行股份有限公司】</w:t>
            </w:r>
          </w:p>
          <w:p w14:paraId="6922A29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统一社会信用代码：【91330500680700499G】</w:t>
            </w:r>
          </w:p>
          <w:p w14:paraId="5AFB640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住所：【浙江省湖州市安吉县昌硕街道昌硕东路1号】</w:t>
            </w:r>
          </w:p>
          <w:p w14:paraId="0DD1C0C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B3DFC8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46.企业名称：【浙江南浔农村商业银行股份有限公司】</w:t>
            </w:r>
          </w:p>
          <w:p w14:paraId="213A3B3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统一社会信用代码：【913305001470196549】</w:t>
            </w:r>
          </w:p>
          <w:p w14:paraId="1DD7A1E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住所：【浙江省湖州市南浔区南浔镇人瑞路1188号】</w:t>
            </w:r>
          </w:p>
          <w:p w14:paraId="46CAA65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C270C8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47.企业名称：【浙江上虞农村商业银行股份有限公司】</w:t>
            </w:r>
          </w:p>
          <w:p w14:paraId="7CC824E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统一社会信用代码：【91330600146116161G】</w:t>
            </w:r>
          </w:p>
          <w:p w14:paraId="1C2E91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住所：【浙江省百官街道德盛路55号】</w:t>
            </w:r>
          </w:p>
          <w:p w14:paraId="1AECDB6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C80DF4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48.企业名称：【浙江缙云农村商业银行股份有限公司】</w:t>
            </w:r>
          </w:p>
          <w:p w14:paraId="3A19AE9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统一社会信用代码：【913311227047843259】</w:t>
            </w:r>
          </w:p>
          <w:p w14:paraId="4DD3C2F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住所：【浙江省丽水市缙云县五云镇新区仙都路68号】</w:t>
            </w:r>
          </w:p>
          <w:p w14:paraId="5216155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E41127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49.企业名称：【浙江义乌农村商业银行股份有限公司】</w:t>
            </w:r>
          </w:p>
          <w:p w14:paraId="7C4403C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统一社会信用代码：【91330782609786576E】</w:t>
            </w:r>
          </w:p>
          <w:p w14:paraId="5B0F196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住所：【浙江省义乌市福田街道城北路677号】</w:t>
            </w:r>
          </w:p>
          <w:p w14:paraId="6E010DF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6DD036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50.企业名称：【浙江兰溪农村商业银行股份有限公司】</w:t>
            </w:r>
          </w:p>
          <w:p w14:paraId="67E6114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统一社会信用代码：【91330781147387545R】</w:t>
            </w:r>
          </w:p>
          <w:p w14:paraId="66DC817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住所：【浙江省兰溪市兰江街道丹溪大道18号】</w:t>
            </w:r>
          </w:p>
          <w:p w14:paraId="125EA68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75CC93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51.企业名称：【浙江长兴农村商业银行股份有限公司】</w:t>
            </w:r>
          </w:p>
          <w:p w14:paraId="1E5F42A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统一社会信用代码：【91330522147148640A】</w:t>
            </w:r>
          </w:p>
          <w:p w14:paraId="5BC0ACB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住所：【浙江省湖州市长兴县太湖街道明珠路1298号】</w:t>
            </w:r>
          </w:p>
          <w:p w14:paraId="1AAE85B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31D8AC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52.企业名称：【浙江绍兴恒信农村商业银行股份有限公司】</w:t>
            </w:r>
          </w:p>
          <w:p w14:paraId="378130D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统一社会信用代码：【9133060271252980XJ】</w:t>
            </w:r>
          </w:p>
          <w:p w14:paraId="3F878A9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住所：【浙江省绍兴市中兴中路159号】</w:t>
            </w:r>
          </w:p>
          <w:p w14:paraId="740AE0A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98B0AF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53.企业名称：【浙江武义农村商业银行股份有限公司】</w:t>
            </w:r>
          </w:p>
          <w:p w14:paraId="5F32391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统一社会信用代码：【91330723552860156J】</w:t>
            </w:r>
          </w:p>
          <w:p w14:paraId="7EAB6B9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住所：【浙江省武义县城武阳中路37号】</w:t>
            </w:r>
          </w:p>
          <w:p w14:paraId="0553115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9BA41D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54.企业名称：【浙江岱山农村商业银行股份有限公司】</w:t>
            </w:r>
          </w:p>
          <w:p w14:paraId="6273D5D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统一社会信用代码：【91330921778250107N】</w:t>
            </w:r>
          </w:p>
          <w:p w14:paraId="712DA3B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住所：【浙江省舟山市岱山县高亭镇衢山大道1009号】</w:t>
            </w:r>
          </w:p>
          <w:p w14:paraId="2E93CF4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09206D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55.企业名称：【浙江仙居农村商业银行股份有限公司】</w:t>
            </w:r>
          </w:p>
          <w:p w14:paraId="3E8BA20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统一社会信用代码：【91331024148032965W】</w:t>
            </w:r>
          </w:p>
          <w:p w14:paraId="49B812E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住所：【浙江省仙居县南峰街道穿城中路21号】</w:t>
            </w:r>
          </w:p>
          <w:p w14:paraId="4918986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2E3352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56.企业名称：【浙江玉环农村商业银行股份有限公司】</w:t>
            </w:r>
          </w:p>
          <w:p w14:paraId="7582C58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统一社会信用代码：【91331021704702414T】</w:t>
            </w:r>
          </w:p>
          <w:p w14:paraId="3A91BC0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住所：【浙江省玉环市玉城街道珠港大道26号】</w:t>
            </w:r>
          </w:p>
          <w:p w14:paraId="6B6EC29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D9ECFE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57.企业名称：【浙江诸暨农村商业银行股份有限公司】</w:t>
            </w:r>
          </w:p>
          <w:p w14:paraId="1F8FC96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统一社会信用代码：【91330600146217704F】</w:t>
            </w:r>
          </w:p>
          <w:p w14:paraId="70A5E0D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住所：【浙江省诸暨市暨阳街道大桥东路2号】</w:t>
            </w:r>
          </w:p>
          <w:p w14:paraId="49E41AA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32A388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58.企业名称：【浙江临海农村商业银行股份有限公司】</w:t>
            </w:r>
          </w:p>
          <w:p w14:paraId="1D9CD48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统一社会信用代码：【91331000147999461D】</w:t>
            </w:r>
          </w:p>
          <w:p w14:paraId="0C2FB6D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住所：【浙江省台州市临海市大洋街道河阳路299号】</w:t>
            </w:r>
          </w:p>
          <w:p w14:paraId="01A9F4D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D442E3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59.企业名称：【浙江建德农村商业银行股份有限公司】</w:t>
            </w:r>
          </w:p>
          <w:p w14:paraId="6E02662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统一社会信用代码：【9133018270429246XA】</w:t>
            </w:r>
          </w:p>
          <w:p w14:paraId="3AA8121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住所：【浙江省建德市新安江街道江滨中路176号】</w:t>
            </w:r>
          </w:p>
          <w:p w14:paraId="56010A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5D8D62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60.企业名称：【浙江文成农村商业银行股份有限公司】</w:t>
            </w:r>
          </w:p>
          <w:p w14:paraId="2B50CE2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统一社会信用代码：【91330328145827746X】</w:t>
            </w:r>
          </w:p>
          <w:p w14:paraId="7B8227F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住所：【浙江省温州市文成县大峃镇伯温路6号】</w:t>
            </w:r>
          </w:p>
          <w:p w14:paraId="3480052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6C34158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61.企业名称：【浙江萧山农村商业银行股份有限公司】</w:t>
            </w:r>
          </w:p>
          <w:p w14:paraId="5DAF6F5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统一社会信用代码：【91330100143568234F】</w:t>
            </w:r>
          </w:p>
          <w:p w14:paraId="0AA5A0D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住所：【浙江省杭州市萧山区人民路258号】</w:t>
            </w:r>
          </w:p>
          <w:p w14:paraId="09B47B3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578030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62.企业名称：【浙江乐清农村商业银行股份有限公司】</w:t>
            </w:r>
          </w:p>
          <w:p w14:paraId="545B01A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统一社会信用代码：【91330300712576278B】</w:t>
            </w:r>
          </w:p>
          <w:p w14:paraId="597C08A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住所：【乐清市城南街道伯乐西路99号】</w:t>
            </w:r>
          </w:p>
          <w:p w14:paraId="09DB38F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4440FA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63.企业名称：【宁波余姚农村商业银行股份有限公司】</w:t>
            </w:r>
          </w:p>
          <w:p w14:paraId="1ABD9FF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统一社会信用代码：【91330281768530578N】</w:t>
            </w:r>
          </w:p>
          <w:p w14:paraId="22EBE58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住所：【余姚市新建路69号】</w:t>
            </w:r>
          </w:p>
          <w:p w14:paraId="6819A14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C492C7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64.企业名称：【浙江桐庐农村商业银行股份有限公司】</w:t>
            </w:r>
          </w:p>
          <w:p w14:paraId="45B031A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统一社会信用代码：【913301228436000474】</w:t>
            </w:r>
          </w:p>
          <w:p w14:paraId="0BE9B1E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住所：【浙江省杭州市桐庐县城迎春南路278号】</w:t>
            </w:r>
          </w:p>
          <w:p w14:paraId="088EB52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7F66662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65.企业名称：【杭州联合农村商业银行股份有限公司】</w:t>
            </w:r>
          </w:p>
          <w:p w14:paraId="32BF248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统一社会信用代码：【91330100773585469H】</w:t>
            </w:r>
          </w:p>
          <w:p w14:paraId="17D7328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住所：【浙江省杭州市上城区建国中路99号】</w:t>
            </w:r>
          </w:p>
          <w:p w14:paraId="4F7FD37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00F7DCC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66.企业名称：【浙江温州鹿城农村商业银行股份有限公司】</w:t>
            </w:r>
          </w:p>
          <w:p w14:paraId="52C26E9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统一社会信用代码：【91330300777212117L】</w:t>
            </w:r>
          </w:p>
          <w:p w14:paraId="33C850C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住所：【浙江省温州市鹿城区会展路1500号富银大厦】</w:t>
            </w:r>
          </w:p>
          <w:p w14:paraId="6DF470C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8E5E2E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67.企业名称：【浙江绍兴瑞丰农村商业银行股份有限公司】</w:t>
            </w:r>
          </w:p>
          <w:p w14:paraId="76E12A0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统一社会信用代码：【91330600145965997H】</w:t>
            </w:r>
          </w:p>
          <w:p w14:paraId="6870F69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住所：【浙江省绍兴市柯桥区柯桥笛扬路1363号】</w:t>
            </w:r>
          </w:p>
          <w:p w14:paraId="7419C2A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337E0B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68.企业名称：【浙江禾城农村商业银行股份有限公司】</w:t>
            </w:r>
          </w:p>
          <w:p w14:paraId="2D8EEA8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统一社会信用代码：【91330400146466356E】</w:t>
            </w:r>
          </w:p>
          <w:p w14:paraId="502F005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住所：【浙江省嘉兴市经济技术开发区文昌路 1229 号】</w:t>
            </w:r>
          </w:p>
          <w:p w14:paraId="2A99C0C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BC7092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69.企业名称：【浙江泰顺农村商业银行股份有限公司】</w:t>
            </w:r>
          </w:p>
          <w:p w14:paraId="62630ED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统一社会信用代码：【913303297043793629】</w:t>
            </w:r>
          </w:p>
          <w:p w14:paraId="22D9631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住所：【浙江省温州市泰顺县罗阳镇新城区文祥大道181号】</w:t>
            </w:r>
          </w:p>
          <w:p w14:paraId="07DAE6C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C72120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70.企业名称：【浙江嵊州农村商业银行股份有限公司】</w:t>
            </w:r>
          </w:p>
          <w:p w14:paraId="3EFECC7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统一社会信用代码：【91330683146384641Y】</w:t>
            </w:r>
          </w:p>
          <w:p w14:paraId="4744189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住所：【浙江省嵊州市剡湖街道官河路398号】</w:t>
            </w:r>
          </w:p>
          <w:p w14:paraId="74C0ACD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1B80F1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71.企业名称：【浙江庆元农村商业银行股份有限公司】</w:t>
            </w:r>
          </w:p>
          <w:p w14:paraId="53A5D73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统一社会信用代码：【91331126609962015U】</w:t>
            </w:r>
          </w:p>
          <w:p w14:paraId="5F86775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住所：【浙江省丽水市庆元县濛洲街道云鹤路3号】</w:t>
            </w:r>
          </w:p>
          <w:p w14:paraId="65BD899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3DF9B43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72.企业名称：【浙江温州瓯海农村商业银行股份有限公司】</w:t>
            </w:r>
          </w:p>
          <w:p w14:paraId="14A42E1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统一社会信用代码：【91330300776489333D】</w:t>
            </w:r>
          </w:p>
          <w:p w14:paraId="0918C6B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住所：【浙江省温州市瓯海区瓯海大道989号】</w:t>
            </w:r>
          </w:p>
          <w:p w14:paraId="5F2B85D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2C14A66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73.企业名称：【浙江云和农村商业银行股份有限公司】</w:t>
            </w:r>
          </w:p>
          <w:p w14:paraId="7172055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统一社会信用代码：【9133112514848825XE】</w:t>
            </w:r>
          </w:p>
          <w:p w14:paraId="11202C6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住所：【浙江省丽水市云和县浮云街道新建路72号】</w:t>
            </w:r>
          </w:p>
          <w:p w14:paraId="7CFEA81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2C6EE4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74.企业名称：【宁波慈溪农村商业银行股份有限公司】</w:t>
            </w:r>
          </w:p>
          <w:p w14:paraId="6862E20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统一社会信用代码：【91330200144756720Q】</w:t>
            </w:r>
          </w:p>
          <w:p w14:paraId="48A35AF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住所：【浙江省慈溪市浒山街道南城路25号、59号5-6楼】</w:t>
            </w:r>
          </w:p>
          <w:p w14:paraId="7A0E1F7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1AF2F6B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75.企业名称：【浙江温州龙湾农村商业银行股份有限公司 】</w:t>
            </w:r>
          </w:p>
          <w:p w14:paraId="225B78E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统一社会信用代码：【913303007772078015】</w:t>
            </w:r>
          </w:p>
          <w:p w14:paraId="21C8307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住所：【浙江省温州市龙湾区永中街道永宁西路555号】</w:t>
            </w:r>
          </w:p>
          <w:p w14:paraId="217B20E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46247FA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76.企业名称：【浙江苍南农村商业银行股份有限公司】</w:t>
            </w:r>
          </w:p>
          <w:p w14:paraId="26AC43D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统一社会信用代码：【913303007043722167】</w:t>
            </w:r>
          </w:p>
          <w:p w14:paraId="27C32C5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住所：【浙江省苍南县灵溪镇人民大道425号】</w:t>
            </w:r>
          </w:p>
          <w:p w14:paraId="07709D0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客户服务热线：【0571-96596】</w:t>
            </w:r>
          </w:p>
          <w:p w14:paraId="5AE6FBF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77.企业名称：【浙江嵊泗农村商业银行股份有限公司】</w:t>
            </w:r>
          </w:p>
          <w:p w14:paraId="5286669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统一社会信用代码：【9133092270466354XL】</w:t>
            </w:r>
          </w:p>
          <w:p w14:paraId="101E595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住所：【浙江省嵊泗县菜园镇沙河路110号】</w:t>
            </w:r>
          </w:p>
          <w:p w14:paraId="2489DDB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客户服务热线：【400-88-96596】</w:t>
            </w:r>
          </w:p>
          <w:p w14:paraId="6691834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78.企业名称：【广发银行股份有限公司】</w:t>
            </w:r>
          </w:p>
          <w:p w14:paraId="39C3A60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统一社会信用代码：【91440000190336428Q】</w:t>
            </w:r>
          </w:p>
          <w:p w14:paraId="26DD769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住所：【广州市越秀区东风东路713号】</w:t>
            </w:r>
          </w:p>
          <w:p w14:paraId="41ACBA3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客户服务热线：【400-830-8003】</w:t>
            </w:r>
          </w:p>
          <w:p w14:paraId="25E63396">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79.企业名称：【宁波银行股份有限公司】</w:t>
            </w:r>
          </w:p>
          <w:p w14:paraId="5A6684E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统一社会信用代码：【91330200711192037M】</w:t>
            </w:r>
          </w:p>
          <w:p w14:paraId="78443DD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住所：【浙江省宁波市鄞州区宁东路 345 号】</w:t>
            </w:r>
          </w:p>
          <w:p w14:paraId="61278C0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客户服务热线：【95574】</w:t>
            </w:r>
          </w:p>
          <w:p w14:paraId="0EEF689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80.企业名称：【江苏靖江农村商业银行股份有限公司】</w:t>
            </w:r>
          </w:p>
          <w:p w14:paraId="072AB42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统一社会信用代码：【913212001411273988】</w:t>
            </w:r>
          </w:p>
          <w:p w14:paraId="7FD7CC5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住所：【江苏省靖江市南环西路12号】</w:t>
            </w:r>
          </w:p>
          <w:p w14:paraId="18F4666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7E10326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81.企业名称：【江苏淮安农村商业银行股份有限公司】</w:t>
            </w:r>
          </w:p>
          <w:p w14:paraId="6CB5422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统一社会信用代码：【913208005884978380】</w:t>
            </w:r>
          </w:p>
          <w:p w14:paraId="62CB684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住所：【江苏省淮安市清江浦区水渡口大道20号金融中心B1号楼】</w:t>
            </w:r>
          </w:p>
          <w:p w14:paraId="07561D6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1562485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82.企业名称：【江苏宜兴农村商业银行股份有限公司】</w:t>
            </w:r>
          </w:p>
          <w:p w14:paraId="0191251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统一社会信用代码：【913202007910522609】</w:t>
            </w:r>
          </w:p>
          <w:p w14:paraId="3D2759BE">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住所：【江苏省宜兴市宜城街道解放东路579号】</w:t>
            </w:r>
          </w:p>
          <w:p w14:paraId="063BCF7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2E0D6AC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83.企业名称：【江苏射阳农村商业银行股份有限公司】</w:t>
            </w:r>
          </w:p>
          <w:p w14:paraId="241358A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统一社会信用代码：【913209001405584874】</w:t>
            </w:r>
          </w:p>
          <w:p w14:paraId="33F704AF">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住所：【江苏省盐城市射阳县合德镇解放路385号】</w:t>
            </w:r>
          </w:p>
          <w:p w14:paraId="5DC076F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客户服务热线：【0515-69966666】</w:t>
            </w:r>
          </w:p>
          <w:p w14:paraId="0E093B3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84.企业名称：【江苏邳州农村商业银行股份有限公司】</w:t>
            </w:r>
          </w:p>
          <w:p w14:paraId="15AC89C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统一社会信用代码：【91320300552524785P】</w:t>
            </w:r>
          </w:p>
          <w:p w14:paraId="4E89085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住所：【江苏省邳州市建设中路16号】</w:t>
            </w:r>
          </w:p>
          <w:p w14:paraId="63EC1A0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4037C04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85.企业名称：【江苏紫金农村商业银行股份有限公司】</w:t>
            </w:r>
          </w:p>
          <w:p w14:paraId="28429D4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统一社会信用代码：【91320000571433432L】</w:t>
            </w:r>
          </w:p>
          <w:p w14:paraId="3891992C">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住所：【南京市建邺区江东中路381号】</w:t>
            </w:r>
          </w:p>
          <w:p w14:paraId="6E5E59D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0E095EB8">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86.企业名称：【江苏响水农村商业银行股份有限公司】</w:t>
            </w:r>
          </w:p>
          <w:p w14:paraId="72EF09F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统一社会信用代码：【91320900703856446L】</w:t>
            </w:r>
          </w:p>
          <w:p w14:paraId="7453B57D">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住所：【江苏省盐城市响水县双园路84号】</w:t>
            </w:r>
          </w:p>
          <w:p w14:paraId="73EA4E9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5C8DB5E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87.企业名称：【江苏民丰农村商业银行股份有限公司】</w:t>
            </w:r>
          </w:p>
          <w:p w14:paraId="120C56B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统一社会信用代码：【9132130068353983XJ】</w:t>
            </w:r>
          </w:p>
          <w:p w14:paraId="4E8E1BA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住所：【江苏省宿迁市宿城区高宝湖路1号 】</w:t>
            </w:r>
          </w:p>
          <w:p w14:paraId="72647D1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客户服务热线：【96008】</w:t>
            </w:r>
          </w:p>
          <w:p w14:paraId="78D24639">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88.企业名称：【江苏大丰农村商业银行股份有限公司】</w:t>
            </w:r>
          </w:p>
          <w:p w14:paraId="4EA36BF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统一社会信用代码：【91320900782094063W】</w:t>
            </w:r>
          </w:p>
          <w:p w14:paraId="611280E7">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住所：【江苏省盐城市大丰区常新中路9号】</w:t>
            </w:r>
          </w:p>
          <w:p w14:paraId="4444738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客户服务热线：【0515-96008】</w:t>
            </w:r>
          </w:p>
          <w:p w14:paraId="31C5F032">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89.企业名称：【江苏扬中农村商业银行股份有限公司】</w:t>
            </w:r>
          </w:p>
          <w:p w14:paraId="79BE8491">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统一社会信用代码：【91321100591145817W】</w:t>
            </w:r>
          </w:p>
          <w:p w14:paraId="6EEF30D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住所：【扬中市扬子西路79号】</w:t>
            </w:r>
          </w:p>
          <w:p w14:paraId="320EA6FB">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客户服务热线：【0511-96008】</w:t>
            </w:r>
          </w:p>
          <w:p w14:paraId="42772D8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90.企业名称：【江苏东台农村商业银行股份有限公司】</w:t>
            </w:r>
          </w:p>
          <w:p w14:paraId="3CC99F05">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统一社会信用代码：【913209001425654533】</w:t>
            </w:r>
          </w:p>
          <w:p w14:paraId="3C32287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住所：【东台市东城大道10号】</w:t>
            </w:r>
          </w:p>
          <w:p w14:paraId="7D56020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客户服务热线：【0515-96008】</w:t>
            </w:r>
          </w:p>
          <w:p w14:paraId="15943F40">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91.企业名称：【江苏如东农村商业银行股份有限公司】</w:t>
            </w:r>
          </w:p>
          <w:p w14:paraId="0FACAF9A">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统一社会信用代码：【91320600050214904J】</w:t>
            </w:r>
          </w:p>
          <w:p w14:paraId="46873973">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住所：【江苏省如东县掘港镇钟山路66号】</w:t>
            </w:r>
          </w:p>
          <w:p w14:paraId="650C7DF4">
            <w:pPr>
              <w:spacing w:line="300" w:lineRule="atLeast"/>
              <w:ind w:right="31"/>
              <w:rPr>
                <w:rFonts w:hint="default"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14:textFill>
                  <w14:solidFill>
                    <w14:schemeClr w14:val="tx1"/>
                  </w14:solidFill>
                </w14:textFill>
              </w:rPr>
              <w:t>客户服务热线：【0513-96008】</w:t>
            </w:r>
          </w:p>
          <w:p w14:paraId="2D4682DB">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9</w:t>
            </w:r>
            <w:r>
              <w:rPr>
                <w:rFonts w:hint="eastAsia" w:ascii="楷体_GB2312" w:eastAsia="楷体_GB2312" w:cs="楷体_GB2312"/>
                <w:color w:val="000000" w:themeColor="text1"/>
                <w:sz w:val="20"/>
                <w:szCs w:val="20"/>
                <w:lang w:val="en-US" w:eastAsia="zh-CN"/>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.企业名称：【江苏江南农村商业银行股份有限公司】</w:t>
            </w:r>
          </w:p>
          <w:p w14:paraId="05E78425">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统一社会信用代码：【91320400699343815D】</w:t>
            </w:r>
          </w:p>
          <w:p w14:paraId="04355C55">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住所：【江苏省常州市武进区延政中路9号】</w:t>
            </w:r>
          </w:p>
          <w:p w14:paraId="31A5F785">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客户服务热线：【0519-96005】</w:t>
            </w:r>
            <w:r>
              <w:rPr>
                <w:rFonts w:ascii="楷体_GB2312" w:eastAsia="楷体_GB2312" w:cs="楷体_GB2312"/>
                <w:color w:val="000000" w:themeColor="text1"/>
                <w:sz w:val="20"/>
                <w:szCs w:val="20"/>
                <w14:textFill>
                  <w14:solidFill>
                    <w14:schemeClr w14:val="tx1"/>
                  </w14:solidFill>
                </w14:textFill>
              </w:rPr>
              <w:br w:type="textWrapping"/>
            </w:r>
            <w:r>
              <w:rPr>
                <w:rFonts w:hint="default" w:ascii="楷体_GB2312" w:eastAsia="楷体_GB2312" w:cs="楷体_GB2312"/>
                <w:color w:val="000000" w:themeColor="text1"/>
                <w:sz w:val="20"/>
                <w:szCs w:val="20"/>
                <w:lang w:val="en-US" w:eastAsia="zh-CN"/>
                <w14:textFill>
                  <w14:solidFill>
                    <w14:schemeClr w14:val="tx1"/>
                  </w14:solidFill>
                </w14:textFill>
              </w:rPr>
              <w:t>9</w:t>
            </w:r>
            <w:r>
              <w:rPr>
                <w:rFonts w:hint="eastAsia" w:ascii="楷体_GB2312" w:eastAsia="楷体_GB2312" w:cs="楷体_GB2312"/>
                <w:color w:val="000000" w:themeColor="text1"/>
                <w:sz w:val="20"/>
                <w:szCs w:val="20"/>
                <w:lang w:val="en-US" w:eastAsia="zh-CN"/>
                <w14:textFill>
                  <w14:solidFill>
                    <w14:schemeClr w14:val="tx1"/>
                  </w14:solidFill>
                </w14:textFill>
              </w:rPr>
              <w:t>3</w:t>
            </w:r>
            <w:r>
              <w:rPr>
                <w:rFonts w:ascii="楷体_GB2312" w:eastAsia="楷体_GB2312" w:cs="楷体_GB2312"/>
                <w:color w:val="000000" w:themeColor="text1"/>
                <w:sz w:val="20"/>
                <w:szCs w:val="20"/>
                <w14:textFill>
                  <w14:solidFill>
                    <w14:schemeClr w14:val="tx1"/>
                  </w14:solidFill>
                </w14:textFill>
              </w:rPr>
              <w:t>.企业名称：【信银理财有限责任公司】</w:t>
            </w:r>
            <w:r>
              <w:rPr>
                <w:rFonts w:ascii="楷体_GB2312" w:eastAsia="楷体_GB2312" w:cs="楷体_GB2312"/>
                <w:color w:val="000000" w:themeColor="text1"/>
                <w:sz w:val="20"/>
                <w:szCs w:val="20"/>
                <w14:textFill>
                  <w14:solidFill>
                    <w14:schemeClr w14:val="tx1"/>
                  </w14:solidFill>
                </w14:textFill>
              </w:rPr>
              <w:br w:type="textWrapping"/>
            </w:r>
            <w:r>
              <w:rPr>
                <w:rFonts w:ascii="楷体_GB2312" w:eastAsia="楷体_GB2312" w:cs="楷体_GB2312"/>
                <w:color w:val="000000" w:themeColor="text1"/>
                <w:sz w:val="20"/>
                <w:szCs w:val="20"/>
                <w14:textFill>
                  <w14:solidFill>
                    <w14:schemeClr w14:val="tx1"/>
                  </w14:solidFill>
                </w14:textFill>
              </w:rPr>
              <w:t>统一社会信用代码：【91310000MA1FL7AC87】</w:t>
            </w:r>
            <w:r>
              <w:rPr>
                <w:rFonts w:ascii="楷体_GB2312" w:eastAsia="楷体_GB2312" w:cs="楷体_GB2312"/>
                <w:color w:val="000000" w:themeColor="text1"/>
                <w:sz w:val="20"/>
                <w:szCs w:val="20"/>
                <w14:textFill>
                  <w14:solidFill>
                    <w14:schemeClr w14:val="tx1"/>
                  </w14:solidFill>
                </w14:textFill>
              </w:rPr>
              <w:br w:type="textWrapping"/>
            </w:r>
            <w:r>
              <w:rPr>
                <w:rFonts w:ascii="楷体_GB2312" w:eastAsia="楷体_GB2312" w:cs="楷体_GB2312"/>
                <w:color w:val="000000" w:themeColor="text1"/>
                <w:sz w:val="20"/>
                <w:szCs w:val="20"/>
                <w14:textFill>
                  <w14:solidFill>
                    <w14:schemeClr w14:val="tx1"/>
                  </w14:solidFill>
                </w14:textFill>
              </w:rPr>
              <w:t>住所：【上海市黄浦区中山东二路600号1幢35层、36层】</w:t>
            </w:r>
            <w:r>
              <w:rPr>
                <w:rFonts w:ascii="楷体_GB2312" w:eastAsia="楷体_GB2312" w:cs="楷体_GB2312"/>
                <w:color w:val="000000" w:themeColor="text1"/>
                <w:sz w:val="20"/>
                <w:szCs w:val="20"/>
                <w14:textFill>
                  <w14:solidFill>
                    <w14:schemeClr w14:val="tx1"/>
                  </w14:solidFill>
                </w14:textFill>
              </w:rPr>
              <w:br w:type="textWrapping"/>
            </w:r>
            <w:r>
              <w:rPr>
                <w:rFonts w:ascii="楷体_GB2312" w:eastAsia="楷体_GB2312" w:cs="楷体_GB2312"/>
                <w:color w:val="000000" w:themeColor="text1"/>
                <w:sz w:val="20"/>
                <w:szCs w:val="20"/>
                <w14:textFill>
                  <w14:solidFill>
                    <w14:schemeClr w14:val="tx1"/>
                  </w14:solidFill>
                </w14:textFill>
              </w:rPr>
              <w:t>客户服务热线：【950950】</w:t>
            </w:r>
          </w:p>
          <w:p w14:paraId="0E41FD03">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default" w:ascii="楷体_GB2312" w:eastAsia="楷体_GB2312" w:cs="楷体_GB2312"/>
                <w:color w:val="000000" w:themeColor="text1"/>
                <w:sz w:val="20"/>
                <w:szCs w:val="20"/>
                <w:lang w:val="en-US" w:eastAsia="zh-CN"/>
                <w14:textFill>
                  <w14:solidFill>
                    <w14:schemeClr w14:val="tx1"/>
                  </w14:solidFill>
                </w14:textFill>
              </w:rPr>
              <w:t>9</w:t>
            </w:r>
            <w:r>
              <w:rPr>
                <w:rFonts w:hint="eastAsia" w:ascii="楷体_GB2312" w:eastAsia="楷体_GB2312" w:cs="楷体_GB2312"/>
                <w:color w:val="000000" w:themeColor="text1"/>
                <w:sz w:val="20"/>
                <w:szCs w:val="20"/>
                <w:lang w:val="en-US" w:eastAsia="zh-CN"/>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.企业名称：【上海浦东发展银行股份有限公司】</w:t>
            </w:r>
          </w:p>
          <w:p w14:paraId="294E37F7">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统一社会信用代码：【9131000013221158XC】</w:t>
            </w:r>
          </w:p>
          <w:p w14:paraId="1DA37FE4">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住所：【上海市黄浦区中山东一路12号】</w:t>
            </w:r>
          </w:p>
          <w:p w14:paraId="550E1383">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客户服务热线：【95528】</w:t>
            </w:r>
          </w:p>
          <w:p w14:paraId="740F8C56">
            <w:pPr>
              <w:spacing w:line="300" w:lineRule="atLeast"/>
              <w:ind w:right="31"/>
              <w:rPr>
                <w:rFonts w:ascii="楷体_GB2312" w:eastAsia="楷体_GB2312" w:cs="楷体_GB2312"/>
                <w:color w:val="000000" w:themeColor="text1"/>
                <w:sz w:val="20"/>
                <w:szCs w:val="20"/>
                <w14:textFill>
                  <w14:solidFill>
                    <w14:schemeClr w14:val="tx1"/>
                  </w14:solidFill>
                </w14:textFill>
              </w:rPr>
            </w:pPr>
            <w:r>
              <w:br w:type="textWrapping"/>
            </w:r>
            <w:r>
              <w:rPr>
                <w:rFonts w:ascii="楷体_GB2312" w:eastAsia="楷体_GB2312" w:cs="楷体_GB2312"/>
                <w:color w:val="000000" w:themeColor="text1"/>
                <w:sz w:val="20"/>
                <w:szCs w:val="20"/>
                <w14:textFill>
                  <w14:solidFill>
                    <w14:schemeClr w14:val="tx1"/>
                  </w14:solidFill>
                </w14:textFill>
              </w:rPr>
              <w:t>H类份额（份额代码【AF247784H】）合作销售机构信息：</w:t>
            </w:r>
            <w:r>
              <w:br w:type="textWrapping"/>
            </w:r>
            <w:r>
              <w:rPr>
                <w:rFonts w:ascii="楷体_GB2312" w:eastAsia="楷体_GB2312" w:cs="楷体_GB2312"/>
                <w:color w:val="000000" w:themeColor="text1"/>
                <w:sz w:val="20"/>
                <w:szCs w:val="20"/>
                <w14:textFill>
                  <w14:solidFill>
                    <w14:schemeClr w14:val="tx1"/>
                  </w14:solidFill>
                </w14:textFill>
              </w:rPr>
              <w:t>1.企业名称：【信银理财有限责任公司】</w:t>
            </w:r>
            <w:r>
              <w:br w:type="textWrapping"/>
            </w:r>
            <w:r>
              <w:rPr>
                <w:rFonts w:ascii="楷体_GB2312" w:eastAsia="楷体_GB2312" w:cs="楷体_GB2312"/>
                <w:color w:val="000000" w:themeColor="text1"/>
                <w:sz w:val="20"/>
                <w:szCs w:val="20"/>
                <w14:textFill>
                  <w14:solidFill>
                    <w14:schemeClr w14:val="tx1"/>
                  </w14:solidFill>
                </w14:textFill>
              </w:rPr>
              <w:t>统一社会信用代码：【91310000MA1FL7AC87】</w:t>
            </w:r>
            <w:r>
              <w:br w:type="textWrapping"/>
            </w:r>
            <w:r>
              <w:rPr>
                <w:rFonts w:ascii="楷体_GB2312" w:eastAsia="楷体_GB2312" w:cs="楷体_GB2312"/>
                <w:color w:val="000000" w:themeColor="text1"/>
                <w:sz w:val="20"/>
                <w:szCs w:val="20"/>
                <w14:textFill>
                  <w14:solidFill>
                    <w14:schemeClr w14:val="tx1"/>
                  </w14:solidFill>
                </w14:textFill>
              </w:rPr>
              <w:t>住所：【上海市黄浦区中山东二路600号1幢35层、36层】</w:t>
            </w:r>
            <w:r>
              <w:br w:type="textWrapping"/>
            </w:r>
            <w:r>
              <w:rPr>
                <w:rFonts w:ascii="楷体_GB2312" w:eastAsia="楷体_GB2312" w:cs="楷体_GB2312"/>
                <w:color w:val="000000" w:themeColor="text1"/>
                <w:sz w:val="20"/>
                <w:szCs w:val="20"/>
                <w14:textFill>
                  <w14:solidFill>
                    <w14:schemeClr w14:val="tx1"/>
                  </w14:solidFill>
                </w14:textFill>
              </w:rPr>
              <w:t>客户服务热线：【950950】</w:t>
            </w:r>
          </w:p>
          <w:p w14:paraId="31A38187">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2.企业名称：【江苏银行股份有限公司】</w:t>
            </w:r>
          </w:p>
          <w:p w14:paraId="04E36657">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w:t>
            </w:r>
            <w:r>
              <w:rPr>
                <w:rFonts w:ascii="楷体_GB2312" w:eastAsia="楷体_GB2312" w:cs="楷体_GB2312"/>
                <w:color w:val="000000" w:themeColor="text1"/>
                <w:sz w:val="20"/>
                <w:szCs w:val="20"/>
                <w14:textFill>
                  <w14:solidFill>
                    <w14:schemeClr w14:val="tx1"/>
                  </w14:solidFill>
                </w14:textFill>
              </w:rPr>
              <w:t>91320000796544598E】</w:t>
            </w:r>
          </w:p>
          <w:p w14:paraId="47E74534">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住所：【江苏省南京市中华路</w:t>
            </w:r>
            <w:r>
              <w:rPr>
                <w:rFonts w:ascii="楷体_GB2312" w:eastAsia="楷体_GB2312" w:cs="楷体_GB2312"/>
                <w:color w:val="000000" w:themeColor="text1"/>
                <w:sz w:val="20"/>
                <w:szCs w:val="20"/>
                <w14:textFill>
                  <w14:solidFill>
                    <w14:schemeClr w14:val="tx1"/>
                  </w14:solidFill>
                </w14:textFill>
              </w:rPr>
              <w:t>26号】</w:t>
            </w:r>
          </w:p>
          <w:p w14:paraId="71ACC4C1">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w:t>
            </w:r>
            <w:r>
              <w:rPr>
                <w:rFonts w:ascii="楷体_GB2312" w:eastAsia="楷体_GB2312" w:cs="楷体_GB2312"/>
                <w:color w:val="000000" w:themeColor="text1"/>
                <w:sz w:val="20"/>
                <w:szCs w:val="20"/>
                <w14:textFill>
                  <w14:solidFill>
                    <w14:schemeClr w14:val="tx1"/>
                  </w14:solidFill>
                </w14:textFill>
              </w:rPr>
              <w:t>95319】</w:t>
            </w:r>
          </w:p>
          <w:p w14:paraId="040BE691">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3</w:t>
            </w:r>
            <w:r>
              <w:rPr>
                <w:rFonts w:ascii="楷体_GB2312" w:eastAsia="楷体_GB2312" w:cs="楷体_GB2312"/>
                <w:color w:val="000000" w:themeColor="text1"/>
                <w:sz w:val="20"/>
                <w:szCs w:val="20"/>
                <w14:textFill>
                  <w14:solidFill>
                    <w14:schemeClr w14:val="tx1"/>
                  </w14:solidFill>
                </w14:textFill>
              </w:rPr>
              <w:t>.企业名称：【交通银行股份有限公司】</w:t>
            </w:r>
          </w:p>
          <w:p w14:paraId="7F767421">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w:t>
            </w:r>
            <w:r>
              <w:rPr>
                <w:rFonts w:ascii="楷体_GB2312" w:eastAsia="楷体_GB2312" w:cs="楷体_GB2312"/>
                <w:color w:val="000000" w:themeColor="text1"/>
                <w:sz w:val="20"/>
                <w:szCs w:val="20"/>
                <w14:textFill>
                  <w14:solidFill>
                    <w14:schemeClr w14:val="tx1"/>
                  </w14:solidFill>
                </w14:textFill>
              </w:rPr>
              <w:t>9131000010000595XD】</w:t>
            </w:r>
          </w:p>
          <w:p w14:paraId="56693CFB">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住所：【上海市浦东新区银城中路</w:t>
            </w:r>
            <w:r>
              <w:rPr>
                <w:rFonts w:ascii="楷体_GB2312" w:eastAsia="楷体_GB2312" w:cs="楷体_GB2312"/>
                <w:color w:val="000000" w:themeColor="text1"/>
                <w:sz w:val="20"/>
                <w:szCs w:val="20"/>
                <w14:textFill>
                  <w14:solidFill>
                    <w14:schemeClr w14:val="tx1"/>
                  </w14:solidFill>
                </w14:textFill>
              </w:rPr>
              <w:t>188号】</w:t>
            </w:r>
          </w:p>
          <w:p w14:paraId="2547E3C7">
            <w:pPr>
              <w:spacing w:line="300" w:lineRule="atLeast"/>
              <w:ind w:right="31"/>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w:t>
            </w:r>
            <w:r>
              <w:rPr>
                <w:rFonts w:ascii="楷体_GB2312" w:eastAsia="楷体_GB2312" w:cs="楷体_GB2312"/>
                <w:color w:val="000000" w:themeColor="text1"/>
                <w:sz w:val="20"/>
                <w:szCs w:val="20"/>
                <w14:textFill>
                  <w14:solidFill>
                    <w14:schemeClr w14:val="tx1"/>
                  </w14:solidFill>
                </w14:textFill>
              </w:rPr>
              <w:t>95559】</w:t>
            </w:r>
          </w:p>
          <w:p w14:paraId="4EEE915B">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.企业名称：【北京银行股份有限公司】</w:t>
            </w:r>
          </w:p>
          <w:p w14:paraId="18BAF248">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统一社会信用代码：【91110000101174712L】</w:t>
            </w:r>
          </w:p>
          <w:p w14:paraId="530AB18C">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住所：【北京市西城区金融大街甲17号首层】</w:t>
            </w:r>
          </w:p>
          <w:p w14:paraId="0BC18019">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客户服务热线：【95526】</w:t>
            </w:r>
          </w:p>
          <w:p w14:paraId="298B24EA">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lang w:val="en-US" w:eastAsia="zh-CN"/>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.企业名称：【徽商银行股份有限公司】</w:t>
            </w:r>
          </w:p>
          <w:p w14:paraId="2E19E6BB">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统一社会信用代码：【913400001489746613】</w:t>
            </w:r>
          </w:p>
          <w:p w14:paraId="1DB4C87A">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住所：【安徽省合肥市云谷路1699号徽银大厦】</w:t>
            </w:r>
          </w:p>
          <w:p w14:paraId="77099473">
            <w:pPr>
              <w:spacing w:line="300" w:lineRule="atLeast"/>
              <w:ind w:right="31"/>
              <w:rPr>
                <w:rFonts w:hint="eastAsia"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客户服务热线：【40088-96588】</w:t>
            </w:r>
          </w:p>
          <w:p w14:paraId="2DB2BF12">
            <w:pPr>
              <w:spacing w:line="300" w:lineRule="atLeast"/>
              <w:ind w:right="31"/>
              <w:rPr>
                <w:rFonts w:ascii="楷体_GB2312" w:eastAsia="楷体_GB2312" w:cs="楷体_GB2312"/>
                <w:color w:val="000000" w:themeColor="text1"/>
                <w:sz w:val="20"/>
                <w:szCs w:val="20"/>
                <w14:textFill>
                  <w14:solidFill>
                    <w14:schemeClr w14:val="tx1"/>
                  </w14:solidFill>
                </w14:textFill>
              </w:rPr>
            </w:pPr>
          </w:p>
          <w:p w14:paraId="779EFD4F">
            <w:pPr>
              <w:spacing w:line="300" w:lineRule="atLeast"/>
              <w:ind w:right="31"/>
              <w:rPr>
                <w:rFonts w:ascii="楷体_GB2312" w:eastAsia="楷体_GB2312" w:cs="楷体_GB2312"/>
                <w:sz w:val="20"/>
                <w:szCs w:val="20"/>
              </w:rPr>
            </w:pPr>
            <w:r>
              <w:rPr>
                <w:rFonts w:ascii="楷体_GB2312" w:eastAsia="楷体_GB2312" w:cs="楷体_GB2312"/>
                <w:color w:val="000000" w:themeColor="text1"/>
                <w:sz w:val="20"/>
                <w:szCs w:val="20"/>
                <w14:textFill>
                  <w14:solidFill>
                    <w14:schemeClr w14:val="tx1"/>
                  </w14:solidFill>
                </w14:textFill>
              </w:rPr>
              <w:t>后续合作销售机构如有新增、减少和变更，信银理财将按照本说明书约定的方式告知投资者。</w:t>
            </w:r>
          </w:p>
        </w:tc>
      </w:tr>
      <w:tr w14:paraId="2765B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6E5F30F5">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合作销售机构主要职责</w:t>
            </w:r>
          </w:p>
        </w:tc>
        <w:tc>
          <w:tcPr>
            <w:tcW w:w="3740" w:type="pct"/>
            <w:vAlign w:val="center"/>
          </w:tcPr>
          <w:p w14:paraId="0E16382E">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理财产品的宣传推广；</w:t>
            </w:r>
          </w:p>
          <w:p w14:paraId="29265036">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投资者风险承受能力评估和投资者适当性管理；</w:t>
            </w:r>
          </w:p>
          <w:p w14:paraId="3902998C">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理财产品认</w:t>
            </w:r>
            <w:r>
              <w:rPr>
                <w:rFonts w:hint="eastAsia" w:ascii="楷体_GB2312" w:eastAsia="楷体_GB2312" w:cs="楷体_GB2312"/>
                <w:color w:val="000000" w:themeColor="text1"/>
                <w:sz w:val="20"/>
                <w:szCs w:val="20"/>
                <w14:textFill>
                  <w14:solidFill>
                    <w14:schemeClr w14:val="tx1"/>
                  </w14:solidFill>
                </w14:textFill>
              </w:rPr>
              <w:t>/申购、赎回等业务办理；</w:t>
            </w:r>
          </w:p>
          <w:p w14:paraId="6ECB70B0">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协助管理人与投资者订立相关协议；</w:t>
            </w:r>
          </w:p>
          <w:p w14:paraId="06AF181D">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协助管理人与投资者沟通及进行信息披露；</w:t>
            </w:r>
          </w:p>
          <w:p w14:paraId="66C98189">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接受投资者咨询、投诉和客户维护等销售服务；</w:t>
            </w:r>
          </w:p>
          <w:p w14:paraId="448F8552">
            <w:pPr>
              <w:pStyle w:val="19"/>
              <w:numPr>
                <w:ilvl w:val="0"/>
                <w:numId w:val="2"/>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国务院银行业监督管理机构规定的其他职责。</w:t>
            </w:r>
          </w:p>
        </w:tc>
      </w:tr>
      <w:tr w14:paraId="61CC2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336B744F">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托管人</w:t>
            </w:r>
          </w:p>
        </w:tc>
        <w:tc>
          <w:tcPr>
            <w:tcW w:w="3740" w:type="pct"/>
            <w:vAlign w:val="center"/>
          </w:tcPr>
          <w:p w14:paraId="365FB170">
            <w:pPr>
              <w:spacing w:line="300" w:lineRule="exact"/>
              <w:ind w:left="-2" w:leftChars="-1" w:right="36" w:rightChars="15"/>
              <w:rPr>
                <w:rFonts w:ascii="楷体_GB2312" w:eastAsia="楷体_GB2312" w:cs="楷体_GB2312"/>
                <w:sz w:val="20"/>
                <w:szCs w:val="20"/>
                <w:highlight w:val="yellow"/>
              </w:rPr>
            </w:pPr>
            <w:r>
              <w:rPr>
                <w:rFonts w:hint="eastAsia" w:ascii="楷体_GB2312" w:eastAsia="楷体_GB2312" w:cs="楷体_GB2312"/>
                <w:sz w:val="20"/>
                <w:szCs w:val="20"/>
              </w:rPr>
              <w:t>企业名称：【中信银行股份有限公司】</w:t>
            </w:r>
            <w:r>
              <w:br w:type="textWrapping"/>
            </w:r>
            <w:r>
              <w:rPr>
                <w:rFonts w:hint="eastAsia" w:ascii="楷体_GB2312" w:eastAsia="楷体_GB2312" w:cs="楷体_GB2312"/>
                <w:sz w:val="20"/>
                <w:szCs w:val="20"/>
              </w:rPr>
              <w:t>统一社会信用代码：【91110000101690725E】</w:t>
            </w:r>
            <w:r>
              <w:br w:type="textWrapping"/>
            </w:r>
            <w:r>
              <w:rPr>
                <w:rFonts w:hint="eastAsia" w:ascii="楷体_GB2312" w:eastAsia="楷体_GB2312" w:cs="楷体_GB2312"/>
                <w:sz w:val="20"/>
                <w:szCs w:val="20"/>
              </w:rPr>
              <w:t>纳税人识别号：【91110000101690725E】</w:t>
            </w:r>
            <w:r>
              <w:br w:type="textWrapping"/>
            </w:r>
            <w:r>
              <w:rPr>
                <w:rFonts w:hint="eastAsia" w:ascii="楷体_GB2312" w:eastAsia="楷体_GB2312" w:cs="楷体_GB2312"/>
                <w:sz w:val="20"/>
                <w:szCs w:val="20"/>
              </w:rPr>
              <w:t>法定代表人：【方合英】</w:t>
            </w:r>
            <w:r>
              <w:br w:type="textWrapping"/>
            </w:r>
            <w:r>
              <w:rPr>
                <w:rFonts w:hint="eastAsia" w:ascii="楷体_GB2312" w:eastAsia="楷体_GB2312" w:cs="楷体_GB2312"/>
                <w:sz w:val="20"/>
                <w:szCs w:val="20"/>
              </w:rPr>
              <w:t>住所：【北京市朝阳区光华路10号中信大厦】</w:t>
            </w:r>
          </w:p>
        </w:tc>
      </w:tr>
      <w:tr w14:paraId="41F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4A213442">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托管人职责</w:t>
            </w:r>
          </w:p>
        </w:tc>
        <w:tc>
          <w:tcPr>
            <w:tcW w:w="3740" w:type="pct"/>
            <w:vAlign w:val="center"/>
          </w:tcPr>
          <w:p w14:paraId="1E1A328D">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安全保管理财产品财产；</w:t>
            </w:r>
          </w:p>
          <w:p w14:paraId="483A3E93">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为每只理财产品开设独立的托管账户，不同托管账户中的资产应当相互独立，为理财产品开立所需的证券账户等其他账户；</w:t>
            </w:r>
          </w:p>
          <w:p w14:paraId="73948A6C">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按照托管协议约定和管理人的投资指令，及时办理理财产品的清算、交割事宜，核对理财产品资金划拨记录；</w:t>
            </w:r>
          </w:p>
          <w:p w14:paraId="127F2122">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建立与理财产品管理人的对账机制，复核、审查理财产品资金头寸、资产账目、资产净值、理财产品份额认/申购、赎回价格等数据，及时核查认/申购、赎回以及投资资金的支付和到账情况；</w:t>
            </w:r>
          </w:p>
          <w:p w14:paraId="282C832D">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监督理财产品投资运作，发现理财产品违反法律、行政法规、规章规定或合同约定进行投资的，应当拒绝执行，及时通知理财产品管理人并报告银行业监督管理机构；</w:t>
            </w:r>
          </w:p>
          <w:p w14:paraId="2E14BA0F">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办理与理财产品托管业务活动相关的信息披露事项，包括披露理财产品托管协议、对理财产品信息披露文件中的理财产品财务会计报告等出具意见，以及在公募理财产品半年度和年度报告中出具理财托管机构报告等；</w:t>
            </w:r>
          </w:p>
          <w:p w14:paraId="6F07AEEF">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保存理财产品托管业务活动的记录、账册、报表和其他相关材料1</w:t>
            </w:r>
            <w:r>
              <w:rPr>
                <w:rFonts w:ascii="楷体_GB2312" w:eastAsia="楷体_GB2312" w:cs="楷体_GB2312"/>
                <w:color w:val="000000" w:themeColor="text1"/>
                <w:sz w:val="20"/>
                <w:szCs w:val="20"/>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年以上；</w:t>
            </w:r>
          </w:p>
          <w:p w14:paraId="243624F6">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对理财产品投资信息和相关资料承担保密责任，除法律、行政法规、规章规定、审计要求或者合同约定外，不得向任何机构或者个人提供相关信息和资料；</w:t>
            </w:r>
          </w:p>
          <w:p w14:paraId="44153619">
            <w:pPr>
              <w:pStyle w:val="19"/>
              <w:numPr>
                <w:ilvl w:val="0"/>
                <w:numId w:val="3"/>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国务院银行业监督管理机构规定的其他职责。</w:t>
            </w:r>
          </w:p>
        </w:tc>
      </w:tr>
      <w:tr w14:paraId="4B6F3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29ED91AC">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理财托管</w:t>
            </w:r>
            <w:r>
              <w:rPr>
                <w:rFonts w:ascii="Times New Roman" w:eastAsia="楷体_GB2312" w:cs="楷体_GB2312"/>
                <w:color w:val="000000" w:themeColor="text1"/>
                <w:sz w:val="20"/>
                <w:szCs w:val="20"/>
                <w14:textFill>
                  <w14:solidFill>
                    <w14:schemeClr w14:val="tx1"/>
                  </w14:solidFill>
                </w14:textFill>
              </w:rPr>
              <w:t>账户</w:t>
            </w:r>
          </w:p>
        </w:tc>
        <w:tc>
          <w:tcPr>
            <w:tcW w:w="3740" w:type="pct"/>
            <w:vAlign w:val="center"/>
          </w:tcPr>
          <w:p w14:paraId="06E6DC6B">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w:t>
            </w:r>
            <w:r>
              <w:rPr>
                <w:rFonts w:hint="eastAsia" w:ascii="楷体_GB2312" w:eastAsia="楷体_GB2312" w:cs="楷体_GB2312"/>
                <w:color w:val="000000" w:themeColor="text1"/>
                <w:sz w:val="20"/>
                <w:szCs w:val="20"/>
                <w14:textFill>
                  <w14:solidFill>
                    <w14:schemeClr w14:val="tx1"/>
                  </w14:solidFill>
                </w14:textFill>
              </w:rPr>
              <w:t>管理人为理财产品资金管理之目的，以理财产品的名义在托管人处单独开立资金账户，理财产品资金的一切收支活动，包括但不限于接收募集资金、划付对外投资资金、缴纳理财产品税费、接收理财产品回收资金、支付理财产品费用以及向投资者划付理财产品分配款项，均通过该账户进行。</w:t>
            </w:r>
          </w:p>
        </w:tc>
      </w:tr>
      <w:tr w14:paraId="750E4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51EAF2DA">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投资者</w:t>
            </w:r>
            <w:r>
              <w:rPr>
                <w:rFonts w:ascii="Times New Roman" w:eastAsia="楷体_GB2312" w:cs="楷体_GB2312"/>
                <w:color w:val="000000" w:themeColor="text1"/>
                <w:sz w:val="20"/>
                <w:szCs w:val="20"/>
                <w14:textFill>
                  <w14:solidFill>
                    <w14:schemeClr w14:val="tx1"/>
                  </w14:solidFill>
                </w14:textFill>
              </w:rPr>
              <w:t>账户</w:t>
            </w:r>
          </w:p>
        </w:tc>
        <w:tc>
          <w:tcPr>
            <w:tcW w:w="3740" w:type="pct"/>
            <w:vAlign w:val="center"/>
          </w:tcPr>
          <w:p w14:paraId="05CBC5C7">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投资者认购或申购（如有）理财</w:t>
            </w:r>
            <w:r>
              <w:rPr>
                <w:rFonts w:ascii="楷体_GB2312" w:eastAsia="楷体_GB2312" w:cs="楷体_GB2312"/>
                <w:color w:val="000000" w:themeColor="text1"/>
                <w:sz w:val="20"/>
                <w:szCs w:val="20"/>
                <w14:textFill>
                  <w14:solidFill>
                    <w14:schemeClr w14:val="tx1"/>
                  </w14:solidFill>
                </w14:textFill>
              </w:rPr>
              <w:t>产品</w:t>
            </w:r>
            <w:r>
              <w:rPr>
                <w:rFonts w:hint="eastAsia" w:ascii="楷体_GB2312" w:eastAsia="楷体_GB2312" w:cs="楷体_GB2312"/>
                <w:color w:val="000000" w:themeColor="text1"/>
                <w:sz w:val="20"/>
                <w:szCs w:val="20"/>
                <w14:textFill>
                  <w14:solidFill>
                    <w14:schemeClr w14:val="tx1"/>
                  </w14:solidFill>
                </w14:textFill>
              </w:rPr>
              <w:t>的资金划出账户与理财产品到期或期间赎回（如有）接收资金的银行</w:t>
            </w:r>
            <w:r>
              <w:rPr>
                <w:rFonts w:ascii="楷体_GB2312" w:eastAsia="楷体_GB2312" w:cs="楷体_GB2312"/>
                <w:color w:val="000000" w:themeColor="text1"/>
                <w:sz w:val="20"/>
                <w:szCs w:val="20"/>
                <w14:textFill>
                  <w14:solidFill>
                    <w14:schemeClr w14:val="tx1"/>
                  </w14:solidFill>
                </w14:textFill>
              </w:rPr>
              <w:t>结算</w:t>
            </w:r>
            <w:r>
              <w:rPr>
                <w:rFonts w:hint="eastAsia" w:ascii="楷体_GB2312" w:eastAsia="楷体_GB2312" w:cs="楷体_GB2312"/>
                <w:color w:val="000000" w:themeColor="text1"/>
                <w:sz w:val="20"/>
                <w:szCs w:val="20"/>
                <w14:textFill>
                  <w14:solidFill>
                    <w14:schemeClr w14:val="tx1"/>
                  </w14:solidFill>
                </w14:textFill>
              </w:rPr>
              <w:t>账户。在本理财产品存续期间，除非经理财</w:t>
            </w:r>
            <w:r>
              <w:rPr>
                <w:rFonts w:ascii="楷体_GB2312" w:eastAsia="楷体_GB2312" w:cs="楷体_GB2312"/>
                <w:color w:val="000000" w:themeColor="text1"/>
                <w:sz w:val="20"/>
                <w:szCs w:val="20"/>
                <w14:textFill>
                  <w14:solidFill>
                    <w14:schemeClr w14:val="tx1"/>
                  </w14:solidFill>
                </w14:textFill>
              </w:rPr>
              <w:t>产品</w:t>
            </w:r>
            <w:r>
              <w:rPr>
                <w:rFonts w:hint="eastAsia" w:ascii="楷体_GB2312" w:eastAsia="楷体_GB2312" w:cs="楷体_GB2312"/>
                <w:color w:val="000000" w:themeColor="text1"/>
                <w:sz w:val="20"/>
                <w:szCs w:val="20"/>
                <w14:textFill>
                  <w14:solidFill>
                    <w14:schemeClr w14:val="tx1"/>
                  </w14:solidFill>
                </w14:textFill>
              </w:rPr>
              <w:t>管理人同意，该账户不得变更、注销。如发生投资者账户被有权机关采取司法强制措施的，投资者不得申请对投资者账户予以变更或注销。</w:t>
            </w:r>
          </w:p>
        </w:tc>
      </w:tr>
      <w:tr w14:paraId="6B1C5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1CBA8C03">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投资者</w:t>
            </w:r>
            <w:r>
              <w:rPr>
                <w:rFonts w:ascii="Times New Roman" w:eastAsia="楷体_GB2312" w:cs="楷体_GB2312"/>
                <w:color w:val="000000" w:themeColor="text1"/>
                <w:sz w:val="20"/>
                <w:szCs w:val="20"/>
                <w14:textFill>
                  <w14:solidFill>
                    <w14:schemeClr w14:val="tx1"/>
                  </w14:solidFill>
                </w14:textFill>
              </w:rPr>
              <w:t>理财账户</w:t>
            </w:r>
          </w:p>
        </w:tc>
        <w:tc>
          <w:tcPr>
            <w:tcW w:w="3740" w:type="pct"/>
            <w:vAlign w:val="center"/>
          </w:tcPr>
          <w:p w14:paraId="5B0FBB59">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信银理财</w:t>
            </w:r>
            <w:r>
              <w:rPr>
                <w:rFonts w:hint="eastAsia" w:ascii="楷体_GB2312" w:eastAsia="楷体_GB2312" w:cs="楷体_GB2312"/>
                <w:color w:val="000000" w:themeColor="text1"/>
                <w:sz w:val="20"/>
                <w:szCs w:val="20"/>
                <w14:textFill>
                  <w14:solidFill>
                    <w14:schemeClr w14:val="tx1"/>
                  </w14:solidFill>
                </w14:textFill>
              </w:rPr>
              <w:t>为投资者</w:t>
            </w:r>
            <w:r>
              <w:rPr>
                <w:rFonts w:ascii="楷体_GB2312" w:eastAsia="楷体_GB2312" w:cs="楷体_GB2312"/>
                <w:color w:val="000000" w:themeColor="text1"/>
                <w:sz w:val="20"/>
                <w:szCs w:val="20"/>
                <w14:textFill>
                  <w14:solidFill>
                    <w14:schemeClr w14:val="tx1"/>
                  </w14:solidFill>
                </w14:textFill>
              </w:rPr>
              <w:t>开立的</w:t>
            </w:r>
            <w:r>
              <w:rPr>
                <w:rFonts w:hint="eastAsia" w:ascii="楷体_GB2312" w:eastAsia="楷体_GB2312" w:cs="楷体_GB2312"/>
                <w:color w:val="000000" w:themeColor="text1"/>
                <w:sz w:val="20"/>
                <w:szCs w:val="20"/>
                <w14:textFill>
                  <w14:solidFill>
                    <w14:schemeClr w14:val="tx1"/>
                  </w14:solidFill>
                </w14:textFill>
              </w:rPr>
              <w:t>，唯一</w:t>
            </w:r>
            <w:r>
              <w:rPr>
                <w:rFonts w:ascii="楷体_GB2312" w:eastAsia="楷体_GB2312" w:cs="楷体_GB2312"/>
                <w:color w:val="000000" w:themeColor="text1"/>
                <w:sz w:val="20"/>
                <w:szCs w:val="20"/>
                <w14:textFill>
                  <w14:solidFill>
                    <w14:schemeClr w14:val="tx1"/>
                  </w14:solidFill>
                </w14:textFill>
              </w:rPr>
              <w:t>用于</w:t>
            </w:r>
            <w:r>
              <w:rPr>
                <w:rFonts w:hint="eastAsia" w:ascii="楷体_GB2312" w:eastAsia="楷体_GB2312" w:cs="楷体_GB2312"/>
                <w:color w:val="000000" w:themeColor="text1"/>
                <w:sz w:val="20"/>
                <w:szCs w:val="20"/>
                <w14:textFill>
                  <w14:solidFill>
                    <w14:schemeClr w14:val="tx1"/>
                  </w14:solidFill>
                </w14:textFill>
              </w:rPr>
              <w:t>信银</w:t>
            </w:r>
            <w:r>
              <w:rPr>
                <w:rFonts w:ascii="楷体_GB2312" w:eastAsia="楷体_GB2312" w:cs="楷体_GB2312"/>
                <w:color w:val="000000" w:themeColor="text1"/>
                <w:sz w:val="20"/>
                <w:szCs w:val="20"/>
                <w14:textFill>
                  <w14:solidFill>
                    <w14:schemeClr w14:val="tx1"/>
                  </w14:solidFill>
                </w14:textFill>
              </w:rPr>
              <w:t>理财管理和记录投资者持有信银理财理财产品份额及</w:t>
            </w: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w:t>
            </w:r>
            <w:r>
              <w:rPr>
                <w:rFonts w:hint="eastAsia" w:ascii="楷体_GB2312" w:eastAsia="楷体_GB2312" w:cs="楷体_GB2312"/>
                <w:color w:val="000000" w:themeColor="text1"/>
                <w:sz w:val="20"/>
                <w:szCs w:val="20"/>
                <w14:textFill>
                  <w14:solidFill>
                    <w14:schemeClr w14:val="tx1"/>
                  </w14:solidFill>
                </w14:textFill>
              </w:rPr>
              <w:t>份额</w:t>
            </w:r>
            <w:r>
              <w:rPr>
                <w:rFonts w:ascii="楷体_GB2312" w:eastAsia="楷体_GB2312" w:cs="楷体_GB2312"/>
                <w:color w:val="000000" w:themeColor="text1"/>
                <w:sz w:val="20"/>
                <w:szCs w:val="20"/>
                <w14:textFill>
                  <w14:solidFill>
                    <w14:schemeClr w14:val="tx1"/>
                  </w14:solidFill>
                </w14:textFill>
              </w:rPr>
              <w:t>变化</w:t>
            </w:r>
            <w:r>
              <w:rPr>
                <w:rFonts w:hint="eastAsia" w:ascii="楷体_GB2312" w:eastAsia="楷体_GB2312" w:cs="楷体_GB2312"/>
                <w:color w:val="000000" w:themeColor="text1"/>
                <w:sz w:val="20"/>
                <w:szCs w:val="20"/>
                <w14:textFill>
                  <w14:solidFill>
                    <w14:schemeClr w14:val="tx1"/>
                  </w14:solidFill>
                </w14:textFill>
              </w:rPr>
              <w:t>等</w:t>
            </w:r>
            <w:r>
              <w:rPr>
                <w:rFonts w:ascii="楷体_GB2312" w:eastAsia="楷体_GB2312" w:cs="楷体_GB2312"/>
                <w:color w:val="000000" w:themeColor="text1"/>
                <w:sz w:val="20"/>
                <w:szCs w:val="20"/>
                <w14:textFill>
                  <w14:solidFill>
                    <w14:schemeClr w14:val="tx1"/>
                  </w14:solidFill>
                </w14:textFill>
              </w:rPr>
              <w:t>情况的账户。</w:t>
            </w:r>
            <w:r>
              <w:rPr>
                <w:rFonts w:hint="eastAsia" w:ascii="楷体_GB2312" w:eastAsia="楷体_GB2312" w:cs="楷体_GB2312"/>
                <w:color w:val="000000" w:themeColor="text1"/>
                <w:sz w:val="20"/>
                <w:szCs w:val="20"/>
                <w14:textFill>
                  <w14:solidFill>
                    <w14:schemeClr w14:val="tx1"/>
                  </w14:solidFill>
                </w14:textFill>
              </w:rPr>
              <w:t>投资者购买信银</w:t>
            </w:r>
            <w:r>
              <w:rPr>
                <w:rFonts w:ascii="楷体_GB2312" w:eastAsia="楷体_GB2312" w:cs="楷体_GB2312"/>
                <w:color w:val="000000" w:themeColor="text1"/>
                <w:sz w:val="20"/>
                <w:szCs w:val="20"/>
                <w14:textFill>
                  <w14:solidFill>
                    <w14:schemeClr w14:val="tx1"/>
                  </w14:solidFill>
                </w14:textFill>
              </w:rPr>
              <w:t>理财理财产品的，信银理财</w:t>
            </w:r>
            <w:r>
              <w:rPr>
                <w:rFonts w:hint="eastAsia" w:ascii="楷体_GB2312" w:eastAsia="楷体_GB2312" w:cs="楷体_GB2312"/>
                <w:color w:val="000000" w:themeColor="text1"/>
                <w:sz w:val="20"/>
                <w:szCs w:val="20"/>
                <w14:textFill>
                  <w14:solidFill>
                    <w14:schemeClr w14:val="tx1"/>
                  </w14:solidFill>
                </w14:textFill>
              </w:rPr>
              <w:t>将为其开立</w:t>
            </w:r>
            <w:r>
              <w:rPr>
                <w:rFonts w:ascii="楷体_GB2312" w:eastAsia="楷体_GB2312" w:cs="楷体_GB2312"/>
                <w:color w:val="000000" w:themeColor="text1"/>
                <w:sz w:val="20"/>
                <w:szCs w:val="20"/>
                <w14:textFill>
                  <w14:solidFill>
                    <w14:schemeClr w14:val="tx1"/>
                  </w14:solidFill>
                </w14:textFill>
              </w:rPr>
              <w:t>理财账户</w:t>
            </w:r>
            <w:r>
              <w:rPr>
                <w:rFonts w:hint="eastAsia" w:ascii="楷体_GB2312" w:eastAsia="楷体_GB2312" w:cs="楷体_GB2312"/>
                <w:color w:val="000000" w:themeColor="text1"/>
                <w:sz w:val="20"/>
                <w:szCs w:val="20"/>
                <w14:textFill>
                  <w14:solidFill>
                    <w14:schemeClr w14:val="tx1"/>
                  </w14:solidFill>
                </w14:textFill>
              </w:rPr>
              <w:t>。开户需要的信息和要求以</w:t>
            </w:r>
            <w:r>
              <w:rPr>
                <w:rFonts w:ascii="楷体_GB2312" w:eastAsia="楷体_GB2312" w:cs="楷体_GB2312"/>
                <w:color w:val="000000" w:themeColor="text1"/>
                <w:sz w:val="20"/>
                <w:szCs w:val="20"/>
                <w14:textFill>
                  <w14:solidFill>
                    <w14:schemeClr w14:val="tx1"/>
                  </w14:solidFill>
                </w14:textFill>
              </w:rPr>
              <w:t>信银理财或代销机构</w:t>
            </w:r>
            <w:r>
              <w:rPr>
                <w:rFonts w:hint="eastAsia" w:ascii="楷体_GB2312" w:eastAsia="楷体_GB2312" w:cs="楷体_GB2312"/>
                <w:color w:val="000000" w:themeColor="text1"/>
                <w:sz w:val="20"/>
                <w:szCs w:val="20"/>
                <w14:textFill>
                  <w14:solidFill>
                    <w14:schemeClr w14:val="tx1"/>
                  </w14:solidFill>
                </w14:textFill>
              </w:rPr>
              <w:t>营业</w:t>
            </w:r>
            <w:r>
              <w:rPr>
                <w:rFonts w:ascii="楷体_GB2312" w:eastAsia="楷体_GB2312" w:cs="楷体_GB2312"/>
                <w:color w:val="000000" w:themeColor="text1"/>
                <w:sz w:val="20"/>
                <w:szCs w:val="20"/>
                <w14:textFill>
                  <w14:solidFill>
                    <w14:schemeClr w14:val="tx1"/>
                  </w14:solidFill>
                </w14:textFill>
              </w:rPr>
              <w:t>场所或线上办理要求</w:t>
            </w:r>
            <w:r>
              <w:rPr>
                <w:rFonts w:hint="eastAsia" w:ascii="楷体_GB2312" w:eastAsia="楷体_GB2312" w:cs="楷体_GB2312"/>
                <w:color w:val="000000" w:themeColor="text1"/>
                <w:sz w:val="20"/>
                <w:szCs w:val="20"/>
                <w14:textFill>
                  <w14:solidFill>
                    <w14:schemeClr w14:val="tx1"/>
                  </w14:solidFill>
                </w14:textFill>
              </w:rPr>
              <w:t>为准</w:t>
            </w:r>
            <w:r>
              <w:rPr>
                <w:rFonts w:ascii="楷体_GB2312" w:eastAsia="楷体_GB2312" w:cs="楷体_GB2312"/>
                <w:color w:val="000000" w:themeColor="text1"/>
                <w:sz w:val="20"/>
                <w:szCs w:val="20"/>
                <w14:textFill>
                  <w14:solidFill>
                    <w14:schemeClr w14:val="tx1"/>
                  </w14:solidFill>
                </w14:textFill>
              </w:rPr>
              <w:t>。</w:t>
            </w:r>
          </w:p>
        </w:tc>
      </w:tr>
      <w:tr w14:paraId="416B6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389408B4">
            <w:pPr>
              <w:spacing w:line="300" w:lineRule="exact"/>
              <w:ind w:left="-2" w:leftChars="-1" w:right="36" w:rightChars="15"/>
              <w:rPr>
                <w:rFonts w:ascii="Times New Roman" w:eastAsia="楷体_GB2312" w:cs="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投资者</w:t>
            </w:r>
            <w:r>
              <w:rPr>
                <w:rFonts w:ascii="Times New Roman" w:eastAsia="楷体_GB2312" w:cs="楷体_GB2312"/>
                <w:color w:val="000000" w:themeColor="text1"/>
                <w:sz w:val="20"/>
                <w:szCs w:val="20"/>
                <w14:textFill>
                  <w14:solidFill>
                    <w14:schemeClr w14:val="tx1"/>
                  </w14:solidFill>
                </w14:textFill>
              </w:rPr>
              <w:t>理财交易账户</w:t>
            </w:r>
          </w:p>
        </w:tc>
        <w:tc>
          <w:tcPr>
            <w:tcW w:w="3740" w:type="pct"/>
            <w:vAlign w:val="center"/>
          </w:tcPr>
          <w:p w14:paraId="70A69A96">
            <w:pPr>
              <w:spacing w:line="300" w:lineRule="exact"/>
              <w:ind w:right="36" w:rightChars="15"/>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销售机构为投资者开立的、记录投资者通过该销售机构办理认购、申购、赎回、转换、转托管及定期定额投资等业务导致理财份额变动及结余情况的账户。</w:t>
            </w:r>
            <w:r>
              <w:rPr>
                <w:rFonts w:ascii="楷体_GB2312" w:eastAsia="楷体_GB2312" w:cs="楷体_GB2312"/>
                <w:color w:val="000000" w:themeColor="text1"/>
                <w:sz w:val="20"/>
                <w:szCs w:val="20"/>
                <w14:textFill>
                  <w14:solidFill>
                    <w14:schemeClr w14:val="tx1"/>
                  </w14:solidFill>
                </w14:textFill>
              </w:rPr>
              <w:t>具体</w:t>
            </w:r>
            <w:r>
              <w:rPr>
                <w:rFonts w:hint="eastAsia" w:ascii="楷体_GB2312" w:eastAsia="楷体_GB2312" w:cs="楷体_GB2312"/>
                <w:color w:val="000000" w:themeColor="text1"/>
                <w:sz w:val="20"/>
                <w:szCs w:val="20"/>
                <w14:textFill>
                  <w14:solidFill>
                    <w14:schemeClr w14:val="tx1"/>
                  </w14:solidFill>
                </w14:textFill>
              </w:rPr>
              <w:t>开户</w:t>
            </w:r>
            <w:r>
              <w:rPr>
                <w:rFonts w:ascii="楷体_GB2312" w:eastAsia="楷体_GB2312" w:cs="楷体_GB2312"/>
                <w:color w:val="000000" w:themeColor="text1"/>
                <w:sz w:val="20"/>
                <w:szCs w:val="20"/>
                <w14:textFill>
                  <w14:solidFill>
                    <w14:schemeClr w14:val="tx1"/>
                  </w14:solidFill>
                </w14:textFill>
              </w:rPr>
              <w:t>流程应</w:t>
            </w:r>
            <w:r>
              <w:rPr>
                <w:rFonts w:hint="eastAsia" w:ascii="楷体_GB2312" w:eastAsia="楷体_GB2312" w:cs="楷体_GB2312"/>
                <w:color w:val="000000" w:themeColor="text1"/>
                <w:sz w:val="20"/>
                <w:szCs w:val="20"/>
                <w14:textFill>
                  <w14:solidFill>
                    <w14:schemeClr w14:val="tx1"/>
                  </w14:solidFill>
                </w14:textFill>
              </w:rPr>
              <w:t>遵守</w:t>
            </w:r>
            <w:r>
              <w:rPr>
                <w:rFonts w:ascii="楷体_GB2312" w:eastAsia="楷体_GB2312" w:cs="楷体_GB2312"/>
                <w:color w:val="000000" w:themeColor="text1"/>
                <w:sz w:val="20"/>
                <w:szCs w:val="20"/>
                <w14:textFill>
                  <w14:solidFill>
                    <w14:schemeClr w14:val="tx1"/>
                  </w14:solidFill>
                </w14:textFill>
              </w:rPr>
              <w:t>信银理财或代销机构</w:t>
            </w:r>
            <w:r>
              <w:rPr>
                <w:rFonts w:hint="eastAsia" w:ascii="楷体_GB2312" w:eastAsia="楷体_GB2312" w:cs="楷体_GB2312"/>
                <w:color w:val="000000" w:themeColor="text1"/>
                <w:sz w:val="20"/>
                <w:szCs w:val="20"/>
                <w14:textFill>
                  <w14:solidFill>
                    <w14:schemeClr w14:val="tx1"/>
                  </w14:solidFill>
                </w14:textFill>
              </w:rPr>
              <w:t>网点</w:t>
            </w:r>
            <w:r>
              <w:rPr>
                <w:rFonts w:ascii="楷体_GB2312" w:eastAsia="楷体_GB2312" w:cs="楷体_GB2312"/>
                <w:color w:val="000000" w:themeColor="text1"/>
                <w:sz w:val="20"/>
                <w:szCs w:val="20"/>
                <w14:textFill>
                  <w14:solidFill>
                    <w14:schemeClr w14:val="tx1"/>
                  </w14:solidFill>
                </w14:textFill>
              </w:rPr>
              <w:t>或线上办理要求。</w:t>
            </w:r>
          </w:p>
        </w:tc>
      </w:tr>
      <w:tr w14:paraId="65148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260" w:type="pct"/>
            <w:vAlign w:val="center"/>
          </w:tcPr>
          <w:p w14:paraId="54872A19">
            <w:pPr>
              <w:spacing w:line="300" w:lineRule="exact"/>
              <w:ind w:left="-2" w:leftChars="-1" w:right="36" w:rightChars="15"/>
              <w:rPr>
                <w:rFonts w:eastAsia="楷体_GB2312"/>
                <w:color w:val="000000" w:themeColor="text1"/>
                <w:sz w:val="20"/>
                <w:szCs w:val="20"/>
                <w14:textFill>
                  <w14:solidFill>
                    <w14:schemeClr w14:val="tx1"/>
                  </w14:solidFill>
                </w14:textFill>
              </w:rPr>
            </w:pPr>
            <w:r>
              <w:rPr>
                <w:rFonts w:hint="eastAsia" w:ascii="Times New Roman" w:eastAsia="楷体_GB2312" w:cs="楷体_GB2312"/>
                <w:color w:val="000000" w:themeColor="text1"/>
                <w:sz w:val="20"/>
                <w:szCs w:val="20"/>
                <w14:textFill>
                  <w14:solidFill>
                    <w14:schemeClr w14:val="tx1"/>
                  </w14:solidFill>
                </w14:textFill>
              </w:rPr>
              <w:t>信息披露</w:t>
            </w:r>
          </w:p>
        </w:tc>
        <w:tc>
          <w:tcPr>
            <w:tcW w:w="3740" w:type="pct"/>
            <w:vAlign w:val="center"/>
          </w:tcPr>
          <w:p w14:paraId="3E0B7443">
            <w:pPr>
              <w:pStyle w:val="19"/>
              <w:numPr>
                <w:ilvl w:val="3"/>
                <w:numId w:val="3"/>
              </w:numPr>
              <w:spacing w:line="300" w:lineRule="exact"/>
              <w:ind w:left="427" w:right="36" w:rightChars="15" w:hanging="42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信银理财将通过【信银理财官方网站（</w:t>
            </w:r>
            <w:r>
              <w:fldChar w:fldCharType="begin"/>
            </w:r>
            <w:r>
              <w:instrText xml:space="preserve"> HYPERLINK "http://www.citic-wealth.com" </w:instrText>
            </w:r>
            <w:r>
              <w:fldChar w:fldCharType="separate"/>
            </w:r>
            <w:r>
              <w:rPr>
                <w:rStyle w:val="11"/>
                <w:rFonts w:ascii="楷体_GB2312" w:eastAsia="楷体_GB2312" w:cs="楷体_GB2312"/>
                <w:sz w:val="20"/>
                <w:szCs w:val="20"/>
              </w:rPr>
              <w:t>http://www.citic-wealth.com</w:t>
            </w:r>
            <w:r>
              <w:rPr>
                <w:rStyle w:val="11"/>
                <w:rFonts w:ascii="楷体_GB2312" w:eastAsia="楷体_GB2312" w:cs="楷体_GB2312"/>
                <w:sz w:val="20"/>
                <w:szCs w:val="20"/>
              </w:rPr>
              <w:fldChar w:fldCharType="end"/>
            </w:r>
            <w:r>
              <w:rPr>
                <w:rFonts w:hint="eastAsia" w:ascii="楷体_GB2312" w:eastAsia="楷体_GB2312" w:cs="楷体_GB2312"/>
                <w:color w:val="000000" w:themeColor="text1"/>
                <w:sz w:val="20"/>
                <w:szCs w:val="20"/>
                <w14:textFill>
                  <w14:solidFill>
                    <w14:schemeClr w14:val="tx1"/>
                  </w14:solidFill>
                </w14:textFill>
              </w:rPr>
              <w:t>）】披露本理财产品的各类信息。</w:t>
            </w:r>
          </w:p>
          <w:p w14:paraId="584994CB">
            <w:pPr>
              <w:pStyle w:val="19"/>
              <w:numPr>
                <w:ilvl w:val="3"/>
                <w:numId w:val="3"/>
              </w:numPr>
              <w:spacing w:line="300" w:lineRule="exact"/>
              <w:ind w:left="427" w:right="36" w:rightChars="15" w:hanging="42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本理财产品存续期间内，信银理财有权提前【</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个工作日向投资者发出通知，以符合监管规定的方式对说明书条款进行补充、说明和修改，投资者不接受的，可于最近一个开放日赎回理财产品。信银理财有权根据情况决定增加临时开放日。信银理财根据法律法规、监管规定的强制性要求对产品说明书做出修改的，无须取得投资者同意。</w:t>
            </w:r>
          </w:p>
          <w:p w14:paraId="39098C7F">
            <w:pPr>
              <w:pStyle w:val="19"/>
              <w:numPr>
                <w:ilvl w:val="3"/>
                <w:numId w:val="3"/>
              </w:numPr>
              <w:spacing w:line="300" w:lineRule="exact"/>
              <w:ind w:left="427" w:right="36" w:rightChars="15" w:hanging="42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如信银理财</w:t>
            </w:r>
            <w:r>
              <w:rPr>
                <w:rFonts w:ascii="楷体_GB2312" w:eastAsia="楷体_GB2312" w:cs="楷体_GB2312"/>
                <w:color w:val="000000" w:themeColor="text1"/>
                <w:sz w:val="20"/>
                <w:szCs w:val="20"/>
                <w14:textFill>
                  <w14:solidFill>
                    <w14:schemeClr w14:val="tx1"/>
                  </w14:solidFill>
                </w14:textFill>
              </w:rPr>
              <w:t>决定理财产品不成立，将在决定本理财产品不成立后的【2】</w:t>
            </w:r>
            <w:r>
              <w:rPr>
                <w:rFonts w:hint="eastAsia" w:ascii="楷体_GB2312" w:eastAsia="楷体_GB2312" w:cs="楷体_GB2312"/>
                <w:color w:val="000000" w:themeColor="text1"/>
                <w:sz w:val="20"/>
                <w:szCs w:val="20"/>
                <w14:textFill>
                  <w14:solidFill>
                    <w14:schemeClr w14:val="tx1"/>
                  </w14:solidFill>
                </w14:textFill>
              </w:rPr>
              <w:t>个</w:t>
            </w:r>
            <w:r>
              <w:rPr>
                <w:rFonts w:ascii="楷体_GB2312" w:eastAsia="楷体_GB2312" w:cs="楷体_GB2312"/>
                <w:color w:val="000000" w:themeColor="text1"/>
                <w:sz w:val="20"/>
                <w:szCs w:val="20"/>
                <w14:textFill>
                  <w14:solidFill>
                    <w14:schemeClr w14:val="tx1"/>
                  </w14:solidFill>
                </w14:textFill>
              </w:rPr>
              <w:t>工作日内向投资者发布信息。</w:t>
            </w:r>
          </w:p>
          <w:p w14:paraId="21F1F311">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如信银理财</w:t>
            </w:r>
            <w:r>
              <w:rPr>
                <w:rFonts w:ascii="楷体_GB2312" w:eastAsia="楷体_GB2312" w:cs="楷体_GB2312"/>
                <w:color w:val="000000" w:themeColor="text1"/>
                <w:sz w:val="20"/>
                <w:szCs w:val="20"/>
                <w14:textFill>
                  <w14:solidFill>
                    <w14:schemeClr w14:val="tx1"/>
                  </w14:solidFill>
                </w14:textFill>
              </w:rPr>
              <w:t>决定提前结束募集期或延长募集期的，将在决定调整募集期后的【2】</w:t>
            </w:r>
            <w:r>
              <w:rPr>
                <w:rFonts w:hint="eastAsia" w:ascii="楷体_GB2312" w:eastAsia="楷体_GB2312" w:cs="楷体_GB2312"/>
                <w:color w:val="000000" w:themeColor="text1"/>
                <w:sz w:val="20"/>
                <w:szCs w:val="20"/>
                <w14:textFill>
                  <w14:solidFill>
                    <w14:schemeClr w14:val="tx1"/>
                  </w14:solidFill>
                </w14:textFill>
              </w:rPr>
              <w:t>个</w:t>
            </w:r>
            <w:r>
              <w:rPr>
                <w:rFonts w:ascii="楷体_GB2312" w:eastAsia="楷体_GB2312" w:cs="楷体_GB2312"/>
                <w:color w:val="000000" w:themeColor="text1"/>
                <w:sz w:val="20"/>
                <w:szCs w:val="20"/>
                <w14:textFill>
                  <w14:solidFill>
                    <w14:schemeClr w14:val="tx1"/>
                  </w14:solidFill>
                </w14:textFill>
              </w:rPr>
              <w:t>工作日内向投资者发布相关信息。</w:t>
            </w:r>
          </w:p>
          <w:p w14:paraId="269A3595">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信银理财将在本产品成立后【</w:t>
            </w:r>
            <w:r>
              <w:rPr>
                <w:rFonts w:ascii="楷体_GB2312" w:eastAsia="楷体_GB2312" w:cs="楷体_GB2312"/>
                <w:color w:val="000000" w:themeColor="text1"/>
                <w:sz w:val="20"/>
                <w:szCs w:val="20"/>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个</w:t>
            </w:r>
            <w:r>
              <w:rPr>
                <w:rFonts w:ascii="楷体_GB2312" w:eastAsia="楷体_GB2312" w:cs="楷体_GB2312"/>
                <w:color w:val="000000" w:themeColor="text1"/>
                <w:sz w:val="20"/>
                <w:szCs w:val="20"/>
                <w14:textFill>
                  <w14:solidFill>
                    <w14:schemeClr w14:val="tx1"/>
                  </w14:solidFill>
                </w14:textFill>
              </w:rPr>
              <w:t>工作日内披露发行公告。</w:t>
            </w:r>
          </w:p>
          <w:p w14:paraId="7ADFC544">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本产品成立后，信银理财</w:t>
            </w:r>
            <w:r>
              <w:rPr>
                <w:rFonts w:ascii="楷体_GB2312" w:eastAsia="楷体_GB2312" w:cs="楷体_GB2312"/>
                <w:color w:val="000000" w:themeColor="text1"/>
                <w:sz w:val="20"/>
                <w:szCs w:val="20"/>
                <w14:textFill>
                  <w14:solidFill>
                    <w14:schemeClr w14:val="tx1"/>
                  </w14:solidFill>
                </w14:textFill>
              </w:rPr>
              <w:t>将在每个开放日结束后【2】</w:t>
            </w:r>
            <w:r>
              <w:rPr>
                <w:rFonts w:hint="eastAsia" w:ascii="楷体_GB2312" w:eastAsia="楷体_GB2312" w:cs="楷体_GB2312"/>
                <w:color w:val="000000" w:themeColor="text1"/>
                <w:sz w:val="20"/>
                <w:szCs w:val="20"/>
                <w14:textFill>
                  <w14:solidFill>
                    <w14:schemeClr w14:val="tx1"/>
                  </w14:solidFill>
                </w14:textFill>
              </w:rPr>
              <w:t>个</w:t>
            </w:r>
            <w:r>
              <w:rPr>
                <w:rFonts w:ascii="楷体_GB2312" w:eastAsia="楷体_GB2312" w:cs="楷体_GB2312"/>
                <w:color w:val="000000" w:themeColor="text1"/>
                <w:sz w:val="20"/>
                <w:szCs w:val="20"/>
                <w14:textFill>
                  <w14:solidFill>
                    <w14:schemeClr w14:val="tx1"/>
                  </w14:solidFill>
                </w14:textFill>
              </w:rPr>
              <w:t>工作日内，披露该开放日的份额净值、份额累计净值、认购/申购价格和赎回价格。</w:t>
            </w:r>
          </w:p>
          <w:p w14:paraId="12AD6A7A">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如本产品合作销售机构有新增、减少和变更，信银理财将提前【</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个工作日内向投资者发布相关信息。</w:t>
            </w:r>
          </w:p>
          <w:p w14:paraId="07B7A6CE">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如信银理财决定提前终止本产品，将于提前终止日前【</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个工作日向投资者发布相关信息。</w:t>
            </w:r>
          </w:p>
          <w:p w14:paraId="50DF3362">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如本产品需延期清算，将于原定到期日前【</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个工作日内向投资者发布相关信息。</w:t>
            </w:r>
          </w:p>
          <w:p w14:paraId="18907F0A">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信银理财将在本产品终止（包括到期和提前终止）日后【</w:t>
            </w:r>
            <w:r>
              <w:rPr>
                <w:rFonts w:ascii="楷体_GB2312" w:eastAsia="楷体_GB2312" w:cs="楷体_GB2312"/>
                <w:color w:val="000000" w:themeColor="text1"/>
                <w:sz w:val="20"/>
                <w:szCs w:val="20"/>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个工作日内，向投资者披露到期公告，包括到期日产</w:t>
            </w:r>
            <w:r>
              <w:rPr>
                <w:rFonts w:ascii="楷体_GB2312" w:eastAsia="楷体_GB2312" w:cs="楷体_GB2312"/>
                <w:color w:val="000000" w:themeColor="text1"/>
                <w:sz w:val="20"/>
                <w:szCs w:val="20"/>
                <w14:textFill>
                  <w14:solidFill>
                    <w14:schemeClr w14:val="tx1"/>
                  </w14:solidFill>
                </w14:textFill>
              </w:rPr>
              <w:t>品单位净值在内的到期相关信息。</w:t>
            </w:r>
          </w:p>
          <w:p w14:paraId="233ABD3A">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管理人在运用收取短期赎回费、摆动定价等措施后，将在【</w:t>
            </w:r>
            <w:r>
              <w:rPr>
                <w:rFonts w:ascii="楷体_GB2312" w:eastAsia="楷体_GB2312" w:cs="楷体_GB2312"/>
                <w:color w:val="000000" w:themeColor="text1"/>
                <w:sz w:val="20"/>
                <w:szCs w:val="20"/>
                <w14:textFill>
                  <w14:solidFill>
                    <w14:schemeClr w14:val="tx1"/>
                  </w14:solidFill>
                </w14:textFill>
              </w:rPr>
              <w:t>3】个交易日内告知投资者；在运用暂停或拒绝认/申购、延期办理巨额赎回申请、暂停或拒绝接受赎回申请、延缓支付赎回款项、暂停理财产品估值等措施后，【3】个交易日内告知投资者，并说明运用相关措施的原因、拟采取的应对安排等。在发生涉及理财产品认购、赎回事项调整或潜在影响投资者赎回等事项时，及时发布临时公告。</w:t>
            </w:r>
          </w:p>
          <w:p w14:paraId="356D6F43">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如因实际投资运作需要等因素，管理人有权增加或调整开放日和到期日，并最迟于增加或调整生效前【2】个工作日向投资者发布相关信息。</w:t>
            </w:r>
          </w:p>
          <w:p w14:paraId="7F8ED3BE">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在产品存续期间，信银理财根据市场情况对投资范围、投资品种或投资比例进行调整的，将提前【</w:t>
            </w:r>
            <w:r>
              <w:rPr>
                <w:rFonts w:ascii="楷体_GB2312" w:eastAsia="楷体_GB2312" w:cs="楷体_GB2312"/>
                <w:color w:val="000000" w:themeColor="text1"/>
                <w:sz w:val="20"/>
                <w:szCs w:val="20"/>
                <w14:textFill>
                  <w14:solidFill>
                    <w14:schemeClr w14:val="tx1"/>
                  </w14:solidFill>
                </w14:textFill>
              </w:rPr>
              <w:t>2】个工作日告知投资者。</w:t>
            </w:r>
          </w:p>
          <w:p w14:paraId="53F2445C">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如因法律法规、规范性文件的规定或市场变化等原因，信银理财确需调整本产品说明书项下收费标准的，应在变更生效前【</w:t>
            </w:r>
            <w:r>
              <w:rPr>
                <w:rFonts w:ascii="楷体_GB2312" w:eastAsia="楷体_GB2312"/>
                <w:color w:val="000000" w:themeColor="text1"/>
                <w:sz w:val="20"/>
                <w:szCs w:val="20"/>
                <w14:textFill>
                  <w14:solidFill>
                    <w14:schemeClr w14:val="tx1"/>
                  </w14:solidFill>
                </w14:textFill>
              </w:rPr>
              <w:t>2】</w:t>
            </w:r>
            <w:r>
              <w:rPr>
                <w:rFonts w:hint="eastAsia" w:ascii="楷体_GB2312" w:eastAsia="楷体_GB2312"/>
                <w:color w:val="000000" w:themeColor="text1"/>
                <w:sz w:val="20"/>
                <w:szCs w:val="20"/>
                <w14:textFill>
                  <w14:solidFill>
                    <w14:schemeClr w14:val="tx1"/>
                  </w14:solidFill>
                </w14:textFill>
              </w:rPr>
              <w:t>个</w:t>
            </w:r>
            <w:r>
              <w:rPr>
                <w:rFonts w:ascii="楷体_GB2312" w:eastAsia="楷体_GB2312"/>
                <w:color w:val="000000" w:themeColor="text1"/>
                <w:sz w:val="20"/>
                <w:szCs w:val="20"/>
                <w14:textFill>
                  <w14:solidFill>
                    <w14:schemeClr w14:val="tx1"/>
                  </w14:solidFill>
                </w14:textFill>
              </w:rPr>
              <w:t>工作日告知投资者。</w:t>
            </w:r>
          </w:p>
          <w:p w14:paraId="50E045D1">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本产品存续期间，如因市场重大变化导致投资比例暂时超出本说明书约定的投资比例区间且可能对理财产品收益产生重大影响的，信银理财将在【2】个工作日内告知投资者。</w:t>
            </w:r>
          </w:p>
          <w:p w14:paraId="336980FA">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hAnsi="Times New Roman" w:eastAsia="楷体_GB2312" w:cs="楷体_GB2312"/>
                <w:color w:val="000000" w:themeColor="text1"/>
                <w:sz w:val="20"/>
                <w:szCs w:val="20"/>
                <w14:textFill>
                  <w14:solidFill>
                    <w14:schemeClr w14:val="tx1"/>
                  </w14:solidFill>
                </w14:textFill>
              </w:rPr>
              <w:t>本产品存续期间，信银理财每【月】向投资者提供本产品的理财产品账单，投资者可以通过信银理财营业网点等渠道进行查询，也可致电信银理财客户服务热线咨询。投资者通过合作销售机构购买本产品的，可以通过合作销售机构的手机银行、网上银行、营业网点等渠道进行查询，具体查询方式以代销机构规则为准。产品账单内容包括但不限于投资者持有本产品份额、认购金额、份额净值、份额累计净值、净资产、收益情况、投资者理财交易账户发生的交易明细记录等。</w:t>
            </w:r>
          </w:p>
          <w:p w14:paraId="5C689A7B">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本产品存续期间，信银理财</w:t>
            </w:r>
            <w:r>
              <w:rPr>
                <w:rFonts w:ascii="楷体_GB2312" w:eastAsia="楷体_GB2312" w:cs="楷体_GB2312"/>
                <w:color w:val="000000" w:themeColor="text1"/>
                <w:sz w:val="20"/>
                <w:szCs w:val="20"/>
                <w14:textFill>
                  <w14:solidFill>
                    <w14:schemeClr w14:val="tx1"/>
                  </w14:solidFill>
                </w14:textFill>
              </w:rPr>
              <w:t>将向投资者发布定期报告，包括但不限于季度、半年和年度报告。理财产品成立不足90日或者剩余存续期不超过90日的，管理人可以不编制理财产品当期的季度、半年和年度报告。管理人将在理财产品季度、半年和年度报告中披露理财产品组合资产情况及其流动性风险分析等。</w:t>
            </w:r>
          </w:p>
          <w:p w14:paraId="797ABBA1">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在本理财产品存续</w:t>
            </w:r>
            <w:r>
              <w:rPr>
                <w:rFonts w:ascii="楷体_GB2312" w:eastAsia="楷体_GB2312" w:cs="楷体_GB2312"/>
                <w:color w:val="000000" w:themeColor="text1"/>
                <w:sz w:val="20"/>
                <w:szCs w:val="20"/>
                <w14:textFill>
                  <w14:solidFill>
                    <w14:schemeClr w14:val="tx1"/>
                  </w14:solidFill>
                </w14:textFill>
              </w:rPr>
              <w:t>期间信银</w:t>
            </w:r>
            <w:r>
              <w:rPr>
                <w:rFonts w:hint="eastAsia" w:ascii="楷体_GB2312" w:eastAsia="楷体_GB2312" w:cs="楷体_GB2312"/>
                <w:color w:val="000000" w:themeColor="text1"/>
                <w:sz w:val="20"/>
                <w:szCs w:val="20"/>
                <w14:textFill>
                  <w14:solidFill>
                    <w14:schemeClr w14:val="tx1"/>
                  </w14:solidFill>
                </w14:textFill>
              </w:rPr>
              <w:t>理财获知并</w:t>
            </w:r>
            <w:r>
              <w:rPr>
                <w:rFonts w:ascii="楷体_GB2312" w:eastAsia="楷体_GB2312" w:cs="楷体_GB2312"/>
                <w:color w:val="000000" w:themeColor="text1"/>
                <w:sz w:val="20"/>
                <w:szCs w:val="20"/>
                <w14:textFill>
                  <w14:solidFill>
                    <w14:schemeClr w14:val="tx1"/>
                  </w14:solidFill>
                </w14:textFill>
              </w:rPr>
              <w:t>经信银理财合理判断认为对本产品、投资者权益、投资收益等有重大影响的事件，将按照法律法规、监管规定及时向投资者发布相关信息。</w:t>
            </w:r>
          </w:p>
          <w:p w14:paraId="0411D0EE">
            <w:pPr>
              <w:pStyle w:val="19"/>
              <w:numPr>
                <w:ilvl w:val="0"/>
                <w:numId w:val="1"/>
              </w:numPr>
              <w:spacing w:line="300" w:lineRule="exact"/>
              <w:ind w:right="36" w:rightChars="15" w:firstLineChars="0"/>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法律法规、规范性文件、监管政策规定或本说明书约定其他应向投资者进行信息披露的情形的，信银理财</w:t>
            </w:r>
            <w:r>
              <w:rPr>
                <w:rFonts w:ascii="楷体_GB2312" w:eastAsia="楷体_GB2312" w:cs="楷体_GB2312"/>
                <w:color w:val="000000" w:themeColor="text1"/>
                <w:sz w:val="20"/>
                <w:szCs w:val="20"/>
                <w14:textFill>
                  <w14:solidFill>
                    <w14:schemeClr w14:val="tx1"/>
                  </w14:solidFill>
                </w14:textFill>
              </w:rPr>
              <w:t>将根据上述规定向投资者发布相关信息。</w:t>
            </w:r>
          </w:p>
        </w:tc>
      </w:tr>
    </w:tbl>
    <w:p w14:paraId="5A9F96A0">
      <w:pPr>
        <w:snapToGrid w:val="0"/>
        <w:ind w:right="53" w:rightChars="22"/>
        <w:outlineLvl w:val="0"/>
        <w:rPr>
          <w:rFonts w:ascii="黑体" w:hAnsi="Times New Roman" w:eastAsia="黑体" w:cs="黑体"/>
          <w:color w:val="000000" w:themeColor="text1"/>
          <w:sz w:val="20"/>
          <w:szCs w:val="20"/>
          <w14:textFill>
            <w14:solidFill>
              <w14:schemeClr w14:val="tx1"/>
            </w14:solidFill>
          </w14:textFill>
        </w:rPr>
      </w:pPr>
    </w:p>
    <w:p w14:paraId="5929AF54">
      <w:pPr>
        <w:snapToGrid w:val="0"/>
        <w:ind w:left="-2" w:leftChars="-1" w:right="53" w:rightChars="22"/>
        <w:outlineLvl w:val="0"/>
        <w:rPr>
          <w:b/>
          <w:color w:val="000000" w:themeColor="text1"/>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三、理财产品管理人</w:t>
      </w:r>
    </w:p>
    <w:p w14:paraId="61029C14">
      <w:pPr>
        <w:pStyle w:val="19"/>
        <w:spacing w:line="300" w:lineRule="exact"/>
        <w:ind w:firstLine="402"/>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本理财产品的投资管理人为信银理财。信银理财接受客户的委托和授权，按照本产品说明书约定的投资方向和方式进行投资和资产管理，投资者在此授权并同意信银理财享有以下权利：</w:t>
      </w:r>
    </w:p>
    <w:p w14:paraId="5D407C78">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b/>
          <w:color w:val="000000" w:themeColor="text1"/>
          <w:sz w:val="20"/>
          <w:szCs w:val="20"/>
          <w14:textFill>
            <w14:solidFill>
              <w14:schemeClr w14:val="tx1"/>
            </w14:solidFill>
          </w14:textFill>
        </w:rPr>
        <w:t>按照理财产品说明书的约定，管理、运用和处分理财资金。</w:t>
      </w:r>
    </w:p>
    <w:p w14:paraId="7C6F37E9">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代表理财产品签订投资和资产管理过程中涉及到的协议、合同等文本。</w:t>
      </w:r>
    </w:p>
    <w:p w14:paraId="41710939">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以理财产品投资管理人的名义，依照法律法规相关规定以及为理财产品投资者的利益，对被投资的信托计划、资管计划、各类基金（含公募基金和私募基金）、公司/企业等各类投资对象行使出资人/投资者权利（包括但不限于表决投票的权利）以及行使因理财产品财产投资于证券类基础资产（含债券、股票等）或其他基础资产（包括但不限于债权类资产）所产生的相关权利。</w:t>
      </w:r>
    </w:p>
    <w:p w14:paraId="04D5239D">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b/>
          <w:color w:val="000000" w:themeColor="text1"/>
          <w:sz w:val="20"/>
          <w:szCs w:val="20"/>
          <w14:textFill>
            <w14:solidFill>
              <w14:schemeClr w14:val="tx1"/>
            </w14:solidFill>
          </w14:textFill>
        </w:rPr>
        <w:t>以理财产品投资管理人的名义，依照法律法规相关规定以及代表理财产品投资者的利益行使代为追索的权利（包括但不限于提起诉讼/仲裁、申请保全/执行的权利）或者实施风险处置，行使、放弃、变更相关权利义务等其他法律行为，产生的合理费用由理财产品承担。</w:t>
      </w:r>
    </w:p>
    <w:p w14:paraId="7C25CB3F">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按照理财产品说明书的约定，及时、足额获得投资管理费和本产品说明书约定的其他费用（如有）。</w:t>
      </w:r>
    </w:p>
    <w:p w14:paraId="13EE2C65">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管理人以其固有财产先行垫付因处理本理财产品相关事务所支出的费用及税费的，对理财产品资金享有优先受偿的权利。</w:t>
      </w:r>
    </w:p>
    <w:p w14:paraId="2FBCCA17">
      <w:pPr>
        <w:pStyle w:val="19"/>
        <w:numPr>
          <w:ilvl w:val="0"/>
          <w:numId w:val="4"/>
        </w:numPr>
        <w:spacing w:line="300" w:lineRule="exact"/>
        <w:ind w:firstLineChars="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管理人有权按照法律规定和监管机构的要求将投资者的信息向有权部门或相关机构披露。</w:t>
      </w:r>
    </w:p>
    <w:p w14:paraId="6C415633">
      <w:pPr>
        <w:spacing w:line="300" w:lineRule="exact"/>
        <w:ind w:left="-2" w:leftChars="-1" w:right="36" w:rightChars="15" w:firstLine="400" w:firstLineChars="200"/>
        <w:rPr>
          <w:rFonts w:ascii="楷体_GB2312" w:eastAsia="楷体_GB2312"/>
          <w:color w:val="000000" w:themeColor="text1"/>
          <w:sz w:val="20"/>
          <w:szCs w:val="20"/>
          <w14:textFill>
            <w14:solidFill>
              <w14:schemeClr w14:val="tx1"/>
            </w14:solidFill>
          </w14:textFill>
        </w:rPr>
      </w:pPr>
    </w:p>
    <w:p w14:paraId="47754B27">
      <w:pPr>
        <w:spacing w:line="300" w:lineRule="exact"/>
        <w:ind w:left="-2" w:leftChars="-1" w:right="36" w:rightChars="15"/>
        <w:rPr>
          <w:rFonts w:ascii="黑体" w:hAnsi="Times New Roman" w:eastAsia="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四、理财</w:t>
      </w:r>
      <w:r>
        <w:rPr>
          <w:rFonts w:ascii="黑体" w:hAnsi="Times New Roman" w:eastAsia="黑体" w:cs="黑体"/>
          <w:color w:val="000000" w:themeColor="text1"/>
          <w:sz w:val="20"/>
          <w:szCs w:val="20"/>
          <w14:textFill>
            <w14:solidFill>
              <w14:schemeClr w14:val="tx1"/>
            </w14:solidFill>
          </w14:textFill>
        </w:rPr>
        <w:t>产品的认购、</w:t>
      </w:r>
      <w:r>
        <w:rPr>
          <w:rFonts w:hint="eastAsia" w:ascii="黑体" w:hAnsi="Times New Roman" w:eastAsia="黑体" w:cs="黑体"/>
          <w:color w:val="000000" w:themeColor="text1"/>
          <w:sz w:val="20"/>
          <w:szCs w:val="20"/>
          <w14:textFill>
            <w14:solidFill>
              <w14:schemeClr w14:val="tx1"/>
            </w14:solidFill>
          </w14:textFill>
        </w:rPr>
        <w:t>申购</w:t>
      </w:r>
    </w:p>
    <w:p w14:paraId="3EB38DC2">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．投资者</w:t>
      </w:r>
      <w:r>
        <w:rPr>
          <w:rFonts w:ascii="楷体_GB2312" w:eastAsia="楷体_GB2312" w:cs="楷体_GB2312"/>
          <w:color w:val="000000" w:themeColor="text1"/>
          <w:sz w:val="20"/>
          <w:szCs w:val="20"/>
          <w14:textFill>
            <w14:solidFill>
              <w14:schemeClr w14:val="tx1"/>
            </w14:solidFill>
          </w14:textFill>
        </w:rPr>
        <w:t>可在</w:t>
      </w:r>
      <w:r>
        <w:rPr>
          <w:rFonts w:hint="eastAsia" w:ascii="楷体_GB2312" w:eastAsia="楷体_GB2312" w:cs="楷体_GB2312"/>
          <w:color w:val="000000" w:themeColor="text1"/>
          <w:sz w:val="20"/>
          <w:szCs w:val="20"/>
          <w14:textFill>
            <w14:solidFill>
              <w14:schemeClr w14:val="tx1"/>
            </w14:solidFill>
          </w14:textFill>
        </w:rPr>
        <w:t>本产品募集期内</w:t>
      </w:r>
      <w:r>
        <w:rPr>
          <w:rFonts w:ascii="楷体_GB2312" w:eastAsia="楷体_GB2312" w:cs="楷体_GB2312"/>
          <w:color w:val="000000" w:themeColor="text1"/>
          <w:sz w:val="20"/>
          <w:szCs w:val="20"/>
          <w14:textFill>
            <w14:solidFill>
              <w14:schemeClr w14:val="tx1"/>
            </w14:solidFill>
          </w14:textFill>
        </w:rPr>
        <w:t>进行认购</w:t>
      </w:r>
      <w:r>
        <w:rPr>
          <w:rFonts w:hint="eastAsia" w:ascii="楷体_GB2312" w:eastAsia="楷体_GB2312" w:cs="楷体_GB2312"/>
          <w:color w:val="000000" w:themeColor="text1"/>
          <w:sz w:val="20"/>
          <w:szCs w:val="20"/>
          <w14:textFill>
            <w14:solidFill>
              <w14:schemeClr w14:val="tx1"/>
            </w14:solidFill>
          </w14:textFill>
        </w:rPr>
        <w:t>。</w:t>
      </w:r>
    </w:p>
    <w:p w14:paraId="51E8CFA0">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本产品采取金额认购</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方式，认购份额</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人民币认购金额×（</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认购费率）</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元，认购份额按照四舍五入方法计算，保留小数点后【2】位，由此误差产生的损失由理财财产承担，产生的收益归理财财产所有。</w:t>
      </w:r>
    </w:p>
    <w:p w14:paraId="0665095A">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sz w:val="20"/>
          <w:szCs w:val="20"/>
        </w:rPr>
        <w:t>募集期结束后的第一个工作</w:t>
      </w:r>
      <w:r>
        <w:rPr>
          <w:rFonts w:ascii="楷体_GB2312" w:eastAsia="楷体_GB2312" w:cs="楷体_GB2312"/>
          <w:sz w:val="20"/>
          <w:szCs w:val="20"/>
        </w:rPr>
        <w:t>日</w:t>
      </w:r>
      <w:r>
        <w:rPr>
          <w:rFonts w:ascii="楷体_GB2312" w:eastAsia="楷体_GB2312" w:cs="楷体_GB2312"/>
          <w:color w:val="000000" w:themeColor="text1"/>
          <w:sz w:val="20"/>
          <w:szCs w:val="20"/>
          <w14:textFill>
            <w14:solidFill>
              <w14:schemeClr w14:val="tx1"/>
            </w14:solidFill>
          </w14:textFill>
        </w:rPr>
        <w:t>】为认购份额确认日，</w:t>
      </w:r>
      <w:r>
        <w:rPr>
          <w:rFonts w:hint="eastAsia" w:ascii="楷体_GB2312" w:eastAsia="楷体_GB2312" w:cs="楷体_GB2312"/>
          <w:color w:val="000000" w:themeColor="text1"/>
          <w:sz w:val="20"/>
          <w:szCs w:val="20"/>
          <w14:textFill>
            <w14:solidFill>
              <w14:schemeClr w14:val="tx1"/>
            </w14:solidFill>
          </w14:textFill>
        </w:rPr>
        <w:t>认购</w:t>
      </w:r>
      <w:r>
        <w:rPr>
          <w:rFonts w:ascii="楷体_GB2312" w:eastAsia="楷体_GB2312" w:cs="楷体_GB2312"/>
          <w:color w:val="000000" w:themeColor="text1"/>
          <w:sz w:val="20"/>
          <w:szCs w:val="20"/>
          <w14:textFill>
            <w14:solidFill>
              <w14:schemeClr w14:val="tx1"/>
            </w14:solidFill>
          </w14:textFill>
        </w:rPr>
        <w:t>份额确认日后投资者可向</w:t>
      </w:r>
      <w:r>
        <w:rPr>
          <w:rFonts w:hint="eastAsia" w:ascii="楷体_GB2312" w:eastAsia="楷体_GB2312" w:cs="楷体_GB2312"/>
          <w:color w:val="000000" w:themeColor="text1"/>
          <w:sz w:val="20"/>
          <w:szCs w:val="20"/>
          <w14:textFill>
            <w14:solidFill>
              <w14:schemeClr w14:val="tx1"/>
            </w14:solidFill>
          </w14:textFill>
        </w:rPr>
        <w:t>销售机构</w:t>
      </w:r>
      <w:r>
        <w:rPr>
          <w:rFonts w:ascii="楷体_GB2312" w:eastAsia="楷体_GB2312" w:cs="楷体_GB2312"/>
          <w:color w:val="000000" w:themeColor="text1"/>
          <w:sz w:val="20"/>
          <w:szCs w:val="20"/>
          <w14:textFill>
            <w14:solidFill>
              <w14:schemeClr w14:val="tx1"/>
            </w14:solidFill>
          </w14:textFill>
        </w:rPr>
        <w:t>查询认购是否成功。</w:t>
      </w:r>
    </w:p>
    <w:p w14:paraId="1667A7ED">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．投资者可在本产品开放日的交易时间内进行</w:t>
      </w:r>
      <w:r>
        <w:rPr>
          <w:rFonts w:ascii="楷体_GB2312" w:eastAsia="楷体_GB2312" w:cs="楷体_GB2312"/>
          <w:color w:val="000000" w:themeColor="text1"/>
          <w:sz w:val="20"/>
          <w:szCs w:val="20"/>
          <w14:textFill>
            <w14:solidFill>
              <w14:schemeClr w14:val="tx1"/>
            </w14:solidFill>
          </w14:textFill>
        </w:rPr>
        <w:t>申购，</w:t>
      </w:r>
      <w:r>
        <w:rPr>
          <w:rFonts w:hint="eastAsia" w:ascii="楷体_GB2312" w:eastAsia="楷体_GB2312" w:cs="楷体_GB2312"/>
          <w:sz w:val="20"/>
          <w:szCs w:val="20"/>
        </w:rPr>
        <w:t>同时可在开放日的交易时间内对提交的申购申请进行撤销，开放日是否可以撤单以及撤单规则，如合作销售机构</w:t>
      </w:r>
      <w:r>
        <w:rPr>
          <w:rFonts w:ascii="楷体_GB2312" w:eastAsia="楷体_GB2312" w:cs="楷体_GB2312"/>
          <w:sz w:val="20"/>
          <w:szCs w:val="20"/>
        </w:rPr>
        <w:t>/代销机构另有规定的，以合作销售机构/代销机构为准</w:t>
      </w:r>
      <w:r>
        <w:rPr>
          <w:rFonts w:hint="eastAsia" w:ascii="楷体_GB2312" w:eastAsia="楷体_GB2312" w:cs="楷体_GB2312"/>
          <w:color w:val="000000" w:themeColor="text1"/>
          <w:sz w:val="20"/>
          <w:szCs w:val="20"/>
          <w14:textFill>
            <w14:solidFill>
              <w14:schemeClr w14:val="tx1"/>
            </w14:solidFill>
          </w14:textFill>
        </w:rPr>
        <w:t>。非交易时间提交的申购申请将于下一个申购开放日正式受理，</w:t>
      </w:r>
      <w:r>
        <w:rPr>
          <w:rFonts w:ascii="楷体_GB2312" w:eastAsia="楷体_GB2312" w:cs="楷体_GB2312"/>
          <w:color w:val="000000" w:themeColor="text1"/>
          <w:sz w:val="20"/>
          <w:szCs w:val="20"/>
          <w14:textFill>
            <w14:solidFill>
              <w14:schemeClr w14:val="tx1"/>
            </w14:solidFill>
          </w14:textFill>
        </w:rPr>
        <w:t>代销机构</w:t>
      </w:r>
      <w:r>
        <w:rPr>
          <w:rFonts w:hint="eastAsia" w:ascii="楷体_GB2312" w:eastAsia="楷体_GB2312" w:cs="楷体_GB2312"/>
          <w:color w:val="000000" w:themeColor="text1"/>
          <w:sz w:val="20"/>
          <w:szCs w:val="20"/>
          <w14:textFill>
            <w14:solidFill>
              <w14:schemeClr w14:val="tx1"/>
            </w14:solidFill>
          </w14:textFill>
        </w:rPr>
        <w:t>有</w:t>
      </w:r>
      <w:r>
        <w:rPr>
          <w:rFonts w:ascii="楷体_GB2312" w:eastAsia="楷体_GB2312" w:cs="楷体_GB2312"/>
          <w:color w:val="000000" w:themeColor="text1"/>
          <w:sz w:val="20"/>
          <w:szCs w:val="20"/>
          <w14:textFill>
            <w14:solidFill>
              <w14:schemeClr w14:val="tx1"/>
            </w14:solidFill>
          </w14:textFill>
        </w:rPr>
        <w:t>另行规定的，以代销机构的规定为准</w:t>
      </w:r>
      <w:r>
        <w:rPr>
          <w:rFonts w:hint="eastAsia" w:ascii="楷体_GB2312" w:eastAsia="楷体_GB2312" w:cs="楷体_GB2312"/>
          <w:color w:val="000000" w:themeColor="text1"/>
          <w:sz w:val="20"/>
          <w:szCs w:val="20"/>
          <w14:textFill>
            <w14:solidFill>
              <w14:schemeClr w14:val="tx1"/>
            </w14:solidFill>
          </w14:textFill>
        </w:rPr>
        <w:t>。本产品按金额申购，按【申购开放</w:t>
      </w:r>
      <w:r>
        <w:rPr>
          <w:rFonts w:ascii="楷体_GB2312" w:eastAsia="楷体_GB2312" w:cs="楷体_GB2312"/>
          <w:color w:val="000000" w:themeColor="text1"/>
          <w:sz w:val="20"/>
          <w:szCs w:val="20"/>
          <w14:textFill>
            <w14:solidFill>
              <w14:schemeClr w14:val="tx1"/>
            </w14:solidFill>
          </w14:textFill>
        </w:rPr>
        <w:t>日</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单位净值计算申购份额，即申购份额＝申购金额×（</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申购费率）</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【申购开放</w:t>
      </w:r>
      <w:r>
        <w:rPr>
          <w:rFonts w:ascii="楷体_GB2312" w:eastAsia="楷体_GB2312" w:cs="楷体_GB2312"/>
          <w:color w:val="000000" w:themeColor="text1"/>
          <w:sz w:val="20"/>
          <w:szCs w:val="20"/>
          <w14:textFill>
            <w14:solidFill>
              <w14:schemeClr w14:val="tx1"/>
            </w14:solidFill>
          </w14:textFill>
        </w:rPr>
        <w:t>日</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单位净值（申购份额按照四舍五入方法计算，保留小数点后【2】位，由此误差产生的损失由理财财产承担，产生的收益归理财财产所有）。</w:t>
      </w:r>
    </w:p>
    <w:p w14:paraId="6D8D77E0">
      <w:pPr>
        <w:spacing w:line="300" w:lineRule="exact"/>
        <w:ind w:firstLine="400" w:firstLineChars="200"/>
        <w:jc w:val="both"/>
        <w:rPr>
          <w:rFonts w:ascii="楷体_GB2312" w:eastAsia="楷体_GB2312" w:cs="楷体_GB2312"/>
          <w:color w:val="000000" w:themeColor="text1"/>
          <w:sz w:val="20"/>
          <w:szCs w:val="20"/>
          <w:u w:val="single"/>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例如，【</w:t>
      </w:r>
      <w:r>
        <w:rPr>
          <w:rFonts w:hint="eastAsia" w:ascii="楷体_GB2312" w:eastAsia="楷体_GB2312" w:cs="楷体_GB2312"/>
          <w:sz w:val="20"/>
          <w:szCs w:val="20"/>
        </w:rPr>
        <w:t>某开放日投资者以</w:t>
      </w:r>
      <w:r>
        <w:rPr>
          <w:rFonts w:ascii="楷体_GB2312" w:eastAsia="楷体_GB2312" w:cs="楷体_GB2312"/>
          <w:sz w:val="20"/>
          <w:szCs w:val="20"/>
        </w:rPr>
        <w:t>500万元申购本产品份额，申购费率为0%，开放日单位净值为1.010，则投资者获得的申购份额=5,000,000×（1-0%）/1.010=4,950,495.05份</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w:t>
      </w:r>
    </w:p>
    <w:p w14:paraId="4E9F2ED6">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上述示例采用假设数据计算，并不代表投资者实际可获得的份额。）</w:t>
      </w:r>
    </w:p>
    <w:p w14:paraId="739E3978">
      <w:pPr>
        <w:spacing w:line="300" w:lineRule="exact"/>
        <w:ind w:firstLine="400" w:firstLineChars="200"/>
        <w:jc w:val="both"/>
        <w:rPr>
          <w:rFonts w:ascii="楷体_GB2312" w:eastAsia="楷体_GB2312" w:cs="楷体_GB2312"/>
          <w:sz w:val="20"/>
          <w:szCs w:val="20"/>
        </w:rPr>
      </w:pPr>
      <w:r>
        <w:rPr>
          <w:rFonts w:ascii="楷体_GB2312" w:eastAsia="楷体_GB2312" w:cs="楷体_GB2312"/>
          <w:color w:val="000000" w:themeColor="text1"/>
          <w:sz w:val="20"/>
          <w:szCs w:val="20"/>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sz w:val="20"/>
          <w:szCs w:val="20"/>
        </w:rPr>
        <w:t>【申购申请正式受理的开放日后第一个工作日】即为申购份额确认日，投资者可在申购</w:t>
      </w:r>
      <w:r>
        <w:rPr>
          <w:rFonts w:ascii="楷体_GB2312" w:eastAsia="楷体_GB2312" w:cs="楷体_GB2312"/>
          <w:sz w:val="20"/>
          <w:szCs w:val="20"/>
        </w:rPr>
        <w:t>份额</w:t>
      </w:r>
      <w:r>
        <w:rPr>
          <w:rFonts w:hint="eastAsia" w:ascii="楷体_GB2312" w:eastAsia="楷体_GB2312" w:cs="楷体_GB2312"/>
          <w:sz w:val="20"/>
          <w:szCs w:val="20"/>
        </w:rPr>
        <w:t>确认日后向销售机构查询申购是否成功。当日交易</w:t>
      </w:r>
      <w:r>
        <w:rPr>
          <w:rFonts w:ascii="楷体_GB2312" w:eastAsia="楷体_GB2312" w:cs="楷体_GB2312"/>
          <w:sz w:val="20"/>
          <w:szCs w:val="20"/>
        </w:rPr>
        <w:t>时间内提交且</w:t>
      </w:r>
      <w:r>
        <w:rPr>
          <w:rFonts w:hint="eastAsia" w:ascii="楷体_GB2312" w:eastAsia="楷体_GB2312" w:cs="楷体_GB2312"/>
          <w:sz w:val="20"/>
          <w:szCs w:val="20"/>
        </w:rPr>
        <w:t>有效</w:t>
      </w:r>
      <w:r>
        <w:rPr>
          <w:rFonts w:ascii="楷体_GB2312" w:eastAsia="楷体_GB2312" w:cs="楷体_GB2312"/>
          <w:sz w:val="20"/>
          <w:szCs w:val="20"/>
        </w:rPr>
        <w:t>的</w:t>
      </w:r>
      <w:r>
        <w:rPr>
          <w:rFonts w:hint="eastAsia" w:ascii="楷体_GB2312" w:eastAsia="楷体_GB2312" w:cs="楷体_GB2312"/>
          <w:sz w:val="20"/>
          <w:szCs w:val="20"/>
        </w:rPr>
        <w:t>申购申请对应的份额自下一个工作日起享有分配权。</w:t>
      </w:r>
    </w:p>
    <w:p w14:paraId="1F56A9B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6．</w:t>
      </w:r>
      <w:r>
        <w:rPr>
          <w:rFonts w:hint="eastAsia" w:ascii="楷体_GB2312" w:eastAsia="楷体_GB2312" w:cs="楷体_GB2312"/>
          <w:color w:val="000000" w:themeColor="text1"/>
          <w:sz w:val="20"/>
          <w:szCs w:val="20"/>
          <w14:textFill>
            <w14:solidFill>
              <w14:schemeClr w14:val="tx1"/>
            </w14:solidFill>
          </w14:textFill>
        </w:rPr>
        <w:t>投资者通过代销机构购买理财产品的，代销机构受理认购申请并不表示对该申请成功的确认，而仅代表收到了认购申请，申请是否成功应以管理人的最终确认为准。管理人会将确认结果及时反馈给代销机构，投资者应及时按照本产品说明书的约定查询认购申请及认购份额的确认情况。</w:t>
      </w:r>
    </w:p>
    <w:p w14:paraId="55A7B8C9">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7</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投资者通过代销机构购买理财产品的，代销机构受理申购申请并不表示对该申请成功的确认，而仅代表收到了申购申请，申请是否成功应以管理人的最终确认为准。管理人会将确认结果及时反馈给代销机构，投资者应及时按照本产品说明书的约定查询申购确认结果。</w:t>
      </w:r>
    </w:p>
    <w:p w14:paraId="72346392">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8</w:t>
      </w:r>
      <w:r>
        <w:rPr>
          <w:rFonts w:hint="eastAsia" w:ascii="楷体_GB2312" w:eastAsia="楷体_GB2312" w:cs="楷体_GB2312"/>
          <w:color w:val="000000" w:themeColor="text1"/>
          <w:sz w:val="20"/>
          <w:szCs w:val="20"/>
          <w14:textFill>
            <w14:solidFill>
              <w14:schemeClr w14:val="tx1"/>
            </w14:solidFill>
          </w14:textFill>
        </w:rPr>
        <w:t>．管理人保留不接受认、申购申请的权利。</w:t>
      </w:r>
    </w:p>
    <w:p w14:paraId="333EA672">
      <w:pPr>
        <w:spacing w:line="300" w:lineRule="exact"/>
        <w:ind w:left="-2" w:leftChars="-1" w:right="36" w:rightChars="15" w:firstLine="400" w:firstLineChars="200"/>
        <w:rPr>
          <w:rFonts w:ascii="楷体_GB2312" w:eastAsia="楷体_GB2312" w:cs="楷体_GB2312"/>
          <w:color w:val="000000" w:themeColor="text1"/>
          <w:sz w:val="20"/>
          <w:szCs w:val="20"/>
          <w14:textFill>
            <w14:solidFill>
              <w14:schemeClr w14:val="tx1"/>
            </w14:solidFill>
          </w14:textFill>
        </w:rPr>
      </w:pPr>
    </w:p>
    <w:p w14:paraId="081B6BBC">
      <w:pPr>
        <w:spacing w:line="300" w:lineRule="exact"/>
        <w:ind w:left="-2" w:leftChars="-1" w:right="36" w:rightChars="15"/>
        <w:jc w:val="both"/>
        <w:rPr>
          <w:color w:val="000000" w:themeColor="text1"/>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五、理财产品的赎回</w:t>
      </w:r>
    </w:p>
    <w:p w14:paraId="2075BA95">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．本产品按份额赎回，</w:t>
      </w:r>
      <w:r>
        <w:rPr>
          <w:rFonts w:ascii="楷体_GB2312" w:eastAsia="楷体_GB2312" w:cs="楷体_GB2312"/>
          <w:color w:val="000000" w:themeColor="text1"/>
          <w:sz w:val="20"/>
          <w:szCs w:val="20"/>
          <w14:textFill>
            <w14:solidFill>
              <w14:schemeClr w14:val="tx1"/>
            </w14:solidFill>
          </w14:textFill>
        </w:rPr>
        <w:t>B类份额单次最低赎回份额为【0.01】份，G类份额单次最低赎回份额为【0.01】份，H类份额单次最低赎回份额为【0.01】份</w:t>
      </w:r>
      <w:r>
        <w:rPr>
          <w:rFonts w:hint="eastAsia" w:ascii="楷体_GB2312" w:eastAsia="楷体_GB2312" w:cs="楷体_GB2312"/>
          <w:color w:val="000000" w:themeColor="text1"/>
          <w:sz w:val="20"/>
          <w:szCs w:val="20"/>
          <w14:textFill>
            <w14:solidFill>
              <w14:schemeClr w14:val="tx1"/>
            </w14:solidFill>
          </w14:textFill>
        </w:rPr>
        <w:t>。</w:t>
      </w:r>
    </w:p>
    <w:p w14:paraId="24EAD54E">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 xml:space="preserve">. </w:t>
      </w:r>
      <w:r>
        <w:rPr>
          <w:rFonts w:ascii="楷体_GB2312" w:eastAsia="楷体_GB2312" w:cs="楷体_GB2312"/>
          <w:color w:val="000000" w:themeColor="text1"/>
          <w:sz w:val="20"/>
          <w:szCs w:val="20"/>
          <w14:textFill>
            <w14:solidFill>
              <w14:schemeClr w14:val="tx1"/>
            </w14:solidFill>
          </w14:textFill>
        </w:rPr>
        <w:t>投资者可</w:t>
      </w:r>
      <w:r>
        <w:rPr>
          <w:rFonts w:hint="eastAsia" w:ascii="楷体_GB2312" w:eastAsia="楷体_GB2312" w:cs="楷体_GB2312"/>
          <w:color w:val="000000" w:themeColor="text1"/>
          <w:sz w:val="20"/>
          <w:szCs w:val="20"/>
          <w14:textFill>
            <w14:solidFill>
              <w14:schemeClr w14:val="tx1"/>
            </w14:solidFill>
          </w14:textFill>
        </w:rPr>
        <w:t>在</w:t>
      </w:r>
      <w:r>
        <w:rPr>
          <w:rFonts w:ascii="楷体_GB2312" w:eastAsia="楷体_GB2312" w:cs="楷体_GB2312"/>
          <w:color w:val="000000" w:themeColor="text1"/>
          <w:sz w:val="20"/>
          <w:szCs w:val="20"/>
          <w14:textFill>
            <w14:solidFill>
              <w14:schemeClr w14:val="tx1"/>
            </w14:solidFill>
          </w14:textFill>
        </w:rPr>
        <w:t>本产品开放日的</w:t>
      </w:r>
      <w:r>
        <w:rPr>
          <w:rFonts w:hint="eastAsia" w:ascii="楷体_GB2312" w:eastAsia="楷体_GB2312" w:cs="楷体_GB2312"/>
          <w:color w:val="000000" w:themeColor="text1"/>
          <w:sz w:val="20"/>
          <w:szCs w:val="20"/>
          <w14:textFill>
            <w14:solidFill>
              <w14:schemeClr w14:val="tx1"/>
            </w14:solidFill>
          </w14:textFill>
        </w:rPr>
        <w:t>交易</w:t>
      </w:r>
      <w:r>
        <w:rPr>
          <w:rFonts w:ascii="楷体_GB2312" w:eastAsia="楷体_GB2312" w:cs="楷体_GB2312"/>
          <w:color w:val="000000" w:themeColor="text1"/>
          <w:sz w:val="20"/>
          <w:szCs w:val="20"/>
          <w14:textFill>
            <w14:solidFill>
              <w14:schemeClr w14:val="tx1"/>
            </w14:solidFill>
          </w14:textFill>
        </w:rPr>
        <w:t>时间内</w:t>
      </w:r>
      <w:r>
        <w:rPr>
          <w:rFonts w:hint="eastAsia" w:ascii="楷体_GB2312" w:eastAsia="楷体_GB2312" w:cs="楷体_GB2312"/>
          <w:color w:val="000000" w:themeColor="text1"/>
          <w:sz w:val="20"/>
          <w:szCs w:val="20"/>
          <w14:textFill>
            <w14:solidFill>
              <w14:schemeClr w14:val="tx1"/>
            </w14:solidFill>
          </w14:textFill>
        </w:rPr>
        <w:t>申请</w:t>
      </w:r>
      <w:r>
        <w:rPr>
          <w:rFonts w:ascii="楷体_GB2312" w:eastAsia="楷体_GB2312" w:cs="楷体_GB2312"/>
          <w:color w:val="000000" w:themeColor="text1"/>
          <w:sz w:val="20"/>
          <w:szCs w:val="20"/>
          <w14:textFill>
            <w14:solidFill>
              <w14:schemeClr w14:val="tx1"/>
            </w14:solidFill>
          </w14:textFill>
        </w:rPr>
        <w:t>赎回（</w:t>
      </w:r>
      <w:r>
        <w:rPr>
          <w:rFonts w:hint="eastAsia" w:ascii="楷体_GB2312" w:eastAsia="楷体_GB2312" w:cs="楷体_GB2312"/>
          <w:color w:val="000000" w:themeColor="text1"/>
          <w:sz w:val="20"/>
          <w:szCs w:val="20"/>
          <w14:textFill>
            <w14:solidFill>
              <w14:schemeClr w14:val="tx1"/>
            </w14:solidFill>
          </w14:textFill>
        </w:rPr>
        <w:t>设置最短持有期的产品份额，须在超过最短持有期后</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，同时可在开放日的交易时间内对提交的赎回申请进行撤销，开放日是否可以撤单以及撤单规则，如合作销售机构</w:t>
      </w:r>
      <w:r>
        <w:rPr>
          <w:rFonts w:ascii="楷体_GB2312" w:eastAsia="楷体_GB2312" w:cs="楷体_GB2312"/>
          <w:color w:val="000000" w:themeColor="text1"/>
          <w:sz w:val="20"/>
          <w:szCs w:val="20"/>
          <w14:textFill>
            <w14:solidFill>
              <w14:schemeClr w14:val="tx1"/>
            </w14:solidFill>
          </w14:textFill>
        </w:rPr>
        <w:t>/代销机构另有规定的，以合作销售机构/代销机构为准。</w:t>
      </w:r>
    </w:p>
    <w:p w14:paraId="168DB19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．投资者在进行份额赎回时，</w:t>
      </w:r>
    </w:p>
    <w:p w14:paraId="318C8E08">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赎回金额</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赎回份额×【</w:t>
      </w:r>
      <w:r>
        <w:rPr>
          <w:rFonts w:hint="eastAsia" w:ascii="楷体_GB2312" w:eastAsia="楷体_GB2312" w:cs="楷体_GB2312"/>
          <w:sz w:val="20"/>
          <w:szCs w:val="20"/>
        </w:rPr>
        <w:t>赎回开放</w:t>
      </w:r>
      <w:r>
        <w:rPr>
          <w:rFonts w:hint="eastAsia" w:ascii="楷体_GB2312" w:eastAsia="楷体_GB2312" w:cs="楷体_GB2312"/>
          <w:color w:val="000000" w:themeColor="text1"/>
          <w:sz w:val="20"/>
          <w:szCs w:val="20"/>
          <w14:textFill>
            <w14:solidFill>
              <w14:schemeClr w14:val="tx1"/>
            </w14:solidFill>
          </w14:textFill>
        </w:rPr>
        <w:t>日】</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单位净值×（</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赎回费率）-</w:t>
      </w:r>
      <w:r>
        <w:rPr>
          <w:rFonts w:ascii="楷体_GB2312" w:eastAsia="楷体_GB2312" w:cs="楷体_GB2312"/>
          <w:color w:val="000000" w:themeColor="text1"/>
          <w:sz w:val="20"/>
          <w:szCs w:val="20"/>
          <w14:textFill>
            <w14:solidFill>
              <w14:schemeClr w14:val="tx1"/>
            </w14:solidFill>
          </w14:textFill>
        </w:rPr>
        <w:t>应付浮动管理费（</w:t>
      </w:r>
      <w:r>
        <w:rPr>
          <w:rFonts w:hint="eastAsia" w:ascii="楷体_GB2312" w:eastAsia="楷体_GB2312" w:cs="楷体_GB2312"/>
          <w:color w:val="000000" w:themeColor="text1"/>
          <w:sz w:val="20"/>
          <w:szCs w:val="20"/>
          <w14:textFill>
            <w14:solidFill>
              <w14:schemeClr w14:val="tx1"/>
            </w14:solidFill>
          </w14:textFill>
        </w:rPr>
        <w:t>如有</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w:t>
      </w:r>
    </w:p>
    <w:p w14:paraId="2B576056">
      <w:pPr>
        <w:spacing w:line="300" w:lineRule="exact"/>
        <w:ind w:firstLine="400" w:firstLineChars="200"/>
        <w:jc w:val="both"/>
        <w:rPr>
          <w:rFonts w:ascii="楷体_GB2312" w:eastAsia="楷体_GB2312"/>
          <w:sz w:val="20"/>
          <w:szCs w:val="20"/>
        </w:rPr>
      </w:pPr>
      <w:r>
        <w:rPr>
          <w:rFonts w:hint="eastAsia" w:ascii="楷体_GB2312" w:eastAsia="楷体_GB2312" w:cs="楷体_GB2312"/>
          <w:color w:val="000000" w:themeColor="text1"/>
          <w:sz w:val="20"/>
          <w:szCs w:val="20"/>
          <w14:textFill>
            <w14:solidFill>
              <w14:schemeClr w14:val="tx1"/>
            </w14:solidFill>
          </w14:textFill>
        </w:rPr>
        <w:t>赎回金额按照四舍五入原则保留至小数点后【2】位，由此误差产生的损失由理财财产承担，产生的收益归理财财产所有。</w:t>
      </w:r>
      <w:r>
        <w:rPr>
          <w:rFonts w:hint="eastAsia" w:ascii="楷体_GB2312" w:eastAsia="楷体_GB2312" w:cs="楷体_GB2312"/>
          <w:sz w:val="20"/>
          <w:szCs w:val="20"/>
        </w:rPr>
        <w:t>当理财产品份额全部被赎回时，为保证投资者利益，管理人有权调整单位净值小数点取位规则。</w:t>
      </w:r>
    </w:p>
    <w:p w14:paraId="47BC8914">
      <w:pPr>
        <w:spacing w:line="300" w:lineRule="exact"/>
        <w:ind w:right="36" w:rightChars="15"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例如，【某开放日T日投资者成功申购本产品500万份，于T+1日确认申购，之后于开放日T+3日成功申购本产品200万份，于T+4日确认申购，根据赎回规则，投资者可于T+91（含）之后的每个工作日对T日申购的500万份产品发起赎回，T+94日（含）之后的每个工作日对T+3日申购的200万份产品发起赎回。某开放日投资者成功赎回所持有500万份本产品份额，该开放日本产品单位净值为1.1000，赎回费率为0%，则投资者获得的赎回金额=5,000,000.00×1.1000=5,500,000.00元】。</w:t>
      </w:r>
    </w:p>
    <w:p w14:paraId="582281B0">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 xml:space="preserve"> (</w:t>
      </w:r>
      <w:r>
        <w:rPr>
          <w:rFonts w:hint="eastAsia" w:ascii="楷体_GB2312" w:eastAsia="楷体_GB2312" w:cs="楷体_GB2312"/>
          <w:color w:val="000000" w:themeColor="text1"/>
          <w:sz w:val="20"/>
          <w:szCs w:val="20"/>
          <w14:textFill>
            <w14:solidFill>
              <w14:schemeClr w14:val="tx1"/>
            </w14:solidFill>
          </w14:textFill>
        </w:rPr>
        <w:t>上述示例采用假设数据计算，并不代表投资者实际可获得的赎回金额。）</w:t>
      </w:r>
    </w:p>
    <w:p w14:paraId="534E2AC5">
      <w:pPr>
        <w:spacing w:line="300" w:lineRule="exact"/>
        <w:ind w:firstLine="400" w:firstLineChars="200"/>
        <w:jc w:val="both"/>
        <w:rPr>
          <w:rFonts w:ascii="楷体_GB2312" w:eastAsia="楷体_GB2312" w:cs="楷体_GB2312"/>
          <w:sz w:val="20"/>
          <w:szCs w:val="20"/>
        </w:rPr>
      </w:pPr>
      <w:r>
        <w:rPr>
          <w:rFonts w:hint="eastAsia" w:ascii="楷体_GB2312" w:eastAsia="楷体_GB2312"/>
          <w:color w:val="000000" w:themeColor="text1"/>
          <w:sz w:val="20"/>
          <w:szCs w:val="20"/>
          <w14:textFill>
            <w14:solidFill>
              <w14:schemeClr w14:val="tx1"/>
            </w14:solidFill>
          </w14:textFill>
        </w:rPr>
        <w:t>4</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sz w:val="20"/>
          <w:szCs w:val="20"/>
        </w:rPr>
        <w:t>【赎回申请正式受理的开放日后第一个工作日】即为赎回确认日，赎回份额确认日后投资者可向销售机构查询赎回是否成功。管理人</w:t>
      </w:r>
      <w:r>
        <w:rPr>
          <w:rFonts w:ascii="楷体_GB2312" w:eastAsia="楷体_GB2312"/>
          <w:sz w:val="20"/>
          <w:szCs w:val="20"/>
        </w:rPr>
        <w:t>按照“</w:t>
      </w:r>
      <w:r>
        <w:rPr>
          <w:rFonts w:hint="eastAsia" w:ascii="楷体_GB2312" w:eastAsia="楷体_GB2312"/>
          <w:sz w:val="20"/>
          <w:szCs w:val="20"/>
        </w:rPr>
        <w:t>先进</w:t>
      </w:r>
      <w:r>
        <w:rPr>
          <w:rFonts w:ascii="楷体_GB2312" w:eastAsia="楷体_GB2312"/>
          <w:sz w:val="20"/>
          <w:szCs w:val="20"/>
        </w:rPr>
        <w:t>先出”</w:t>
      </w:r>
      <w:r>
        <w:rPr>
          <w:rFonts w:hint="eastAsia" w:ascii="楷体_GB2312" w:eastAsia="楷体_GB2312"/>
          <w:sz w:val="20"/>
          <w:szCs w:val="20"/>
        </w:rPr>
        <w:t>的</w:t>
      </w:r>
      <w:r>
        <w:rPr>
          <w:rFonts w:ascii="楷体_GB2312" w:eastAsia="楷体_GB2312"/>
          <w:sz w:val="20"/>
          <w:szCs w:val="20"/>
        </w:rPr>
        <w:t>原则处理投资者持有份额的赎回，</w:t>
      </w:r>
      <w:r>
        <w:rPr>
          <w:rFonts w:hint="eastAsia" w:ascii="楷体_GB2312" w:eastAsia="楷体_GB2312"/>
          <w:sz w:val="20"/>
          <w:szCs w:val="20"/>
        </w:rPr>
        <w:t>即</w:t>
      </w:r>
      <w:r>
        <w:rPr>
          <w:rFonts w:ascii="楷体_GB2312" w:eastAsia="楷体_GB2312"/>
          <w:sz w:val="20"/>
          <w:szCs w:val="20"/>
        </w:rPr>
        <w:t>份额</w:t>
      </w:r>
      <w:r>
        <w:rPr>
          <w:rFonts w:hint="eastAsia" w:ascii="楷体_GB2312" w:eastAsia="楷体_GB2312"/>
          <w:sz w:val="20"/>
          <w:szCs w:val="20"/>
        </w:rPr>
        <w:t>注册</w:t>
      </w:r>
      <w:r>
        <w:rPr>
          <w:rFonts w:ascii="楷体_GB2312" w:eastAsia="楷体_GB2312"/>
          <w:sz w:val="20"/>
          <w:szCs w:val="20"/>
        </w:rPr>
        <w:t>日期在前的份额先赎回，份额注册日期在后的份额后赎回。</w:t>
      </w:r>
    </w:p>
    <w:p w14:paraId="1077A446">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5</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投资者</w:t>
      </w:r>
      <w:r>
        <w:rPr>
          <w:rFonts w:ascii="楷体_GB2312" w:eastAsia="楷体_GB2312" w:cs="楷体_GB2312"/>
          <w:color w:val="000000" w:themeColor="text1"/>
          <w:sz w:val="20"/>
          <w:szCs w:val="20"/>
          <w14:textFill>
            <w14:solidFill>
              <w14:schemeClr w14:val="tx1"/>
            </w14:solidFill>
          </w14:textFill>
        </w:rPr>
        <w:t>通过代销机构购买理财产品的，</w:t>
      </w:r>
      <w:r>
        <w:rPr>
          <w:rFonts w:hint="eastAsia" w:ascii="楷体_GB2312" w:eastAsia="楷体_GB2312" w:cs="楷体_GB2312"/>
          <w:color w:val="000000" w:themeColor="text1"/>
          <w:sz w:val="20"/>
          <w:szCs w:val="20"/>
          <w14:textFill>
            <w14:solidFill>
              <w14:schemeClr w14:val="tx1"/>
            </w14:solidFill>
          </w14:textFill>
        </w:rPr>
        <w:t>代销机构受理赎回申请并不表示对该申请成功的确认，而仅代表收到了赎回申请，申请是否成功应以管理人的最终确认为准。具体而言，如管理人在赎回确认日根据投资者的赎回确认</w:t>
      </w:r>
      <w:r>
        <w:rPr>
          <w:rFonts w:ascii="楷体_GB2312" w:eastAsia="楷体_GB2312" w:cs="楷体_GB2312"/>
          <w:color w:val="000000" w:themeColor="text1"/>
          <w:sz w:val="20"/>
          <w:szCs w:val="20"/>
          <w14:textFill>
            <w14:solidFill>
              <w14:schemeClr w14:val="tx1"/>
            </w14:solidFill>
          </w14:textFill>
        </w:rPr>
        <w:t>结果为</w:t>
      </w:r>
      <w:r>
        <w:rPr>
          <w:rFonts w:hint="eastAsia" w:ascii="楷体_GB2312" w:eastAsia="楷体_GB2312" w:cs="楷体_GB2312"/>
          <w:color w:val="000000" w:themeColor="text1"/>
          <w:sz w:val="20"/>
          <w:szCs w:val="20"/>
          <w14:textFill>
            <w14:solidFill>
              <w14:schemeClr w14:val="tx1"/>
            </w14:solidFill>
          </w14:textFill>
        </w:rPr>
        <w:t>投资者成功注销赎回份额，则视为投资者的赎回申请成功，并以管理人的登记结果为准。管理人会将赎回确认结果及时反馈给代销机构，投资者应及时按照本产品说明书的约定查询赎回确认结果。</w:t>
      </w:r>
    </w:p>
    <w:p w14:paraId="491BA857">
      <w:pPr>
        <w:spacing w:line="300" w:lineRule="exact"/>
        <w:ind w:firstLine="428" w:firstLineChars="214"/>
        <w:jc w:val="both"/>
        <w:rPr>
          <w:color w:val="000000" w:themeColor="text1"/>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6</w:t>
      </w:r>
      <w:r>
        <w:rPr>
          <w:rFonts w:hint="eastAsia" w:ascii="楷体_GB2312" w:eastAsia="楷体_GB2312" w:cs="楷体_GB2312"/>
          <w:color w:val="000000" w:themeColor="text1"/>
          <w:sz w:val="20"/>
          <w:szCs w:val="20"/>
          <w14:textFill>
            <w14:solidFill>
              <w14:schemeClr w14:val="tx1"/>
            </w14:solidFill>
          </w14:textFill>
        </w:rPr>
        <w:t>．若投资者在开放日全额或部分赎回，管理人将在该开放日后【5】个工作日内支付赎回款项，开放日与资金到账日之间不计利息。若遇证券交易所或交易市场数据传输延迟、通讯系统故障、银行系统故障或其他非人为所能控制因素影响业务流程，则赎回款项划付时间相应顺延至上述情形消除后下一个工作日</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投资者通过</w:t>
      </w:r>
      <w:r>
        <w:rPr>
          <w:rFonts w:ascii="楷体_GB2312" w:eastAsia="楷体_GB2312"/>
          <w:color w:val="000000" w:themeColor="text1"/>
          <w:sz w:val="20"/>
          <w:szCs w:val="20"/>
          <w14:textFill>
            <w14:solidFill>
              <w14:schemeClr w14:val="tx1"/>
            </w14:solidFill>
          </w14:textFill>
        </w:rPr>
        <w:t>代销机构渠道购买理财产品的，理财资金划转至投资者</w:t>
      </w:r>
      <w:r>
        <w:rPr>
          <w:rFonts w:hint="eastAsia" w:ascii="楷体_GB2312" w:eastAsia="楷体_GB2312"/>
          <w:color w:val="000000" w:themeColor="text1"/>
          <w:sz w:val="20"/>
          <w:szCs w:val="20"/>
          <w14:textFill>
            <w14:solidFill>
              <w14:schemeClr w14:val="tx1"/>
            </w14:solidFill>
          </w14:textFill>
        </w:rPr>
        <w:t>账户的</w:t>
      </w:r>
      <w:r>
        <w:rPr>
          <w:rFonts w:ascii="楷体_GB2312" w:eastAsia="楷体_GB2312"/>
          <w:color w:val="000000" w:themeColor="text1"/>
          <w:sz w:val="20"/>
          <w:szCs w:val="20"/>
          <w14:textFill>
            <w14:solidFill>
              <w14:schemeClr w14:val="tx1"/>
            </w14:solidFill>
          </w14:textFill>
        </w:rPr>
        <w:t>时间以代销机构的清算时间为准。</w:t>
      </w:r>
    </w:p>
    <w:p w14:paraId="51510DE8">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7</w:t>
      </w:r>
      <w:r>
        <w:rPr>
          <w:rFonts w:hint="eastAsia" w:ascii="楷体_GB2312" w:eastAsia="楷体_GB2312" w:cs="楷体_GB2312"/>
          <w:color w:val="000000" w:themeColor="text1"/>
          <w:sz w:val="20"/>
          <w:szCs w:val="20"/>
          <w14:textFill>
            <w14:solidFill>
              <w14:schemeClr w14:val="tx1"/>
            </w14:solidFill>
          </w14:textFill>
        </w:rPr>
        <w:t>．管理人保留不接受赎回申请的权利。</w:t>
      </w:r>
    </w:p>
    <w:p w14:paraId="3D91C9DE">
      <w:pPr>
        <w:spacing w:line="300" w:lineRule="exact"/>
        <w:ind w:right="96" w:rightChars="40" w:firstLine="426" w:firstLineChars="213"/>
        <w:rPr>
          <w:rFonts w:ascii="楷体_GB2312" w:eastAsia="楷体_GB2312"/>
          <w:color w:val="000000" w:themeColor="text1"/>
          <w:sz w:val="20"/>
          <w:szCs w:val="20"/>
          <w14:textFill>
            <w14:solidFill>
              <w14:schemeClr w14:val="tx1"/>
            </w14:solidFill>
          </w14:textFill>
        </w:rPr>
      </w:pPr>
    </w:p>
    <w:p w14:paraId="14170FD5">
      <w:pPr>
        <w:spacing w:line="300" w:lineRule="exact"/>
        <w:ind w:left="-2" w:leftChars="-1" w:right="96" w:rightChars="40"/>
        <w:rPr>
          <w:rFonts w:ascii="黑体" w:eastAsia="黑体"/>
          <w:color w:val="000000" w:themeColor="text1"/>
          <w:sz w:val="20"/>
          <w:szCs w:val="20"/>
          <w14:textFill>
            <w14:solidFill>
              <w14:schemeClr w14:val="tx1"/>
            </w14:solidFill>
          </w14:textFill>
        </w:rPr>
      </w:pPr>
      <w:r>
        <w:rPr>
          <w:rFonts w:hint="eastAsia" w:ascii="黑体" w:eastAsia="黑体" w:cs="黑体"/>
          <w:color w:val="000000" w:themeColor="text1"/>
          <w:sz w:val="20"/>
          <w:szCs w:val="20"/>
          <w14:textFill>
            <w14:solidFill>
              <w14:schemeClr w14:val="tx1"/>
            </w14:solidFill>
          </w14:textFill>
        </w:rPr>
        <w:t>六、理财产品的巨额赎回</w:t>
      </w:r>
    </w:p>
    <w:p w14:paraId="74D751D6">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．如某开放日投资者净赎回份额超过本产品上一日终存续总份额的【</w:t>
      </w:r>
      <w:r>
        <w:rPr>
          <w:rFonts w:ascii="楷体_GB2312" w:eastAsia="楷体_GB2312" w:cs="楷体_GB2312"/>
          <w:color w:val="000000" w:themeColor="text1"/>
          <w:sz w:val="20"/>
          <w:szCs w:val="20"/>
          <w14:textFill>
            <w14:solidFill>
              <w14:schemeClr w14:val="tx1"/>
            </w14:solidFill>
          </w14:textFill>
        </w:rPr>
        <w:t>10%</w:t>
      </w:r>
      <w:r>
        <w:rPr>
          <w:rFonts w:hint="eastAsia" w:ascii="楷体_GB2312" w:eastAsia="楷体_GB2312" w:cs="楷体_GB2312"/>
          <w:color w:val="000000" w:themeColor="text1"/>
          <w:sz w:val="20"/>
          <w:szCs w:val="20"/>
          <w14:textFill>
            <w14:solidFill>
              <w14:schemeClr w14:val="tx1"/>
            </w14:solidFill>
          </w14:textFill>
        </w:rPr>
        <w:t>】，则被视为巨额赎回，在巨额赎回的情况下，管理人可以按照法律、行政法规和理财产品销售文件约定，综合运用设置赎回上限、延期办理巨额赎回申请、暂停接受赎回申请、收取短期赎回费、暂停理财产品估值、摆动定价等方式，作为本理财产品流动性风险管理的辅助措施。</w:t>
      </w:r>
    </w:p>
    <w:p w14:paraId="27120FF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2．在巨额赎回情况下，对于超过本产品上一日终存续总份额【10%】以上的赎回申请，管理人有权全部或部分暂停接受或延期办理。</w:t>
      </w:r>
    </w:p>
    <w:p w14:paraId="7C61F7B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1）对于接受办理的部分，可以按照单个投资者的赎回申请占当日申请赎回总份额的比例确定该投资者当日办理的赎回份额；</w:t>
      </w:r>
    </w:p>
    <w:p w14:paraId="4AF4473C">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2）对于不予办理的部分，若投资者在申请赎回时选择将该部分予以撤销的，则该部分份额申请失效，投资者可在下一开放日正常赎回交易时间内重新提交赎回申请；若投资者在申请赎回时未选择将该部分予以撤销的，管理人有权决定对该部分份额申请采取下述任一种处理方式，并按照本说明书约定通知投资者：</w:t>
      </w:r>
    </w:p>
    <w:p w14:paraId="06C2FD07">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a．失效，投资者可在下一开放日正常赎回交易时间内重新提交赎回申请。</w:t>
      </w:r>
    </w:p>
    <w:p w14:paraId="085689B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b．延迟至下一个开放日办理，赎回价格为下一个开放日的价格。</w:t>
      </w:r>
    </w:p>
    <w:p w14:paraId="39CB336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对于不予办理的部分，投资者是否在申请赎回时有选择撤销的权利，以销售机构为准。</w:t>
      </w:r>
    </w:p>
    <w:p w14:paraId="17F73AF3">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．本产品连续【2】个以上开放日（含）发生巨额赎回，管理人有权暂停接受投资者的申购和赎回申请、</w:t>
      </w:r>
      <w:r>
        <w:rPr>
          <w:rFonts w:ascii="楷体_GB2312" w:eastAsia="楷体_GB2312" w:cs="楷体_GB2312"/>
          <w:color w:val="000000" w:themeColor="text1"/>
          <w:sz w:val="20"/>
          <w:szCs w:val="20"/>
          <w14:textFill>
            <w14:solidFill>
              <w14:schemeClr w14:val="tx1"/>
            </w14:solidFill>
          </w14:textFill>
        </w:rPr>
        <w:t>延期办理巨额赎回申请等</w:t>
      </w:r>
      <w:r>
        <w:rPr>
          <w:rFonts w:hint="eastAsia" w:ascii="楷体_GB2312" w:eastAsia="楷体_GB2312" w:cs="楷体_GB2312"/>
          <w:color w:val="000000" w:themeColor="text1"/>
          <w:sz w:val="20"/>
          <w:szCs w:val="20"/>
          <w14:textFill>
            <w14:solidFill>
              <w14:schemeClr w14:val="tx1"/>
            </w14:solidFill>
          </w14:textFill>
        </w:rPr>
        <w:t>。投资者根据管理人披露的开放日可重新进行申购和赎回。</w:t>
      </w:r>
      <w:r>
        <w:rPr>
          <w:rFonts w:ascii="楷体_GB2312" w:eastAsia="楷体_GB2312" w:cs="楷体_GB2312"/>
          <w:color w:val="000000" w:themeColor="text1"/>
          <w:sz w:val="20"/>
          <w:szCs w:val="20"/>
          <w14:textFill>
            <w14:solidFill>
              <w14:schemeClr w14:val="tx1"/>
            </w14:solidFill>
          </w14:textFill>
        </w:rPr>
        <w:t>对于已经接受的赎回申请，</w:t>
      </w:r>
      <w:r>
        <w:rPr>
          <w:rFonts w:hint="eastAsia" w:ascii="楷体_GB2312" w:eastAsia="楷体_GB2312" w:cs="楷体_GB2312"/>
          <w:color w:val="000000" w:themeColor="text1"/>
          <w:sz w:val="20"/>
          <w:szCs w:val="20"/>
          <w14:textFill>
            <w14:solidFill>
              <w14:schemeClr w14:val="tx1"/>
            </w14:solidFill>
          </w14:textFill>
        </w:rPr>
        <w:t>管理人</w:t>
      </w:r>
      <w:r>
        <w:rPr>
          <w:rFonts w:ascii="楷体_GB2312" w:eastAsia="楷体_GB2312" w:cs="楷体_GB2312"/>
          <w:color w:val="000000" w:themeColor="text1"/>
          <w:sz w:val="20"/>
          <w:szCs w:val="20"/>
          <w14:textFill>
            <w14:solidFill>
              <w14:schemeClr w14:val="tx1"/>
            </w14:solidFill>
          </w14:textFill>
        </w:rPr>
        <w:t>还可以延缓支付赎回款项，但延缓期限不得超过20个工作日。</w:t>
      </w:r>
    </w:p>
    <w:p w14:paraId="646B8855">
      <w:pPr>
        <w:spacing w:line="300" w:lineRule="exact"/>
        <w:ind w:right="36" w:rightChars="15"/>
        <w:rPr>
          <w:rFonts w:ascii="楷体_GB2312" w:eastAsia="楷体_GB2312"/>
          <w:color w:val="000000" w:themeColor="text1"/>
          <w:sz w:val="20"/>
          <w:szCs w:val="20"/>
          <w14:textFill>
            <w14:solidFill>
              <w14:schemeClr w14:val="tx1"/>
            </w14:solidFill>
          </w14:textFill>
        </w:rPr>
      </w:pPr>
    </w:p>
    <w:p w14:paraId="4CD1DAA7">
      <w:pPr>
        <w:spacing w:line="300" w:lineRule="exact"/>
        <w:ind w:left="-2" w:leftChars="-1" w:right="96" w:rightChars="40"/>
        <w:rPr>
          <w:rFonts w:ascii="黑体" w:eastAsia="黑体"/>
          <w:color w:val="000000" w:themeColor="text1"/>
          <w:sz w:val="20"/>
          <w:szCs w:val="20"/>
          <w14:textFill>
            <w14:solidFill>
              <w14:schemeClr w14:val="tx1"/>
            </w14:solidFill>
          </w14:textFill>
        </w:rPr>
      </w:pPr>
      <w:r>
        <w:rPr>
          <w:rFonts w:hint="eastAsia" w:ascii="黑体" w:eastAsia="黑体" w:cs="黑体"/>
          <w:color w:val="000000" w:themeColor="text1"/>
          <w:sz w:val="20"/>
          <w:szCs w:val="20"/>
          <w14:textFill>
            <w14:solidFill>
              <w14:schemeClr w14:val="tx1"/>
            </w14:solidFill>
          </w14:textFill>
        </w:rPr>
        <w:t>七、拒绝或暂停接受认、申购或赎回申请、延缓支付赎回款项等情形及处理</w:t>
      </w:r>
    </w:p>
    <w:p w14:paraId="2302CE49">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1</w:t>
      </w:r>
      <w:r>
        <w:rPr>
          <w:rFonts w:ascii="楷体_GB2312" w:eastAsia="楷体_GB2312" w:cs="楷体_GB2312"/>
          <w:color w:val="000000" w:themeColor="text1"/>
          <w:sz w:val="20"/>
          <w:szCs w:val="20"/>
          <w14:textFill>
            <w14:solidFill>
              <w14:schemeClr w14:val="tx1"/>
            </w14:solidFill>
          </w14:textFill>
        </w:rPr>
        <w:t>．为应对流动性风险，保护投资者利益，或基于投资运作与风险控制需要，管理人可以综合运用以下理财产品流动性风险应对措施：（a）认购风险应对措施，包括：设定单一投资者认购金额上限、设定理财产品单日净认购比例上限、拒绝大额认购、暂停认购，以及国务院银行业监督管理机构规定的其他措施。（b）赎回风险应对措施，包括：设置赎回上限、延期办理巨额赎回申请、暂停接受赎回申请、延缓支付赎回款项、收取短期赎回费、暂停理财产品估值、摆动定价，以及国务院银行业监督管理机构规定的其他措施。</w:t>
      </w:r>
    </w:p>
    <w:p w14:paraId="5D147CA3">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．管理人可拒绝接受或暂停接受投资者的认、申购申请的情形包括：</w:t>
      </w:r>
    </w:p>
    <w:p w14:paraId="7316DE54">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）不可抗力或国家经济金融政策发生变化等原因导致本产品无法正常运作；</w:t>
      </w:r>
    </w:p>
    <w:p w14:paraId="2FCDFDDE">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）证券交易场所或银行间债券市场依法决定停市等情形；</w:t>
      </w:r>
    </w:p>
    <w:p w14:paraId="3ED818DD">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）本产品资产规模过大，管理人无法找到合适的投资品种，或继续接受认/申购可能对理财产品业绩产生影响；</w:t>
      </w:r>
    </w:p>
    <w:p w14:paraId="1B80076B">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）当管理人认为某笔认/申购申请会有损于本产品其他份额持有人利益时，或基于</w:t>
      </w:r>
      <w:r>
        <w:rPr>
          <w:rFonts w:ascii="楷体_GB2312" w:eastAsia="楷体_GB2312" w:cs="楷体_GB2312"/>
          <w:color w:val="000000" w:themeColor="text1"/>
          <w:sz w:val="20"/>
          <w:szCs w:val="20"/>
          <w14:textFill>
            <w14:solidFill>
              <w14:schemeClr w14:val="tx1"/>
            </w14:solidFill>
          </w14:textFill>
        </w:rPr>
        <w:t>投资运作和风险控制需要，</w:t>
      </w:r>
      <w:r>
        <w:rPr>
          <w:rFonts w:hint="eastAsia" w:ascii="楷体_GB2312" w:eastAsia="楷体_GB2312" w:cs="楷体_GB2312"/>
          <w:color w:val="000000" w:themeColor="text1"/>
          <w:sz w:val="20"/>
          <w:szCs w:val="20"/>
          <w14:textFill>
            <w14:solidFill>
              <w14:schemeClr w14:val="tx1"/>
            </w14:solidFill>
          </w14:textFill>
        </w:rPr>
        <w:t>可拒绝该笔认/申购申请；</w:t>
      </w:r>
    </w:p>
    <w:p w14:paraId="510C1365">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5</w:t>
      </w:r>
      <w:r>
        <w:rPr>
          <w:rFonts w:hint="eastAsia" w:ascii="楷体_GB2312" w:eastAsia="楷体_GB2312" w:cs="楷体_GB2312"/>
          <w:color w:val="000000" w:themeColor="text1"/>
          <w:sz w:val="20"/>
          <w:szCs w:val="20"/>
          <w14:textFill>
            <w14:solidFill>
              <w14:schemeClr w14:val="tx1"/>
            </w14:solidFill>
          </w14:textFill>
        </w:rPr>
        <w:t>）当投资者认/申购金额将导致单笔认/申购金额上限、单个投资者持仓上限、计划募集金额上限、产品规模上限等各指标超限时，或单笔认/申购金额不足认/申购金额起点</w:t>
      </w:r>
      <w:r>
        <w:rPr>
          <w:rFonts w:ascii="楷体_GB2312" w:eastAsia="楷体_GB2312" w:cs="楷体_GB2312"/>
          <w:color w:val="000000" w:themeColor="text1"/>
          <w:sz w:val="20"/>
          <w:szCs w:val="20"/>
          <w14:textFill>
            <w14:solidFill>
              <w14:schemeClr w14:val="tx1"/>
            </w14:solidFill>
          </w14:textFill>
        </w:rPr>
        <w:t>金额时，</w:t>
      </w:r>
      <w:r>
        <w:rPr>
          <w:rFonts w:hint="eastAsia" w:ascii="楷体_GB2312" w:eastAsia="楷体_GB2312" w:cs="楷体_GB2312"/>
          <w:color w:val="000000" w:themeColor="text1"/>
          <w:sz w:val="20"/>
          <w:szCs w:val="20"/>
          <w14:textFill>
            <w14:solidFill>
              <w14:schemeClr w14:val="tx1"/>
            </w14:solidFill>
          </w14:textFill>
        </w:rPr>
        <w:t>管理人有权拒绝投资者的认/申购申请；</w:t>
      </w:r>
    </w:p>
    <w:p w14:paraId="7001557A">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（6</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发生本</w:t>
      </w:r>
      <w:r>
        <w:rPr>
          <w:rFonts w:ascii="楷体_GB2312" w:eastAsia="楷体_GB2312" w:cs="楷体_GB2312"/>
          <w:color w:val="000000" w:themeColor="text1"/>
          <w:sz w:val="20"/>
          <w:szCs w:val="20"/>
          <w14:textFill>
            <w14:solidFill>
              <w14:schemeClr w14:val="tx1"/>
            </w14:solidFill>
          </w14:textFill>
        </w:rPr>
        <w:t>说明书约定的产品暂停估值的情形；</w:t>
      </w:r>
    </w:p>
    <w:p w14:paraId="3F90D2E1">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（7</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本产品连续【</w:t>
      </w:r>
      <w:r>
        <w:rPr>
          <w:rFonts w:ascii="楷体_GB2312" w:eastAsia="楷体_GB2312" w:cs="楷体_GB2312"/>
          <w:color w:val="000000" w:themeColor="text1"/>
          <w:sz w:val="20"/>
          <w:szCs w:val="20"/>
          <w14:textFill>
            <w14:solidFill>
              <w14:schemeClr w14:val="tx1"/>
            </w14:solidFill>
          </w14:textFill>
        </w:rPr>
        <w:t>2】个以上开放日（含）发生巨额赎回</w:t>
      </w:r>
      <w:r>
        <w:rPr>
          <w:rFonts w:hint="eastAsia" w:ascii="楷体_GB2312" w:eastAsia="楷体_GB2312" w:cs="楷体_GB2312"/>
          <w:color w:val="000000" w:themeColor="text1"/>
          <w:sz w:val="20"/>
          <w:szCs w:val="20"/>
          <w14:textFill>
            <w14:solidFill>
              <w14:schemeClr w14:val="tx1"/>
            </w14:solidFill>
          </w14:textFill>
        </w:rPr>
        <w:t>；</w:t>
      </w:r>
    </w:p>
    <w:p w14:paraId="5A37D3AD">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8）</w:t>
      </w:r>
      <w:r>
        <w:rPr>
          <w:rFonts w:hint="eastAsia" w:ascii="楷体_GB2312" w:eastAsia="楷体_GB2312" w:cs="楷体_GB2312"/>
          <w:color w:val="000000" w:themeColor="text1"/>
          <w:sz w:val="20"/>
          <w:szCs w:val="20"/>
          <w14:textFill>
            <w14:solidFill>
              <w14:schemeClr w14:val="tx1"/>
            </w14:solidFill>
          </w14:textFill>
        </w:rPr>
        <w:t>法律法规规定或管理人基于审慎考虑认定的其他情形。</w:t>
      </w:r>
    </w:p>
    <w:p w14:paraId="05E3C6BC">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如果投资者的认、申购申请被拒绝，被拒绝的认、申购款项将全额退还给投资者，扣款日至资金返还日期间不计付利息。投资者通过代销机构购买理财产品的，以代销机构的规定为准。</w:t>
      </w:r>
    </w:p>
    <w:p w14:paraId="2DF22910">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．管理人可拒绝接受或暂停接受投资者的赎回申请，延缓支付赎回款项的情形包括：</w:t>
      </w:r>
    </w:p>
    <w:p w14:paraId="2CF01567">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）因不可抗力或国家经济金融政策发生变化等原因导致管理人不能支付赎回款项；</w:t>
      </w:r>
    </w:p>
    <w:p w14:paraId="747C6682">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）证券交易场所或银行间债券市场依法决定停市等情形；</w:t>
      </w:r>
    </w:p>
    <w:p w14:paraId="2904D008">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）本产品投资的公开或非公开交易市场的资产无法变现，或经管理人基于审慎的原则判断资产变现可能会对本产品投资收益造成重大不利影响的；</w:t>
      </w:r>
    </w:p>
    <w:p w14:paraId="3D8F3C20">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）本产品发生巨额赎回情形的；</w:t>
      </w:r>
    </w:p>
    <w:p w14:paraId="61CA35E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（5</w:t>
      </w:r>
      <w:r>
        <w:rPr>
          <w:rFonts w:ascii="楷体_GB2312" w:eastAsia="楷体_GB2312" w:cs="楷体_GB2312"/>
          <w:color w:val="000000" w:themeColor="text1"/>
          <w:sz w:val="20"/>
          <w:szCs w:val="20"/>
          <w14:textFill>
            <w14:solidFill>
              <w14:schemeClr w14:val="tx1"/>
            </w14:solidFill>
          </w14:textFill>
        </w:rPr>
        <w:t>）当管理人认为某笔</w:t>
      </w:r>
      <w:r>
        <w:rPr>
          <w:rFonts w:hint="eastAsia" w:ascii="楷体_GB2312" w:eastAsia="楷体_GB2312" w:cs="楷体_GB2312"/>
          <w:color w:val="000000" w:themeColor="text1"/>
          <w:sz w:val="20"/>
          <w:szCs w:val="20"/>
          <w14:textFill>
            <w14:solidFill>
              <w14:schemeClr w14:val="tx1"/>
            </w14:solidFill>
          </w14:textFill>
        </w:rPr>
        <w:t>赎回</w:t>
      </w:r>
      <w:r>
        <w:rPr>
          <w:rFonts w:ascii="楷体_GB2312" w:eastAsia="楷体_GB2312" w:cs="楷体_GB2312"/>
          <w:color w:val="000000" w:themeColor="text1"/>
          <w:sz w:val="20"/>
          <w:szCs w:val="20"/>
          <w14:textFill>
            <w14:solidFill>
              <w14:schemeClr w14:val="tx1"/>
            </w14:solidFill>
          </w14:textFill>
        </w:rPr>
        <w:t>申请会有损于本产品其他份额持有人利益时，或基于投资运作和风险控制需要；</w:t>
      </w:r>
    </w:p>
    <w:p w14:paraId="1206A10B">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（6</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单个投资者在单个开放日申请赎回份额超过产品总份额【10】</w:t>
      </w:r>
      <w:r>
        <w:rPr>
          <w:rFonts w:ascii="楷体_GB2312" w:eastAsia="楷体_GB2312" w:cs="楷体_GB2312"/>
          <w:color w:val="000000" w:themeColor="text1"/>
          <w:sz w:val="20"/>
          <w:szCs w:val="20"/>
          <w14:textFill>
            <w14:solidFill>
              <w14:schemeClr w14:val="tx1"/>
            </w14:solidFill>
          </w14:textFill>
        </w:rPr>
        <w:t>%的，</w:t>
      </w:r>
      <w:r>
        <w:rPr>
          <w:rFonts w:hint="eastAsia" w:ascii="楷体_GB2312" w:eastAsia="楷体_GB2312" w:cs="楷体_GB2312"/>
          <w:color w:val="000000" w:themeColor="text1"/>
          <w:sz w:val="20"/>
          <w:szCs w:val="20"/>
          <w14:textFill>
            <w14:solidFill>
              <w14:schemeClr w14:val="tx1"/>
            </w14:solidFill>
          </w14:textFill>
        </w:rPr>
        <w:t>管理人</w:t>
      </w:r>
      <w:r>
        <w:rPr>
          <w:rFonts w:ascii="楷体_GB2312" w:eastAsia="楷体_GB2312" w:cs="楷体_GB2312"/>
          <w:color w:val="000000" w:themeColor="text1"/>
          <w:sz w:val="20"/>
          <w:szCs w:val="20"/>
          <w14:textFill>
            <w14:solidFill>
              <w14:schemeClr w14:val="tx1"/>
            </w14:solidFill>
          </w14:textFill>
        </w:rPr>
        <w:t>可以暂停接受其赎回申请；已经接受的赎回申请可以延缓支付赎回款项，但延缓期限不得超过20个工作日。</w:t>
      </w:r>
    </w:p>
    <w:p w14:paraId="50DE05B7">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（7</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发生本</w:t>
      </w:r>
      <w:r>
        <w:rPr>
          <w:rFonts w:ascii="楷体_GB2312" w:eastAsia="楷体_GB2312" w:cs="楷体_GB2312"/>
          <w:color w:val="000000" w:themeColor="text1"/>
          <w:sz w:val="20"/>
          <w:szCs w:val="20"/>
          <w14:textFill>
            <w14:solidFill>
              <w14:schemeClr w14:val="tx1"/>
            </w14:solidFill>
          </w14:textFill>
        </w:rPr>
        <w:t>说明书约定的产品暂停估值的情形；</w:t>
      </w:r>
    </w:p>
    <w:p w14:paraId="1D71B7ED">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（8</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本产品连续【</w:t>
      </w:r>
      <w:r>
        <w:rPr>
          <w:rFonts w:ascii="楷体_GB2312" w:eastAsia="楷体_GB2312" w:cs="楷体_GB2312"/>
          <w:color w:val="000000" w:themeColor="text1"/>
          <w:sz w:val="20"/>
          <w:szCs w:val="20"/>
          <w14:textFill>
            <w14:solidFill>
              <w14:schemeClr w14:val="tx1"/>
            </w14:solidFill>
          </w14:textFill>
        </w:rPr>
        <w:t>2】个以上开放日（含）发生巨额赎回，管理人有权暂停接受投资者的赎回申请、延期办理巨额赎回申请等。投资者根据管理人披露的开放日可重新进行申购和赎回。对于已经接受的赎回申请，管理人还可以延缓支付赎回款项，但延缓期限不得超过20个工作日。</w:t>
      </w:r>
    </w:p>
    <w:p w14:paraId="61DA444A">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9</w:t>
      </w:r>
      <w:r>
        <w:rPr>
          <w:rFonts w:hint="eastAsia" w:ascii="楷体_GB2312" w:eastAsia="楷体_GB2312" w:cs="楷体_GB2312"/>
          <w:color w:val="000000" w:themeColor="text1"/>
          <w:sz w:val="20"/>
          <w:szCs w:val="20"/>
          <w14:textFill>
            <w14:solidFill>
              <w14:schemeClr w14:val="tx1"/>
            </w14:solidFill>
          </w14:textFill>
        </w:rPr>
        <w:t>）法律法规规定或管理人基于审慎考虑认定的其他情形。</w:t>
      </w:r>
    </w:p>
    <w:p w14:paraId="5598899E">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管理人可以向连续持有少于</w:t>
      </w:r>
      <w:r>
        <w:rPr>
          <w:rFonts w:ascii="楷体_GB2312" w:eastAsia="楷体_GB2312" w:cs="楷体_GB2312"/>
          <w:color w:val="000000" w:themeColor="text1"/>
          <w:sz w:val="20"/>
          <w:szCs w:val="20"/>
          <w14:textFill>
            <w14:solidFill>
              <w14:schemeClr w14:val="tx1"/>
            </w14:solidFill>
          </w14:textFill>
        </w:rPr>
        <w:t>7日的投资者收取赎回费，并将上述赎回费全额计入理财产品财产。</w:t>
      </w:r>
    </w:p>
    <w:p w14:paraId="7327FEE3">
      <w:pPr>
        <w:spacing w:line="300" w:lineRule="exact"/>
        <w:ind w:firstLine="402"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5.当产品发生大额认购或赎回时，管理人可以采用摆动定价机制。摆动定价机制的相关原理与操作方法【</w:t>
      </w:r>
      <w:r>
        <w:rPr>
          <w:rFonts w:ascii="楷体_GB2312" w:eastAsia="楷体_GB2312" w:cs="楷体_GB2312"/>
          <w:b/>
          <w:sz w:val="20"/>
          <w:szCs w:val="20"/>
        </w:rPr>
        <w:t>通过调整理财产品份额净值的方式，将理财产品调整投资组合的市场冲击成本分配给实际认购、赎回的投资者，从而减少对存量理财产品份额持有人利益的不利影响</w:t>
      </w:r>
      <w:r>
        <w:rPr>
          <w:rFonts w:ascii="楷体_GB2312" w:eastAsia="楷体_GB2312" w:cs="楷体_GB2312"/>
          <w:b/>
          <w:color w:val="000000" w:themeColor="text1"/>
          <w:sz w:val="20"/>
          <w:szCs w:val="20"/>
          <w14:textFill>
            <w14:solidFill>
              <w14:schemeClr w14:val="tx1"/>
            </w14:solidFill>
          </w14:textFill>
        </w:rPr>
        <w:t>】。</w:t>
      </w:r>
    </w:p>
    <w:p w14:paraId="75C3F886">
      <w:pPr>
        <w:spacing w:line="300" w:lineRule="exact"/>
        <w:ind w:right="96" w:rightChars="40"/>
        <w:rPr>
          <w:rFonts w:ascii="楷体_GB2312" w:eastAsia="楷体_GB2312"/>
          <w:color w:val="000000" w:themeColor="text1"/>
          <w:sz w:val="20"/>
          <w:szCs w:val="20"/>
          <w14:textFill>
            <w14:solidFill>
              <w14:schemeClr w14:val="tx1"/>
            </w14:solidFill>
          </w14:textFill>
        </w:rPr>
      </w:pPr>
    </w:p>
    <w:p w14:paraId="52700B00">
      <w:pPr>
        <w:spacing w:line="300" w:lineRule="exact"/>
        <w:ind w:left="-2" w:leftChars="-1" w:right="36" w:rightChars="15"/>
        <w:jc w:val="both"/>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八、理财资金分配</w:t>
      </w:r>
    </w:p>
    <w:p w14:paraId="530575F0">
      <w:pPr>
        <w:pStyle w:val="19"/>
        <w:spacing w:line="300" w:lineRule="exact"/>
        <w:ind w:left="388" w:right="96" w:rightChars="40" w:firstLine="0" w:firstLineChars="0"/>
        <w:rPr>
          <w:rFonts w:ascii="黑体" w:eastAsia="黑体" w:cs="黑体"/>
          <w:color w:val="000000" w:themeColor="text1"/>
          <w:sz w:val="20"/>
          <w:szCs w:val="20"/>
          <w14:textFill>
            <w14:solidFill>
              <w14:schemeClr w14:val="tx1"/>
            </w14:solidFill>
          </w14:textFill>
        </w:rPr>
      </w:pPr>
      <w:r>
        <w:rPr>
          <w:rFonts w:ascii="黑体" w:eastAsia="黑体" w:cs="黑体"/>
          <w:color w:val="000000" w:themeColor="text1"/>
          <w:sz w:val="20"/>
          <w:szCs w:val="20"/>
          <w14:textFill>
            <w14:solidFill>
              <w14:schemeClr w14:val="tx1"/>
            </w14:solidFill>
          </w14:textFill>
        </w:rPr>
        <w:t>（一）</w:t>
      </w:r>
      <w:r>
        <w:rPr>
          <w:rFonts w:hint="eastAsia" w:ascii="黑体" w:eastAsia="黑体" w:cs="黑体"/>
          <w:color w:val="000000" w:themeColor="text1"/>
          <w:sz w:val="20"/>
          <w:szCs w:val="20"/>
          <w14:textFill>
            <w14:solidFill>
              <w14:schemeClr w14:val="tx1"/>
            </w14:solidFill>
          </w14:textFill>
        </w:rPr>
        <w:t xml:space="preserve"> </w:t>
      </w:r>
      <w:r>
        <w:rPr>
          <w:rFonts w:ascii="黑体" w:eastAsia="黑体" w:cs="黑体"/>
          <w:color w:val="000000" w:themeColor="text1"/>
          <w:sz w:val="20"/>
          <w:szCs w:val="20"/>
          <w14:textFill>
            <w14:solidFill>
              <w14:schemeClr w14:val="tx1"/>
            </w14:solidFill>
          </w14:textFill>
        </w:rPr>
        <w:t xml:space="preserve"> </w:t>
      </w:r>
      <w:r>
        <w:rPr>
          <w:rFonts w:hint="eastAsia" w:ascii="黑体" w:eastAsia="黑体" w:cs="黑体"/>
          <w:color w:val="000000" w:themeColor="text1"/>
          <w:sz w:val="20"/>
          <w:szCs w:val="20"/>
          <w14:textFill>
            <w14:solidFill>
              <w14:schemeClr w14:val="tx1"/>
            </w14:solidFill>
          </w14:textFill>
        </w:rPr>
        <w:t>期间</w:t>
      </w:r>
      <w:r>
        <w:rPr>
          <w:rFonts w:ascii="黑体" w:eastAsia="黑体" w:cs="黑体"/>
          <w:color w:val="000000" w:themeColor="text1"/>
          <w:sz w:val="20"/>
          <w:szCs w:val="20"/>
          <w14:textFill>
            <w14:solidFill>
              <w14:schemeClr w14:val="tx1"/>
            </w14:solidFill>
          </w14:textFill>
        </w:rPr>
        <w:t>分配</w:t>
      </w:r>
    </w:p>
    <w:p w14:paraId="1897FA16">
      <w:pPr>
        <w:pStyle w:val="19"/>
        <w:spacing w:line="300" w:lineRule="exact"/>
        <w:ind w:left="388" w:right="96" w:rightChars="40" w:firstLine="0" w:firstLineChars="0"/>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无。</w:t>
      </w:r>
    </w:p>
    <w:p w14:paraId="3C64C11A">
      <w:pPr>
        <w:pStyle w:val="19"/>
        <w:spacing w:line="300" w:lineRule="exact"/>
        <w:ind w:left="388" w:right="96" w:rightChars="40" w:firstLine="0" w:firstLineChars="0"/>
        <w:rPr>
          <w:rFonts w:ascii="黑体" w:eastAsia="黑体" w:cs="黑体"/>
          <w:color w:val="000000" w:themeColor="text1"/>
          <w:sz w:val="20"/>
          <w:szCs w:val="20"/>
          <w14:textFill>
            <w14:solidFill>
              <w14:schemeClr w14:val="tx1"/>
            </w14:solidFill>
          </w14:textFill>
        </w:rPr>
      </w:pPr>
      <w:r>
        <w:rPr>
          <w:rFonts w:hint="eastAsia" w:ascii="黑体" w:eastAsia="黑体" w:cs="黑体"/>
          <w:color w:val="000000" w:themeColor="text1"/>
          <w:sz w:val="20"/>
          <w:szCs w:val="20"/>
          <w14:textFill>
            <w14:solidFill>
              <w14:schemeClr w14:val="tx1"/>
            </w14:solidFill>
          </w14:textFill>
        </w:rPr>
        <w:t xml:space="preserve">（二） </w:t>
      </w:r>
      <w:r>
        <w:rPr>
          <w:rFonts w:ascii="黑体" w:eastAsia="黑体" w:cs="黑体"/>
          <w:color w:val="000000" w:themeColor="text1"/>
          <w:sz w:val="20"/>
          <w:szCs w:val="20"/>
          <w14:textFill>
            <w14:solidFill>
              <w14:schemeClr w14:val="tx1"/>
            </w14:solidFill>
          </w14:textFill>
        </w:rPr>
        <w:t xml:space="preserve"> </w:t>
      </w:r>
      <w:r>
        <w:rPr>
          <w:rFonts w:hint="eastAsia" w:ascii="黑体" w:eastAsia="黑体" w:cs="黑体"/>
          <w:color w:val="000000" w:themeColor="text1"/>
          <w:sz w:val="20"/>
          <w:szCs w:val="20"/>
          <w14:textFill>
            <w14:solidFill>
              <w14:schemeClr w14:val="tx1"/>
            </w14:solidFill>
          </w14:textFill>
        </w:rPr>
        <w:t>终止</w:t>
      </w:r>
      <w:r>
        <w:rPr>
          <w:rFonts w:ascii="黑体" w:eastAsia="黑体" w:cs="黑体"/>
          <w:color w:val="000000" w:themeColor="text1"/>
          <w:sz w:val="20"/>
          <w:szCs w:val="20"/>
          <w14:textFill>
            <w14:solidFill>
              <w14:schemeClr w14:val="tx1"/>
            </w14:solidFill>
          </w14:textFill>
        </w:rPr>
        <w:t>分配</w:t>
      </w:r>
    </w:p>
    <w:p w14:paraId="68BDFEA3">
      <w:pPr>
        <w:pStyle w:val="19"/>
        <w:numPr>
          <w:ilvl w:val="0"/>
          <w:numId w:val="5"/>
        </w:numPr>
        <w:spacing w:line="300" w:lineRule="exact"/>
        <w:ind w:left="0" w:firstLine="4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本产品在扣除信银理财</w:t>
      </w:r>
      <w:r>
        <w:rPr>
          <w:rFonts w:ascii="楷体_GB2312" w:eastAsia="楷体_GB2312"/>
          <w:color w:val="000000" w:themeColor="text1"/>
          <w:sz w:val="20"/>
          <w:szCs w:val="20"/>
          <w14:textFill>
            <w14:solidFill>
              <w14:schemeClr w14:val="tx1"/>
            </w14:solidFill>
          </w14:textFill>
        </w:rPr>
        <w:t>应收取费用</w:t>
      </w:r>
      <w:r>
        <w:rPr>
          <w:rFonts w:hint="eastAsia" w:ascii="楷体_GB2312" w:eastAsia="楷体_GB2312"/>
          <w:color w:val="000000" w:themeColor="text1"/>
          <w:sz w:val="20"/>
          <w:szCs w:val="20"/>
          <w14:textFill>
            <w14:solidFill>
              <w14:schemeClr w14:val="tx1"/>
            </w14:solidFill>
          </w14:textFill>
        </w:rPr>
        <w:t>及其他应由产品承担的税费后的投资损益全部归属投资者。</w:t>
      </w:r>
    </w:p>
    <w:p w14:paraId="7DE229E4">
      <w:pPr>
        <w:pStyle w:val="19"/>
        <w:numPr>
          <w:ilvl w:val="0"/>
          <w:numId w:val="5"/>
        </w:numPr>
        <w:spacing w:line="300" w:lineRule="exact"/>
        <w:ind w:left="0" w:firstLine="4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如产品正常到期</w:t>
      </w:r>
      <w:r>
        <w:rPr>
          <w:rFonts w:hint="eastAsia" w:ascii="楷体_GB2312" w:eastAsia="楷体_GB2312"/>
          <w:color w:val="000000" w:themeColor="text1"/>
          <w:sz w:val="20"/>
          <w:szCs w:val="20"/>
          <w14:textFill>
            <w14:solidFill>
              <w14:schemeClr w14:val="tx1"/>
            </w14:solidFill>
          </w14:textFill>
        </w:rPr>
        <w:t>或</w:t>
      </w:r>
      <w:r>
        <w:rPr>
          <w:rFonts w:ascii="楷体_GB2312" w:eastAsia="楷体_GB2312"/>
          <w:color w:val="000000" w:themeColor="text1"/>
          <w:sz w:val="20"/>
          <w:szCs w:val="20"/>
          <w14:textFill>
            <w14:solidFill>
              <w14:schemeClr w14:val="tx1"/>
            </w14:solidFill>
          </w14:textFill>
        </w:rPr>
        <w:t>提前终止，理财资金于</w:t>
      </w:r>
      <w:r>
        <w:rPr>
          <w:rFonts w:hint="eastAsia" w:ascii="楷体_GB2312" w:eastAsia="楷体_GB2312"/>
          <w:color w:val="000000" w:themeColor="text1"/>
          <w:sz w:val="20"/>
          <w:szCs w:val="20"/>
          <w14:textFill>
            <w14:solidFill>
              <w14:schemeClr w14:val="tx1"/>
            </w14:solidFill>
          </w14:textFill>
        </w:rPr>
        <w:t>到期日</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实际</w:t>
      </w:r>
      <w:r>
        <w:rPr>
          <w:rFonts w:ascii="楷体_GB2312" w:eastAsia="楷体_GB2312"/>
          <w:color w:val="000000" w:themeColor="text1"/>
          <w:sz w:val="20"/>
          <w:szCs w:val="20"/>
          <w14:textFill>
            <w14:solidFill>
              <w14:schemeClr w14:val="tx1"/>
            </w14:solidFill>
          </w14:textFill>
        </w:rPr>
        <w:t>到期日</w:t>
      </w:r>
      <w:r>
        <w:rPr>
          <w:rFonts w:hint="eastAsia" w:ascii="楷体_GB2312" w:eastAsia="楷体_GB2312"/>
          <w:color w:val="000000" w:themeColor="text1"/>
          <w:sz w:val="20"/>
          <w:szCs w:val="20"/>
          <w14:textFill>
            <w14:solidFill>
              <w14:schemeClr w14:val="tx1"/>
            </w14:solidFill>
          </w14:textFill>
        </w:rPr>
        <w:t>或</w:t>
      </w:r>
      <w:r>
        <w:rPr>
          <w:rFonts w:ascii="楷体_GB2312" w:eastAsia="楷体_GB2312"/>
          <w:color w:val="000000" w:themeColor="text1"/>
          <w:sz w:val="20"/>
          <w:szCs w:val="20"/>
          <w14:textFill>
            <w14:solidFill>
              <w14:schemeClr w14:val="tx1"/>
            </w14:solidFill>
          </w14:textFill>
        </w:rPr>
        <w:t>提前终止日</w:t>
      </w: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后【5】个工作日内根据实际情况一次性分配，如遇</w:t>
      </w:r>
      <w:r>
        <w:rPr>
          <w:rFonts w:hint="eastAsia" w:ascii="楷体_GB2312" w:eastAsia="楷体_GB2312"/>
          <w:color w:val="000000" w:themeColor="text1"/>
          <w:sz w:val="20"/>
          <w:szCs w:val="20"/>
          <w14:textFill>
            <w14:solidFill>
              <w14:schemeClr w14:val="tx1"/>
            </w14:solidFill>
          </w14:textFill>
        </w:rPr>
        <w:t>非工作日</w:t>
      </w:r>
      <w:r>
        <w:rPr>
          <w:rFonts w:ascii="楷体_GB2312" w:eastAsia="楷体_GB2312"/>
          <w:color w:val="000000" w:themeColor="text1"/>
          <w:sz w:val="20"/>
          <w:szCs w:val="20"/>
          <w14:textFill>
            <w14:solidFill>
              <w14:schemeClr w14:val="tx1"/>
            </w14:solidFill>
          </w14:textFill>
        </w:rPr>
        <w:t>则顺延至下一工作日。</w:t>
      </w:r>
    </w:p>
    <w:p w14:paraId="75453DF2">
      <w:pPr>
        <w:pStyle w:val="19"/>
        <w:numPr>
          <w:ilvl w:val="0"/>
          <w:numId w:val="5"/>
        </w:numPr>
        <w:spacing w:line="300" w:lineRule="exact"/>
        <w:ind w:left="0" w:firstLine="4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投资者到期日应得资金计算公式如下：</w:t>
      </w:r>
    </w:p>
    <w:p w14:paraId="5D27EF8F">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投资者应得资金</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到期日产品可分配的总金额</w:t>
      </w:r>
      <w:r>
        <w:rPr>
          <w:rFonts w:ascii="楷体_GB2312" w:eastAsia="楷体_GB2312" w:cs="楷体_GB2312"/>
          <w:color w:val="000000" w:themeColor="text1"/>
          <w:sz w:val="20"/>
          <w:szCs w:val="20"/>
          <w14:textFill>
            <w14:solidFill>
              <w14:schemeClr w14:val="tx1"/>
            </w14:solidFill>
          </w14:textFill>
        </w:rPr>
        <w:t>/产品的总份额*投资者的持有份额</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应付浮动管理费</w:t>
      </w:r>
      <w:r>
        <w:rPr>
          <w:rFonts w:hint="eastAsia" w:ascii="楷体_GB2312" w:eastAsia="楷体_GB2312" w:cs="楷体_GB2312"/>
          <w:color w:val="000000" w:themeColor="text1"/>
          <w:sz w:val="20"/>
          <w:szCs w:val="20"/>
          <w14:textFill>
            <w14:solidFill>
              <w14:schemeClr w14:val="tx1"/>
            </w14:solidFill>
          </w14:textFill>
        </w:rPr>
        <w:t>（如有</w:t>
      </w:r>
      <w:r>
        <w:rPr>
          <w:rFonts w:ascii="楷体_GB2312" w:eastAsia="楷体_GB2312" w:cs="楷体_GB2312"/>
          <w:color w:val="000000" w:themeColor="text1"/>
          <w:sz w:val="20"/>
          <w:szCs w:val="20"/>
          <w14:textFill>
            <w14:solidFill>
              <w14:schemeClr w14:val="tx1"/>
            </w14:solidFill>
          </w14:textFill>
        </w:rPr>
        <w:t>）</w:t>
      </w:r>
    </w:p>
    <w:p w14:paraId="146A7158">
      <w:pPr>
        <w:pStyle w:val="19"/>
        <w:numPr>
          <w:ilvl w:val="0"/>
          <w:numId w:val="5"/>
        </w:numPr>
        <w:spacing w:line="300" w:lineRule="exact"/>
        <w:ind w:left="0" w:firstLine="4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若募集期发生变化（募集期提前结束或募集期延长）、运作起始日发生变化或者清算期遇非工作日或</w:t>
      </w:r>
      <w:r>
        <w:rPr>
          <w:rFonts w:ascii="楷体_GB2312" w:eastAsia="楷体_GB2312" w:cs="楷体_GB2312"/>
          <w:color w:val="000000" w:themeColor="text1"/>
          <w:sz w:val="20"/>
          <w:szCs w:val="20"/>
          <w14:textFill>
            <w14:solidFill>
              <w14:schemeClr w14:val="tx1"/>
            </w14:solidFill>
          </w14:textFill>
        </w:rPr>
        <w:t>其他原因延长</w:t>
      </w:r>
      <w:r>
        <w:rPr>
          <w:rFonts w:hint="eastAsia" w:ascii="楷体_GB2312" w:eastAsia="楷体_GB2312" w:cs="楷体_GB2312"/>
          <w:color w:val="000000" w:themeColor="text1"/>
          <w:sz w:val="20"/>
          <w:szCs w:val="20"/>
          <w14:textFill>
            <w14:solidFill>
              <w14:schemeClr w14:val="tx1"/>
            </w14:solidFill>
          </w14:textFill>
        </w:rPr>
        <w:t>，产品到期日视情况将可能相应进行调整，若进行调整，信银理财将以本产品说明书约定的</w:t>
      </w:r>
      <w:r>
        <w:rPr>
          <w:rFonts w:ascii="楷体_GB2312" w:eastAsia="楷体_GB2312" w:cs="楷体_GB2312"/>
          <w:color w:val="000000" w:themeColor="text1"/>
          <w:sz w:val="20"/>
          <w:szCs w:val="20"/>
          <w14:textFill>
            <w14:solidFill>
              <w14:schemeClr w14:val="tx1"/>
            </w14:solidFill>
          </w14:textFill>
        </w:rPr>
        <w:t>方式通知投资者</w:t>
      </w:r>
      <w:r>
        <w:rPr>
          <w:rFonts w:hint="eastAsia" w:ascii="楷体_GB2312" w:eastAsia="楷体_GB2312" w:cs="楷体_GB2312"/>
          <w:color w:val="000000" w:themeColor="text1"/>
          <w:sz w:val="20"/>
          <w:szCs w:val="20"/>
          <w14:textFill>
            <w14:solidFill>
              <w14:schemeClr w14:val="tx1"/>
            </w14:solidFill>
          </w14:textFill>
        </w:rPr>
        <w:t>。</w:t>
      </w:r>
    </w:p>
    <w:p w14:paraId="557CEAE6">
      <w:pPr>
        <w:pStyle w:val="19"/>
        <w:numPr>
          <w:ilvl w:val="0"/>
          <w:numId w:val="5"/>
        </w:numPr>
        <w:spacing w:line="300" w:lineRule="exact"/>
        <w:ind w:left="0" w:firstLine="4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投资者通过</w:t>
      </w:r>
      <w:r>
        <w:rPr>
          <w:rFonts w:ascii="楷体_GB2312" w:eastAsia="楷体_GB2312"/>
          <w:color w:val="000000" w:themeColor="text1"/>
          <w:sz w:val="20"/>
          <w:szCs w:val="20"/>
          <w14:textFill>
            <w14:solidFill>
              <w14:schemeClr w14:val="tx1"/>
            </w14:solidFill>
          </w14:textFill>
        </w:rPr>
        <w:t>代销机构渠道购买理财产品的，理财资金划转至投资者</w:t>
      </w:r>
      <w:r>
        <w:rPr>
          <w:rFonts w:hint="eastAsia" w:ascii="楷体_GB2312" w:eastAsia="楷体_GB2312"/>
          <w:color w:val="000000" w:themeColor="text1"/>
          <w:sz w:val="20"/>
          <w:szCs w:val="20"/>
          <w14:textFill>
            <w14:solidFill>
              <w14:schemeClr w14:val="tx1"/>
            </w14:solidFill>
          </w14:textFill>
        </w:rPr>
        <w:t>账户的</w:t>
      </w:r>
      <w:r>
        <w:rPr>
          <w:rFonts w:ascii="楷体_GB2312" w:eastAsia="楷体_GB2312"/>
          <w:color w:val="000000" w:themeColor="text1"/>
          <w:sz w:val="20"/>
          <w:szCs w:val="20"/>
          <w14:textFill>
            <w14:solidFill>
              <w14:schemeClr w14:val="tx1"/>
            </w14:solidFill>
          </w14:textFill>
        </w:rPr>
        <w:t>时间以代销机构的清算时间为准。</w:t>
      </w:r>
    </w:p>
    <w:p w14:paraId="0FD196D6">
      <w:pPr>
        <w:spacing w:line="300" w:lineRule="exact"/>
        <w:ind w:left="-2" w:leftChars="-1" w:right="36" w:rightChars="15"/>
        <w:rPr>
          <w:color w:val="000000" w:themeColor="text1"/>
          <w14:textFill>
            <w14:solidFill>
              <w14:schemeClr w14:val="tx1"/>
            </w14:solidFill>
          </w14:textFill>
        </w:rPr>
      </w:pPr>
    </w:p>
    <w:p w14:paraId="4DF7F12F">
      <w:pPr>
        <w:snapToGrid w:val="0"/>
        <w:spacing w:line="300" w:lineRule="exact"/>
        <w:ind w:left="-2" w:leftChars="-1" w:right="53" w:rightChars="22"/>
        <w:outlineLvl w:val="0"/>
        <w:rPr>
          <w:rFonts w:ascii="黑体" w:eastAsia="黑体" w:cs="黑体"/>
          <w:b/>
          <w:color w:val="000000" w:themeColor="text1"/>
          <w:sz w:val="20"/>
          <w:szCs w:val="20"/>
          <w14:textFill>
            <w14:solidFill>
              <w14:schemeClr w14:val="tx1"/>
            </w14:solidFill>
          </w14:textFill>
        </w:rPr>
      </w:pPr>
      <w:r>
        <w:rPr>
          <w:rFonts w:hint="eastAsia" w:ascii="黑体" w:eastAsia="黑体" w:cs="黑体"/>
          <w:b/>
          <w:color w:val="000000" w:themeColor="text1"/>
          <w:sz w:val="20"/>
          <w:szCs w:val="20"/>
          <w14:textFill>
            <w14:solidFill>
              <w14:schemeClr w14:val="tx1"/>
            </w14:solidFill>
          </w14:textFill>
        </w:rPr>
        <w:t>九、理财产品的费用</w:t>
      </w:r>
    </w:p>
    <w:p w14:paraId="5625DE3D">
      <w:pPr>
        <w:snapToGrid w:val="0"/>
        <w:spacing w:line="300" w:lineRule="exact"/>
        <w:ind w:firstLine="402" w:firstLineChars="200"/>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1．本产品的费用包括认购费、申购费、赎回费、销售服务费、托管费、固定管理费、浮动管理费，产品运作和清算中产生的其他资金汇划费、结算费、交易手续费、注册登记费、信息披露费、账户服务费、审计费、律师费</w:t>
      </w:r>
      <w:r>
        <w:rPr>
          <w:rFonts w:hint="eastAsia" w:ascii="楷体_GB2312" w:eastAsia="楷体_GB2312" w:cs="楷体_GB2312"/>
          <w:b/>
          <w:color w:val="000000" w:themeColor="text1"/>
          <w:sz w:val="20"/>
          <w:szCs w:val="20"/>
          <w14:textFill>
            <w14:solidFill>
              <w14:schemeClr w14:val="tx1"/>
            </w14:solidFill>
          </w14:textFill>
        </w:rPr>
        <w:t>、因投资资产而产生的资产推荐服务费等相关费用</w:t>
      </w:r>
      <w:r>
        <w:rPr>
          <w:rFonts w:ascii="楷体_GB2312" w:eastAsia="楷体_GB2312" w:cs="楷体_GB2312"/>
          <w:b/>
          <w:color w:val="000000" w:themeColor="text1"/>
          <w:sz w:val="20"/>
          <w:szCs w:val="20"/>
          <w14:textFill>
            <w14:solidFill>
              <w14:schemeClr w14:val="tx1"/>
            </w14:solidFill>
          </w14:textFill>
        </w:rPr>
        <w:t>，以及按照法律法规规章规定和理财产品销售文件约定可以列入的其他费用。管理人因管理、运营理财产品发生的税费</w:t>
      </w:r>
      <w:r>
        <w:rPr>
          <w:rFonts w:ascii="楷体_GB2312" w:eastAsia="楷体_GB2312"/>
          <w:b/>
          <w:color w:val="000000" w:themeColor="text1"/>
          <w:sz w:val="20"/>
          <w:szCs w:val="20"/>
          <w14:textFill>
            <w14:solidFill>
              <w14:schemeClr w14:val="tx1"/>
            </w14:solidFill>
          </w14:textFill>
        </w:rPr>
        <w:t>（包括但不限于增值税及相应的附加税费等）</w:t>
      </w:r>
      <w:r>
        <w:rPr>
          <w:rFonts w:ascii="楷体_GB2312" w:eastAsia="楷体_GB2312" w:cs="楷体_GB2312"/>
          <w:b/>
          <w:color w:val="000000" w:themeColor="text1"/>
          <w:sz w:val="20"/>
          <w:szCs w:val="20"/>
          <w14:textFill>
            <w14:solidFill>
              <w14:schemeClr w14:val="tx1"/>
            </w14:solidFill>
          </w14:textFill>
        </w:rPr>
        <w:t>由产品资产承担。法律法规另有规定时从其规定。</w:t>
      </w:r>
    </w:p>
    <w:p w14:paraId="6ACF2A8F">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2．认购费：</w:t>
      </w:r>
      <w:r>
        <w:rPr>
          <w:rFonts w:hint="eastAsia" w:ascii="楷体_GB2312" w:eastAsia="楷体_GB2312" w:cs="楷体_GB2312"/>
          <w:b/>
          <w:color w:val="000000" w:themeColor="text1"/>
          <w:sz w:val="20"/>
          <w:szCs w:val="20"/>
          <w14:textFill>
            <w14:solidFill>
              <w14:schemeClr w14:val="tx1"/>
            </w14:solidFill>
          </w14:textFill>
        </w:rPr>
        <w:t>B类份额不收取认购费，G类份额不收取认购费，H类份额不收取认购费</w:t>
      </w:r>
      <w:r>
        <w:rPr>
          <w:rFonts w:ascii="楷体_GB2312" w:eastAsia="楷体_GB2312" w:cs="楷体_GB2312"/>
          <w:b/>
          <w:color w:val="000000" w:themeColor="text1"/>
          <w:sz w:val="20"/>
          <w:szCs w:val="20"/>
          <w14:textFill>
            <w14:solidFill>
              <w14:schemeClr w14:val="tx1"/>
            </w14:solidFill>
          </w14:textFill>
        </w:rPr>
        <w:t>。</w:t>
      </w:r>
    </w:p>
    <w:p w14:paraId="5A4F5794">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3．申购费：</w:t>
      </w:r>
      <w:r>
        <w:rPr>
          <w:rFonts w:ascii="楷体_GB2312" w:eastAsia="楷体_GB2312" w:cs="楷体_GB2312"/>
          <w:b/>
          <w:sz w:val="20"/>
          <w:szCs w:val="20"/>
        </w:rPr>
        <w:t>B类份额不收取申购费，G类份额不收取申购费，H类份额不收取申购费</w:t>
      </w:r>
      <w:r>
        <w:rPr>
          <w:rFonts w:ascii="楷体_GB2312" w:eastAsia="楷体_GB2312" w:cs="楷体_GB2312"/>
          <w:b/>
          <w:color w:val="000000" w:themeColor="text1"/>
          <w:sz w:val="20"/>
          <w:szCs w:val="20"/>
          <w14:textFill>
            <w14:solidFill>
              <w14:schemeClr w14:val="tx1"/>
            </w14:solidFill>
          </w14:textFill>
        </w:rPr>
        <w:t>。</w:t>
      </w:r>
    </w:p>
    <w:p w14:paraId="1D0B89F7">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4．赎回费：</w:t>
      </w:r>
      <w:r>
        <w:rPr>
          <w:rFonts w:hint="eastAsia" w:ascii="楷体_GB2312" w:eastAsia="楷体_GB2312" w:cs="楷体_GB2312"/>
          <w:b/>
          <w:color w:val="000000" w:themeColor="text1"/>
          <w:sz w:val="20"/>
          <w:szCs w:val="20"/>
          <w14:textFill>
            <w14:solidFill>
              <w14:schemeClr w14:val="tx1"/>
            </w14:solidFill>
          </w14:textFill>
        </w:rPr>
        <w:t>B类份额不收取赎回费，G类份额不收取赎回费，H类份额不收取赎回费</w:t>
      </w:r>
      <w:r>
        <w:rPr>
          <w:rFonts w:ascii="楷体_GB2312" w:eastAsia="楷体_GB2312" w:cs="楷体_GB2312"/>
          <w:b/>
          <w:color w:val="000000" w:themeColor="text1"/>
          <w:sz w:val="20"/>
          <w:szCs w:val="20"/>
          <w14:textFill>
            <w14:solidFill>
              <w14:schemeClr w14:val="tx1"/>
            </w14:solidFill>
          </w14:textFill>
        </w:rPr>
        <w:t>。</w:t>
      </w:r>
    </w:p>
    <w:p w14:paraId="38946F3D">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5．销售服务费</w:t>
      </w:r>
    </w:p>
    <w:p w14:paraId="2886FDC4">
      <w:pPr>
        <w:snapToGrid w:val="0"/>
        <w:spacing w:line="300" w:lineRule="exact"/>
        <w:ind w:firstLine="402" w:firstLineChars="200"/>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sz w:val="20"/>
          <w:szCs w:val="20"/>
        </w:rPr>
        <w:t>B类份额费率【0.30%】/年，G类份额费率【0.30%】/年，H类份额费率【0.30%】/年</w:t>
      </w:r>
      <w:r>
        <w:rPr>
          <w:rFonts w:hint="eastAsia" w:ascii="楷体_GB2312" w:eastAsia="楷体_GB2312" w:cs="楷体_GB2312"/>
          <w:b/>
          <w:sz w:val="20"/>
          <w:szCs w:val="20"/>
        </w:rPr>
        <w:t>，</w:t>
      </w:r>
      <w:r>
        <w:rPr>
          <w:rFonts w:ascii="楷体_GB2312" w:eastAsia="楷体_GB2312" w:cs="楷体_GB2312"/>
          <w:b/>
          <w:color w:val="000000" w:themeColor="text1"/>
          <w:sz w:val="20"/>
          <w:szCs w:val="20"/>
          <w14:textFill>
            <w14:solidFill>
              <w14:schemeClr w14:val="tx1"/>
            </w14:solidFill>
          </w14:textFill>
        </w:rPr>
        <w:t>计算方式为【</w:t>
      </w:r>
      <w:r>
        <w:rPr>
          <w:rFonts w:hint="eastAsia" w:ascii="楷体_GB2312" w:eastAsia="楷体_GB2312" w:cs="楷体_GB2312"/>
          <w:b/>
          <w:sz w:val="20"/>
          <w:szCs w:val="20"/>
        </w:rPr>
        <w:t>每日销售费</w:t>
      </w:r>
      <w:r>
        <w:rPr>
          <w:rFonts w:ascii="楷体_GB2312" w:eastAsia="楷体_GB2312" w:cs="楷体_GB2312"/>
          <w:b/>
          <w:sz w:val="20"/>
          <w:szCs w:val="20"/>
        </w:rPr>
        <w:t>=理财产品上一自然日产品净资产×销售费率/365。 （在首个起息日计算销售服务费时，以产品成立日的实收本金为计提基础，计算托管费、固定管理费时亦参照执行）</w:t>
      </w:r>
      <w:r>
        <w:rPr>
          <w:rFonts w:ascii="楷体_GB2312" w:eastAsia="楷体_GB2312" w:cs="楷体_GB2312"/>
          <w:b/>
          <w:color w:val="000000" w:themeColor="text1"/>
          <w:sz w:val="20"/>
          <w:szCs w:val="20"/>
          <w14:textFill>
            <w14:solidFill>
              <w14:schemeClr w14:val="tx1"/>
            </w14:solidFill>
          </w14:textFill>
        </w:rPr>
        <w:t>】。</w:t>
      </w:r>
    </w:p>
    <w:p w14:paraId="751D91A8">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销售服务费每日计提，按【季】支付，由管理人向托管人发送指令，托管人复核后按【季】从资产中一次性支付。投资者通过代销机构购买理财产品的，代销机构收取的销售相关费用以代销机构规定为准。</w:t>
      </w:r>
    </w:p>
    <w:p w14:paraId="412F255E">
      <w:pPr>
        <w:spacing w:line="300" w:lineRule="exact"/>
        <w:ind w:firstLine="402" w:firstLineChars="200"/>
        <w:jc w:val="both"/>
        <w:rPr>
          <w:rFonts w:ascii="楷体_GB2312" w:eastAsia="楷体_GB2312" w:cs="楷体_GB2312"/>
          <w:b/>
          <w:color w:val="000000" w:themeColor="text1"/>
          <w:sz w:val="20"/>
          <w:szCs w:val="20"/>
          <w14:textFill>
            <w14:solidFill>
              <w14:schemeClr w14:val="tx1"/>
            </w14:solidFill>
          </w14:textFill>
        </w:rPr>
      </w:pPr>
      <w:r>
        <w:rPr>
          <w:rFonts w:hint="eastAsia" w:ascii="楷体_GB2312" w:eastAsia="楷体_GB2312" w:cs="楷体_GB2312"/>
          <w:b/>
          <w:sz w:val="20"/>
          <w:szCs w:val="20"/>
        </w:rPr>
        <w:t>本产品可能同时在其他渠道销售，本产品收取的销售服务费可能因销售机构不同有所差异，从而导致测算的业绩比较基准有所差异，请投资者关注管理人及销售机构相关信息披露。</w:t>
      </w:r>
    </w:p>
    <w:p w14:paraId="7C11ABBA">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6．托管费</w:t>
      </w:r>
    </w:p>
    <w:p w14:paraId="492584D0">
      <w:pPr>
        <w:snapToGrid w:val="0"/>
        <w:spacing w:line="300" w:lineRule="exact"/>
        <w:ind w:firstLine="402" w:firstLineChars="200"/>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费率【0.03%】/年，计算方式为【</w:t>
      </w:r>
      <w:r>
        <w:rPr>
          <w:rFonts w:hint="eastAsia" w:ascii="楷体_GB2312" w:eastAsia="楷体_GB2312" w:cs="楷体_GB2312"/>
          <w:b/>
          <w:sz w:val="20"/>
          <w:szCs w:val="20"/>
        </w:rPr>
        <w:t>每日托管费</w:t>
      </w:r>
      <w:r>
        <w:rPr>
          <w:rFonts w:ascii="楷体_GB2312" w:eastAsia="楷体_GB2312" w:cs="楷体_GB2312"/>
          <w:b/>
          <w:sz w:val="20"/>
          <w:szCs w:val="20"/>
        </w:rPr>
        <w:t>=理财产品上一自然日产品净资产×托管费率/365</w:t>
      </w:r>
      <w:r>
        <w:rPr>
          <w:rFonts w:ascii="楷体_GB2312" w:eastAsia="楷体_GB2312" w:cs="楷体_GB2312"/>
          <w:b/>
          <w:color w:val="000000" w:themeColor="text1"/>
          <w:sz w:val="20"/>
          <w:szCs w:val="20"/>
          <w14:textFill>
            <w14:solidFill>
              <w14:schemeClr w14:val="tx1"/>
            </w14:solidFill>
          </w14:textFill>
        </w:rPr>
        <w:t>】。</w:t>
      </w:r>
    </w:p>
    <w:p w14:paraId="265F118F">
      <w:pPr>
        <w:snapToGrid w:val="0"/>
        <w:spacing w:line="300" w:lineRule="exact"/>
        <w:ind w:firstLine="402" w:firstLineChars="200"/>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托管费每日计提，按【</w:t>
      </w:r>
      <w:r>
        <w:rPr>
          <w:rFonts w:hint="eastAsia" w:ascii="楷体_GB2312" w:eastAsia="楷体_GB2312" w:cs="楷体_GB2312"/>
          <w:b/>
          <w:color w:val="000000" w:themeColor="text1"/>
          <w:sz w:val="20"/>
          <w:szCs w:val="20"/>
          <w14:textFill>
            <w14:solidFill>
              <w14:schemeClr w14:val="tx1"/>
            </w14:solidFill>
          </w14:textFill>
        </w:rPr>
        <w:t>年</w:t>
      </w:r>
      <w:r>
        <w:rPr>
          <w:rFonts w:ascii="楷体_GB2312" w:eastAsia="楷体_GB2312" w:cs="楷体_GB2312"/>
          <w:b/>
          <w:color w:val="000000" w:themeColor="text1"/>
          <w:sz w:val="20"/>
          <w:szCs w:val="20"/>
          <w14:textFill>
            <w14:solidFill>
              <w14:schemeClr w14:val="tx1"/>
            </w14:solidFill>
          </w14:textFill>
        </w:rPr>
        <w:t>】支付，由管理人向托管人发送指令，托管人复核后从资产中一次性支付。</w:t>
      </w:r>
    </w:p>
    <w:p w14:paraId="7E248386">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7．固定管理费</w:t>
      </w:r>
    </w:p>
    <w:p w14:paraId="43D1EEDD">
      <w:pPr>
        <w:snapToGrid w:val="0"/>
        <w:spacing w:line="300" w:lineRule="exact"/>
        <w:ind w:firstLine="402" w:firstLineChars="200"/>
        <w:jc w:val="both"/>
        <w:outlineLvl w:val="0"/>
        <w:rPr>
          <w:rFonts w:ascii="楷体_GB2312" w:eastAsia="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费率【0.30%】/年，计算方式为【</w:t>
      </w:r>
      <w:r>
        <w:rPr>
          <w:rFonts w:hint="eastAsia" w:ascii="楷体_GB2312" w:eastAsia="楷体_GB2312" w:cs="楷体_GB2312"/>
          <w:b/>
          <w:sz w:val="20"/>
          <w:szCs w:val="20"/>
        </w:rPr>
        <w:t>每日固定管理费</w:t>
      </w:r>
      <w:r>
        <w:rPr>
          <w:rFonts w:ascii="楷体_GB2312" w:eastAsia="楷体_GB2312" w:cs="楷体_GB2312"/>
          <w:b/>
          <w:sz w:val="20"/>
          <w:szCs w:val="20"/>
        </w:rPr>
        <w:t>=理财产品上一自然日产品净资产×固定管理费率/365</w:t>
      </w:r>
      <w:r>
        <w:rPr>
          <w:rFonts w:ascii="楷体_GB2312" w:eastAsia="楷体_GB2312" w:cs="楷体_GB2312"/>
          <w:b/>
          <w:color w:val="000000" w:themeColor="text1"/>
          <w:sz w:val="20"/>
          <w:szCs w:val="20"/>
          <w14:textFill>
            <w14:solidFill>
              <w14:schemeClr w14:val="tx1"/>
            </w14:solidFill>
          </w14:textFill>
        </w:rPr>
        <w:t>】。</w:t>
      </w:r>
    </w:p>
    <w:p w14:paraId="2D7D7493">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固定管理费每日计提，按【月】支付，由管理人向托管人发送指令，托管人复核后从资产中一次性支付。</w:t>
      </w:r>
    </w:p>
    <w:p w14:paraId="450BFA2F">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hint="eastAsia" w:ascii="楷体_GB2312" w:eastAsia="楷体_GB2312" w:cs="楷体_GB2312"/>
          <w:b/>
          <w:color w:val="000000" w:themeColor="text1"/>
          <w:sz w:val="20"/>
          <w:szCs w:val="20"/>
          <w14:textFill>
            <w14:solidFill>
              <w14:schemeClr w14:val="tx1"/>
            </w14:solidFill>
          </w14:textFill>
        </w:rPr>
        <w:t>8</w:t>
      </w:r>
      <w:r>
        <w:rPr>
          <w:rFonts w:ascii="楷体_GB2312" w:eastAsia="楷体_GB2312" w:cs="楷体_GB2312"/>
          <w:b/>
          <w:color w:val="000000" w:themeColor="text1"/>
          <w:sz w:val="20"/>
          <w:szCs w:val="20"/>
          <w14:textFill>
            <w14:solidFill>
              <w14:schemeClr w14:val="tx1"/>
            </w14:solidFill>
          </w14:textFill>
        </w:rPr>
        <w:t>．浮动管理费</w:t>
      </w:r>
    </w:p>
    <w:p w14:paraId="443EB698">
      <w:pPr>
        <w:snapToGrid w:val="0"/>
        <w:spacing w:line="300" w:lineRule="exact"/>
        <w:ind w:right="53" w:rightChars="22"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B类、G类、H类份额不收取浮动管理费。</w:t>
      </w:r>
    </w:p>
    <w:p w14:paraId="69678187">
      <w:pPr>
        <w:snapToGrid w:val="0"/>
        <w:spacing w:line="300" w:lineRule="exact"/>
        <w:ind w:firstLine="402" w:firstLineChars="200"/>
        <w:jc w:val="both"/>
        <w:outlineLvl w:val="0"/>
        <w:rPr>
          <w:rFonts w:ascii="楷体_GB2312" w:eastAsia="楷体_GB2312" w:cs="楷体_GB2312"/>
          <w:b/>
          <w:color w:val="000000" w:themeColor="text1"/>
          <w:sz w:val="20"/>
          <w:szCs w:val="20"/>
          <w14:textFill>
            <w14:solidFill>
              <w14:schemeClr w14:val="tx1"/>
            </w14:solidFill>
          </w14:textFill>
        </w:rPr>
      </w:pPr>
      <w:r>
        <w:rPr>
          <w:rFonts w:hint="eastAsia" w:ascii="楷体_GB2312" w:eastAsia="楷体_GB2312" w:cs="楷体_GB2312"/>
          <w:b/>
          <w:color w:val="000000" w:themeColor="text1"/>
          <w:sz w:val="20"/>
          <w:szCs w:val="20"/>
          <w14:textFill>
            <w14:solidFill>
              <w14:schemeClr w14:val="tx1"/>
            </w14:solidFill>
          </w14:textFill>
        </w:rPr>
        <w:t>9</w:t>
      </w:r>
      <w:r>
        <w:rPr>
          <w:rFonts w:ascii="楷体_GB2312" w:eastAsia="楷体_GB2312" w:cs="楷体_GB2312"/>
          <w:b/>
          <w:color w:val="000000" w:themeColor="text1"/>
          <w:sz w:val="20"/>
          <w:szCs w:val="20"/>
          <w14:textFill>
            <w14:solidFill>
              <w14:schemeClr w14:val="tx1"/>
            </w14:solidFill>
          </w14:textFill>
        </w:rPr>
        <w:t>．产品运作和清算中产生的其他资金汇划费、结算费、交易手续费、注册登记费、信息披露费、账户服务费、审计费、律师费</w:t>
      </w:r>
      <w:r>
        <w:rPr>
          <w:rFonts w:hint="eastAsia" w:ascii="楷体_GB2312" w:eastAsia="楷体_GB2312" w:cs="楷体_GB2312"/>
          <w:b/>
          <w:color w:val="000000" w:themeColor="text1"/>
          <w:sz w:val="20"/>
          <w:szCs w:val="20"/>
          <w14:textFill>
            <w14:solidFill>
              <w14:schemeClr w14:val="tx1"/>
            </w14:solidFill>
          </w14:textFill>
        </w:rPr>
        <w:t>、因投资资产而产生的资产推荐服务费等相关费用</w:t>
      </w:r>
      <w:r>
        <w:rPr>
          <w:rFonts w:ascii="楷体_GB2312" w:eastAsia="楷体_GB2312" w:cs="楷体_GB2312"/>
          <w:b/>
          <w:color w:val="000000" w:themeColor="text1"/>
          <w:sz w:val="20"/>
          <w:szCs w:val="20"/>
          <w14:textFill>
            <w14:solidFill>
              <w14:schemeClr w14:val="tx1"/>
            </w14:solidFill>
          </w14:textFill>
        </w:rPr>
        <w:t>及按照法律法规规章规定和理财产品销售文件约定应由产品承担的费用等，按照实际发生时从产品资产中列支。</w:t>
      </w:r>
    </w:p>
    <w:p w14:paraId="35D1597E">
      <w:pPr>
        <w:snapToGrid w:val="0"/>
        <w:spacing w:line="300" w:lineRule="exact"/>
        <w:ind w:left="-2" w:leftChars="-1" w:right="53" w:rightChars="22" w:firstLine="400" w:firstLineChars="200"/>
        <w:jc w:val="both"/>
        <w:outlineLvl w:val="0"/>
        <w:rPr>
          <w:rFonts w:ascii="楷体_GB2312" w:eastAsia="楷体_GB2312" w:cs="楷体_GB2312"/>
          <w:color w:val="000000" w:themeColor="text1"/>
          <w:sz w:val="20"/>
          <w:szCs w:val="20"/>
          <w14:textFill>
            <w14:solidFill>
              <w14:schemeClr w14:val="tx1"/>
            </w14:solidFill>
          </w14:textFill>
        </w:rPr>
      </w:pPr>
    </w:p>
    <w:p w14:paraId="4925DD5F">
      <w:pPr>
        <w:spacing w:line="300" w:lineRule="exact"/>
        <w:ind w:right="29" w:rightChars="12"/>
        <w:rPr>
          <w:rFonts w:ascii="黑体" w:eastAsia="黑体"/>
          <w:color w:val="000000" w:themeColor="text1"/>
          <w:sz w:val="20"/>
          <w:szCs w:val="20"/>
          <w14:textFill>
            <w14:solidFill>
              <w14:schemeClr w14:val="tx1"/>
            </w14:solidFill>
          </w14:textFill>
        </w:rPr>
      </w:pPr>
      <w:r>
        <w:rPr>
          <w:rFonts w:hint="eastAsia" w:ascii="黑体" w:eastAsia="黑体" w:cs="黑体"/>
          <w:color w:val="000000" w:themeColor="text1"/>
          <w:sz w:val="20"/>
          <w:szCs w:val="20"/>
          <w14:textFill>
            <w14:solidFill>
              <w14:schemeClr w14:val="tx1"/>
            </w14:solidFill>
          </w14:textFill>
        </w:rPr>
        <w:t>十、资产估值</w:t>
      </w:r>
    </w:p>
    <w:p w14:paraId="02DF5C2B">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．估值日</w:t>
      </w:r>
    </w:p>
    <w:p w14:paraId="4696C9B8">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w:t>
      </w:r>
      <w:r>
        <w:rPr>
          <w:rFonts w:ascii="楷体_GB2312" w:eastAsia="楷体_GB2312" w:cs="楷体_GB2312"/>
          <w:color w:val="000000" w:themeColor="text1"/>
          <w:sz w:val="20"/>
          <w:szCs w:val="20"/>
          <w14:textFill>
            <w14:solidFill>
              <w14:schemeClr w14:val="tx1"/>
            </w14:solidFill>
          </w14:textFill>
        </w:rPr>
        <w:t>产品的估值日为</w:t>
      </w:r>
      <w:r>
        <w:rPr>
          <w:rFonts w:hint="eastAsia" w:ascii="楷体_GB2312" w:eastAsia="楷体_GB2312" w:cs="楷体_GB2312"/>
          <w:color w:val="000000" w:themeColor="text1"/>
          <w:sz w:val="20"/>
          <w:szCs w:val="20"/>
          <w14:textFill>
            <w14:solidFill>
              <w14:schemeClr w14:val="tx1"/>
            </w14:solidFill>
          </w14:textFill>
        </w:rPr>
        <w:t>产品开放日、净值披露日和收益分配日</w:t>
      </w:r>
      <w:r>
        <w:rPr>
          <w:rFonts w:ascii="楷体_GB2312" w:eastAsia="楷体_GB2312" w:cs="楷体_GB2312"/>
          <w:color w:val="000000" w:themeColor="text1"/>
          <w:sz w:val="20"/>
          <w:szCs w:val="20"/>
          <w14:textFill>
            <w14:solidFill>
              <w14:schemeClr w14:val="tx1"/>
            </w14:solidFill>
          </w14:textFill>
        </w:rPr>
        <w:t>。</w:t>
      </w:r>
    </w:p>
    <w:p w14:paraId="32B5DEB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估值</w:t>
      </w:r>
      <w:r>
        <w:rPr>
          <w:rFonts w:ascii="楷体_GB2312" w:eastAsia="楷体_GB2312" w:cs="楷体_GB2312"/>
          <w:color w:val="000000" w:themeColor="text1"/>
          <w:sz w:val="20"/>
          <w:szCs w:val="20"/>
          <w14:textFill>
            <w14:solidFill>
              <w14:schemeClr w14:val="tx1"/>
            </w14:solidFill>
          </w14:textFill>
        </w:rPr>
        <w:t>对象和</w:t>
      </w:r>
      <w:r>
        <w:rPr>
          <w:rFonts w:hint="eastAsia" w:ascii="楷体_GB2312" w:eastAsia="楷体_GB2312" w:cs="楷体_GB2312"/>
          <w:color w:val="000000" w:themeColor="text1"/>
          <w:sz w:val="20"/>
          <w:szCs w:val="20"/>
          <w14:textFill>
            <w14:solidFill>
              <w14:schemeClr w14:val="tx1"/>
            </w14:solidFill>
          </w14:textFill>
        </w:rPr>
        <w:t>估值方法</w:t>
      </w:r>
    </w:p>
    <w:p w14:paraId="0A2A23B4">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【理财产品所投资各类资产原则上按照公允价值估值。</w:t>
      </w:r>
    </w:p>
    <w:p w14:paraId="5A22E435">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1）银行存款、回购等货币市场工具</w:t>
      </w:r>
    </w:p>
    <w:p w14:paraId="1BA1AA71">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以本金列示，按商定的利率在实际持有期间内逐日计提利息。</w:t>
      </w:r>
    </w:p>
    <w:p w14:paraId="0B2E4BC7">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2）在境内银行间市场和证券交易所流通的债券等标准化固定收益类资产</w:t>
      </w:r>
    </w:p>
    <w:p w14:paraId="447D94D5">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按第三方估值机构（中债、中证等）提供的相应品种当日的估值净价进行估值，未获取到第三方估值结果的，按照最新监管规定进行估值。</w:t>
      </w:r>
    </w:p>
    <w:p w14:paraId="112EB8E2">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3）交易所上市的非货币基金，按其所在证券交易所的收盘价或基金管理人公布能获取到的最新份额净值估值；交易所上市的货币基金，按基金管理人公布能获取到的最新份额净值，或前一估值日后至估值日期间（含节假日）能获取到的最新万分收益进行估值。</w:t>
      </w:r>
    </w:p>
    <w:p w14:paraId="51C92448">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4）未上市基金估值</w:t>
      </w:r>
    </w:p>
    <w:p w14:paraId="7B3A2C25">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境内未上市的货币市场基金，按基金管理人公布的前一估值日后至估值日期间（含节假日）能获取到的最新万份收益计提估值日收益。</w:t>
      </w:r>
    </w:p>
    <w:p w14:paraId="4103B4DA">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境内未上市的非货币市场基金，按基金管理人公布能获取到的最新份额净值估值。</w:t>
      </w:r>
    </w:p>
    <w:p w14:paraId="32A95E30">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5）信托计划、资管计划、私募基金等资产，以对方管理人披露的可获取到的最新净值，或前一估值日后至估值日期间（含节假日）能获取到的最新万分收益进行估值。</w:t>
      </w:r>
    </w:p>
    <w:p w14:paraId="2DCE7779">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6）非标准化债权，存在并可以确定公允价值的，以公允价值估值；公允价值不能确定的，按照最新监管规定或管理人认可的估值技术进行估值。</w:t>
      </w:r>
    </w:p>
    <w:p w14:paraId="69ED347D">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7）交易所上市的股票，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61766F3">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8）期货、互换、期权等衍生金融工具，有活跃市场的交易，以最近交易日结算价或收盘价进行估值；无活跃市场的交易，按照第三方机构提供的估值数据或管理人认可的估值技术进行估值。</w:t>
      </w:r>
    </w:p>
    <w:p w14:paraId="766F03FC">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9）若本产品存续期间持有其他投资品种，以管理人和托管人共同认可的方法估值。</w:t>
      </w:r>
    </w:p>
    <w:p w14:paraId="103D1A2D">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10）在任何情况下，如采用以上规定的方法对资产进行估值，均应被认为采用了适当的估值方法。但是，如果管理人或托管人认为按以上规定的方法对本产品资产进行估值不能客观反映其公允价值的，可协商一致后，变更其估值方式，并从协商一致日起执行。</w:t>
      </w:r>
    </w:p>
    <w:p w14:paraId="48B6A5CC">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11）对于以上估值方法，相关法律法规以及监管部门有另行规定的，按照监管最新规定执行。若本产品存续期间持有其他投资品种，以管理人和托管人共同认可的方法计算其价值，如存在并可以确定公允价值的，以公允价值计算。公允价值不能确定的，根据监管最新规定采用管理人认可的估值技术进行估值。</w:t>
      </w:r>
    </w:p>
    <w:p w14:paraId="01329870">
      <w:pPr>
        <w:spacing w:line="300" w:lineRule="exact"/>
        <w:ind w:firstLine="426" w:firstLineChars="213"/>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按照以上估值方法进行估值时，所造成的误差不作为理财产品估值错误处理。】</w:t>
      </w:r>
    </w:p>
    <w:p w14:paraId="7B6A05F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．估值</w:t>
      </w:r>
      <w:r>
        <w:rPr>
          <w:rFonts w:ascii="楷体_GB2312" w:eastAsia="楷体_GB2312" w:cs="楷体_GB2312"/>
          <w:color w:val="000000" w:themeColor="text1"/>
          <w:sz w:val="20"/>
          <w:szCs w:val="20"/>
          <w14:textFill>
            <w14:solidFill>
              <w14:schemeClr w14:val="tx1"/>
            </w14:solidFill>
          </w14:textFill>
        </w:rPr>
        <w:t>错误的</w:t>
      </w:r>
      <w:r>
        <w:rPr>
          <w:rFonts w:hint="eastAsia" w:ascii="楷体_GB2312" w:eastAsia="楷体_GB2312" w:cs="楷体_GB2312"/>
          <w:color w:val="000000" w:themeColor="text1"/>
          <w:sz w:val="20"/>
          <w:szCs w:val="20"/>
          <w14:textFill>
            <w14:solidFill>
              <w14:schemeClr w14:val="tx1"/>
            </w14:solidFill>
          </w14:textFill>
        </w:rPr>
        <w:t>处理</w:t>
      </w:r>
    </w:p>
    <w:p w14:paraId="12BA7F4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本产品管理人和托管人将采取必要、适当合理的措施确保资产估值的准确性、及时性。当单位净值出现错误时，本产品管理人和托管人应当立即予以纠正，并采取合理的措施防止损失进一步扩大。</w:t>
      </w:r>
    </w:p>
    <w:p w14:paraId="489511EC">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1）估值错误处理原则</w:t>
      </w:r>
    </w:p>
    <w:p w14:paraId="5668D978">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A由于管理人或托管人自身的过错造成估值错误，导致投资者遭受损失的，由估值错误责任方按照各自过错程度对该估值错误导致投资者遭受的直接损失给予赔偿，承担赔偿责任。</w:t>
      </w:r>
    </w:p>
    <w:p w14:paraId="1889AB04">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B对于因技术原因引起的差错，若系同行业现有技术水平无法预见、无法避免、无法抗拒，属不可抗力。因不可抗力原因出现差错的当事人不对投资者承担赔偿责任，但应当积极采取必要措施消除差错带来的影响。</w:t>
      </w:r>
    </w:p>
    <w:p w14:paraId="15B55D6B">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C因托管人估值错误造成财产损失时，管理人应向托管人追偿。若管理人和托管人之外的第三方估值差错造成财产的损失，并拒绝进行赔偿时，理财产品由管理人负责向差错方追偿；追偿过程中产生的有关费用，应列入理财产品费用，由理财产品承担。</w:t>
      </w:r>
    </w:p>
    <w:p w14:paraId="7E3E3574">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D当估值出现错误时，因估值错误而获得不当得利的投资者负有及时返还不当得利的义务。</w:t>
      </w:r>
    </w:p>
    <w:p w14:paraId="12B032DC">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E按法律法规规定的其他原则处理估值错误。</w:t>
      </w:r>
    </w:p>
    <w:p w14:paraId="2439006C">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2）估值错误处理程序</w:t>
      </w:r>
    </w:p>
    <w:p w14:paraId="7DD7E78F">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估值错误被发现后，管理人和托管人应当及时进行处理，处理的程序如下：</w:t>
      </w:r>
    </w:p>
    <w:p w14:paraId="0D42C634">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A查明估值错误发生的原因，列明所有的管理人和托管人并根据估值错误发生的原因确定估值错误的责任方；</w:t>
      </w:r>
    </w:p>
    <w:p w14:paraId="5C7EB87A">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B根据估值错误处理原则对因估值错误造成的损失进行评估；</w:t>
      </w:r>
    </w:p>
    <w:p w14:paraId="715E3E37">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C根据管理人和托管人协商的方法，由管理人和托管人共同进行更正，由估值错误的责任方进行赔偿损失。</w:t>
      </w:r>
    </w:p>
    <w:p w14:paraId="06B80926">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4．</w:t>
      </w:r>
      <w:r>
        <w:rPr>
          <w:rFonts w:ascii="楷体_GB2312" w:eastAsia="楷体_GB2312"/>
          <w:color w:val="000000" w:themeColor="text1"/>
          <w:sz w:val="20"/>
          <w:szCs w:val="20"/>
          <w14:textFill>
            <w14:solidFill>
              <w14:schemeClr w14:val="tx1"/>
            </w14:solidFill>
          </w14:textFill>
        </w:rPr>
        <w:t>特殊情况的处理</w:t>
      </w:r>
    </w:p>
    <w:p w14:paraId="6C976AFF">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1）由于不可抗力原因，或由于证券交易所、期货交易所、第三方估值机构、信托公司、基金公司等发送数据错误等非管理人和托管人原因，管理人和托管人虽然已经采取必要、适当、合理的措施进行检查，但未能发现错误的，由此造成的估值错误，管理人和托管人免除赔偿责任。但管理人、托管人应当积极采取必要的措施减轻或消除由此造成的影响。</w:t>
      </w:r>
    </w:p>
    <w:p w14:paraId="5491678D">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w:t>
      </w:r>
      <w:r>
        <w:rPr>
          <w:rFonts w:ascii="楷体_GB2312" w:eastAsia="楷体_GB2312"/>
          <w:color w:val="000000" w:themeColor="text1"/>
          <w:sz w:val="20"/>
          <w:szCs w:val="20"/>
          <w14:textFill>
            <w14:solidFill>
              <w14:schemeClr w14:val="tx1"/>
            </w14:solidFill>
          </w14:textFill>
        </w:rPr>
        <w:t>2）前述内容如法律法规、监管机关另有规定的，或有关会计准则发生变化等，按照国家最新规定或管理人最新约定估值。如果行业另有通行做法，管理人和托管人本着平等和保护投资者的原则进行协商。</w:t>
      </w:r>
    </w:p>
    <w:p w14:paraId="458DDCDD">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ascii="楷体_GB2312" w:eastAsia="楷体_GB2312"/>
          <w:color w:val="000000" w:themeColor="text1"/>
          <w:sz w:val="20"/>
          <w:szCs w:val="20"/>
          <w14:textFill>
            <w14:solidFill>
              <w14:schemeClr w14:val="tx1"/>
            </w14:solidFill>
          </w14:textFill>
        </w:rPr>
        <w:t>5．暂停估值的情形</w:t>
      </w:r>
    </w:p>
    <w:p w14:paraId="144EF332">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当资产估值因不可抗力或其他情形致使本产品管理人和托管人无法准确评估资产价值时；</w:t>
      </w:r>
    </w:p>
    <w:p w14:paraId="5EA6B5D1">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2）理财产品投资所涉及的交易市场遇法定节假日或因其他原因暂停营业时；</w:t>
      </w:r>
    </w:p>
    <w:p w14:paraId="4BCDED6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3）</w:t>
      </w:r>
      <w:r>
        <w:rPr>
          <w:rFonts w:hint="eastAsia" w:ascii="楷体_GB2312" w:eastAsia="楷体_GB2312" w:cs="楷体_GB2312"/>
          <w:color w:val="000000" w:themeColor="text1"/>
          <w:sz w:val="20"/>
          <w:szCs w:val="20"/>
          <w14:textFill>
            <w14:solidFill>
              <w14:schemeClr w14:val="tx1"/>
            </w14:solidFill>
          </w14:textFill>
        </w:rPr>
        <w:t>理财</w:t>
      </w:r>
      <w:r>
        <w:rPr>
          <w:rFonts w:ascii="楷体_GB2312" w:eastAsia="楷体_GB2312" w:cs="楷体_GB2312"/>
          <w:color w:val="000000" w:themeColor="text1"/>
          <w:sz w:val="20"/>
          <w:szCs w:val="20"/>
          <w14:textFill>
            <w14:solidFill>
              <w14:schemeClr w14:val="tx1"/>
            </w14:solidFill>
          </w14:textFill>
        </w:rPr>
        <w:t>产品投资的其他</w:t>
      </w:r>
      <w:r>
        <w:rPr>
          <w:rFonts w:hint="eastAsia" w:ascii="楷体_GB2312" w:eastAsia="楷体_GB2312" w:cs="楷体_GB2312"/>
          <w:color w:val="000000" w:themeColor="text1"/>
          <w:sz w:val="20"/>
          <w:szCs w:val="20"/>
          <w14:textFill>
            <w14:solidFill>
              <w14:schemeClr w14:val="tx1"/>
            </w14:solidFill>
          </w14:textFill>
        </w:rPr>
        <w:t>资产</w:t>
      </w:r>
      <w:r>
        <w:rPr>
          <w:rFonts w:ascii="楷体_GB2312" w:eastAsia="楷体_GB2312" w:cs="楷体_GB2312"/>
          <w:color w:val="000000" w:themeColor="text1"/>
          <w:sz w:val="20"/>
          <w:szCs w:val="20"/>
          <w14:textFill>
            <w14:solidFill>
              <w14:schemeClr w14:val="tx1"/>
            </w14:solidFill>
          </w14:textFill>
        </w:rPr>
        <w:t>产品合同约定暂停估值或无法估值的情形发生，导致理财产品无法估值时；</w:t>
      </w:r>
    </w:p>
    <w:p w14:paraId="70FC086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4）</w:t>
      </w:r>
      <w:r>
        <w:rPr>
          <w:rFonts w:hint="eastAsia" w:ascii="楷体_GB2312" w:eastAsia="楷体_GB2312" w:cs="楷体_GB2312"/>
          <w:color w:val="000000" w:themeColor="text1"/>
          <w:sz w:val="20"/>
          <w:szCs w:val="20"/>
          <w14:textFill>
            <w14:solidFill>
              <w14:schemeClr w14:val="tx1"/>
            </w14:solidFill>
          </w14:textFill>
        </w:rPr>
        <w:t>产品在前一估值日内，产品资产净值</w:t>
      </w:r>
      <w:r>
        <w:rPr>
          <w:rFonts w:ascii="楷体_GB2312" w:eastAsia="楷体_GB2312" w:cs="楷体_GB2312"/>
          <w:color w:val="000000" w:themeColor="text1"/>
          <w:sz w:val="20"/>
          <w:szCs w:val="20"/>
          <w14:textFill>
            <w14:solidFill>
              <w14:schemeClr w14:val="tx1"/>
            </w14:solidFill>
          </w14:textFill>
        </w:rPr>
        <w:t>50%以上的资产不具备活跃交易市场或者在活跃市场中无报价，且不能采用估值技术可靠计量公允价值的</w:t>
      </w:r>
      <w:r>
        <w:rPr>
          <w:rFonts w:hint="eastAsia" w:ascii="楷体_GB2312" w:eastAsia="楷体_GB2312" w:cs="楷体_GB2312"/>
          <w:color w:val="000000" w:themeColor="text1"/>
          <w:sz w:val="20"/>
          <w:szCs w:val="20"/>
          <w14:textFill>
            <w14:solidFill>
              <w14:schemeClr w14:val="tx1"/>
            </w14:solidFill>
          </w14:textFill>
        </w:rPr>
        <w:t>；</w:t>
      </w:r>
    </w:p>
    <w:p w14:paraId="5362684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（5</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国务院银行业监督管理机构认定的其他情形或理财</w:t>
      </w:r>
      <w:r>
        <w:rPr>
          <w:rFonts w:ascii="楷体_GB2312" w:eastAsia="楷体_GB2312" w:cs="楷体_GB2312"/>
          <w:color w:val="000000" w:themeColor="text1"/>
          <w:sz w:val="20"/>
          <w:szCs w:val="20"/>
          <w14:textFill>
            <w14:solidFill>
              <w14:schemeClr w14:val="tx1"/>
            </w14:solidFill>
          </w14:textFill>
        </w:rPr>
        <w:t>产品管理人、托管人有合理理由认为将影响本理财产品估值的其他情形</w:t>
      </w:r>
      <w:r>
        <w:rPr>
          <w:rFonts w:hint="eastAsia" w:ascii="楷体_GB2312" w:eastAsia="楷体_GB2312" w:cs="楷体_GB2312"/>
          <w:color w:val="000000" w:themeColor="text1"/>
          <w:sz w:val="20"/>
          <w:szCs w:val="20"/>
          <w14:textFill>
            <w14:solidFill>
              <w14:schemeClr w14:val="tx1"/>
            </w14:solidFill>
          </w14:textFill>
        </w:rPr>
        <w:t>。</w:t>
      </w:r>
    </w:p>
    <w:p w14:paraId="09B2A584">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遇以上情形，管理人可暂停本产品估值直至另行通知。</w:t>
      </w:r>
    </w:p>
    <w:p w14:paraId="316EC785">
      <w:pPr>
        <w:snapToGrid w:val="0"/>
        <w:spacing w:line="300" w:lineRule="exact"/>
        <w:ind w:right="53" w:rightChars="22"/>
        <w:outlineLvl w:val="0"/>
        <w:rPr>
          <w:rFonts w:ascii="楷体_GB2312" w:eastAsia="楷体_GB2312"/>
          <w:color w:val="000000" w:themeColor="text1"/>
          <w:sz w:val="20"/>
          <w:szCs w:val="20"/>
          <w14:textFill>
            <w14:solidFill>
              <w14:schemeClr w14:val="tx1"/>
            </w14:solidFill>
          </w14:textFill>
        </w:rPr>
      </w:pPr>
    </w:p>
    <w:p w14:paraId="5DD407A1">
      <w:pPr>
        <w:spacing w:line="300" w:lineRule="exact"/>
        <w:ind w:left="-2" w:leftChars="-1" w:right="36" w:rightChars="15"/>
        <w:rPr>
          <w:color w:val="000000" w:themeColor="text1"/>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十一、产品不成立</w:t>
      </w:r>
    </w:p>
    <w:p w14:paraId="7490EE94">
      <w:pPr>
        <w:spacing w:line="300" w:lineRule="exact"/>
        <w:ind w:firstLine="400" w:firstLineChars="200"/>
        <w:jc w:val="both"/>
        <w:rPr>
          <w:color w:val="000000" w:themeColor="text1"/>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如遇国家法律法规或监管政策出现重大调整，或者市场、拟投资标的等</w:t>
      </w:r>
      <w:r>
        <w:rPr>
          <w:rFonts w:ascii="楷体_GB2312" w:eastAsia="楷体_GB2312" w:cs="楷体_GB2312"/>
          <w:color w:val="000000" w:themeColor="text1"/>
          <w:sz w:val="20"/>
          <w:szCs w:val="20"/>
          <w14:textFill>
            <w14:solidFill>
              <w14:schemeClr w14:val="tx1"/>
            </w14:solidFill>
          </w14:textFill>
        </w:rPr>
        <w:t>情况</w:t>
      </w:r>
      <w:r>
        <w:rPr>
          <w:rFonts w:hint="eastAsia" w:ascii="楷体_GB2312" w:eastAsia="楷体_GB2312" w:cs="楷体_GB2312"/>
          <w:color w:val="000000" w:themeColor="text1"/>
          <w:sz w:val="20"/>
          <w:szCs w:val="20"/>
          <w14:textFill>
            <w14:solidFill>
              <w14:schemeClr w14:val="tx1"/>
            </w14:solidFill>
          </w14:textFill>
        </w:rPr>
        <w:t>出现重大变化，影响到本产品的正常成立时，信银理财有权宣布产品不成立。</w:t>
      </w:r>
    </w:p>
    <w:p w14:paraId="08B2D6AD">
      <w:pPr>
        <w:spacing w:line="300" w:lineRule="exact"/>
        <w:ind w:firstLine="400" w:firstLineChars="200"/>
        <w:jc w:val="both"/>
        <w:rPr>
          <w:rFonts w:ascii="Times New Roman" w:hAnsi="Times New Roman"/>
          <w:b/>
          <w:bCs/>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2．</w:t>
      </w:r>
      <w:r>
        <w:rPr>
          <w:rFonts w:hint="eastAsia" w:ascii="楷体_GB2312" w:eastAsia="楷体_GB2312" w:cs="楷体_GB2312"/>
          <w:color w:val="000000" w:themeColor="text1"/>
          <w:sz w:val="20"/>
          <w:szCs w:val="20"/>
          <w14:textFill>
            <w14:solidFill>
              <w14:schemeClr w14:val="tx1"/>
            </w14:solidFill>
          </w14:textFill>
        </w:rPr>
        <w:t>信银理财将于决定理财产品不成立后的【2】个工作日内</w:t>
      </w:r>
      <w:r>
        <w:rPr>
          <w:rFonts w:ascii="楷体_GB2312" w:eastAsia="楷体_GB2312" w:cs="楷体_GB2312"/>
          <w:color w:val="000000" w:themeColor="text1"/>
          <w:sz w:val="20"/>
          <w:szCs w:val="20"/>
          <w14:textFill>
            <w14:solidFill>
              <w14:schemeClr w14:val="tx1"/>
            </w14:solidFill>
          </w14:textFill>
        </w:rPr>
        <w:t>通知投资者</w:t>
      </w:r>
      <w:r>
        <w:rPr>
          <w:rFonts w:hint="eastAsia" w:ascii="楷体_GB2312" w:eastAsia="楷体_GB2312" w:cs="楷体_GB2312"/>
          <w:color w:val="000000" w:themeColor="text1"/>
          <w:sz w:val="20"/>
          <w:szCs w:val="20"/>
          <w14:textFill>
            <w14:solidFill>
              <w14:schemeClr w14:val="tx1"/>
            </w14:solidFill>
          </w14:textFill>
        </w:rPr>
        <w:t>。如信银理财通知产品不成立，将于通知产品不成立之日起【2】个工作日内返还投资者本金（扣款日至本金返还日期间不计付利息。投资者通过代销机构购买的，计息规则以代销机构规定为准）。投资者通过代销机构渠道购买理财产品的，投资者本金划转至投资者账户的时间以代销机构的清算时间为准。</w:t>
      </w:r>
      <w:r>
        <w:rPr>
          <w:rFonts w:ascii="Times New Roman" w:hAnsi="Times New Roman"/>
          <w:b/>
          <w:bCs/>
          <w:color w:val="000000" w:themeColor="text1"/>
          <w:sz w:val="20"/>
          <w:szCs w:val="20"/>
          <w14:textFill>
            <w14:solidFill>
              <w14:schemeClr w14:val="tx1"/>
            </w14:solidFill>
          </w14:textFill>
        </w:rPr>
        <w:t> </w:t>
      </w:r>
    </w:p>
    <w:p w14:paraId="7CA108EA">
      <w:pPr>
        <w:spacing w:line="300" w:lineRule="exact"/>
        <w:ind w:left="-2" w:leftChars="-1" w:right="36" w:rightChars="15" w:firstLine="480" w:firstLineChars="200"/>
        <w:jc w:val="both"/>
        <w:rPr>
          <w:color w:val="000000" w:themeColor="text1"/>
          <w14:textFill>
            <w14:solidFill>
              <w14:schemeClr w14:val="tx1"/>
            </w14:solidFill>
          </w14:textFill>
        </w:rPr>
      </w:pPr>
    </w:p>
    <w:p w14:paraId="2622D079">
      <w:pPr>
        <w:snapToGrid w:val="0"/>
        <w:ind w:left="-2" w:leftChars="-1" w:right="53" w:rightChars="22"/>
        <w:outlineLvl w:val="0"/>
        <w:rPr>
          <w:color w:val="000000" w:themeColor="text1"/>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十二、产品的提前终止</w:t>
      </w:r>
    </w:p>
    <w:p w14:paraId="25B0A84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1．</w:t>
      </w:r>
      <w:r>
        <w:rPr>
          <w:rFonts w:hint="eastAsia" w:ascii="楷体_GB2312" w:eastAsia="楷体_GB2312" w:cs="楷体_GB2312"/>
          <w:color w:val="000000" w:themeColor="text1"/>
          <w:sz w:val="20"/>
          <w:szCs w:val="20"/>
          <w14:textFill>
            <w14:solidFill>
              <w14:schemeClr w14:val="tx1"/>
            </w14:solidFill>
          </w14:textFill>
        </w:rPr>
        <w:t>本理财产品存续期内，投资者无权单方面主动决定终止本理财产品。为保护投资者利益，理财产品管理人有权按照本理财产品资金运作的实际情况，主动终止本理财产品。理财产品管理人提前终止本理财产品的原因包括但不限于：</w:t>
      </w:r>
    </w:p>
    <w:p w14:paraId="0A9F1AD0">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（1）遇不可</w:t>
      </w:r>
      <w:r>
        <w:rPr>
          <w:rFonts w:ascii="楷体_GB2312" w:eastAsia="楷体_GB2312" w:cs="楷体_GB2312"/>
          <w:color w:val="000000" w:themeColor="text1"/>
          <w:sz w:val="20"/>
          <w:szCs w:val="20"/>
          <w14:textFill>
            <w14:solidFill>
              <w14:schemeClr w14:val="tx1"/>
            </w14:solidFill>
          </w14:textFill>
        </w:rPr>
        <w:t>抗力事件</w:t>
      </w:r>
      <w:r>
        <w:rPr>
          <w:rFonts w:hint="eastAsia" w:ascii="楷体_GB2312" w:eastAsia="楷体_GB2312" w:cs="楷体_GB2312"/>
          <w:color w:val="000000" w:themeColor="text1"/>
          <w:sz w:val="20"/>
          <w:szCs w:val="20"/>
          <w14:textFill>
            <w14:solidFill>
              <w14:schemeClr w14:val="tx1"/>
            </w14:solidFill>
          </w14:textFill>
        </w:rPr>
        <w:t>、</w:t>
      </w:r>
      <w:r>
        <w:rPr>
          <w:rFonts w:ascii="楷体_GB2312" w:eastAsia="楷体_GB2312" w:cs="楷体_GB2312"/>
          <w:color w:val="000000" w:themeColor="text1"/>
          <w:sz w:val="20"/>
          <w:szCs w:val="20"/>
          <w14:textFill>
            <w14:solidFill>
              <w14:schemeClr w14:val="tx1"/>
            </w14:solidFill>
          </w14:textFill>
        </w:rPr>
        <w:t>法律法规</w:t>
      </w:r>
      <w:r>
        <w:rPr>
          <w:rFonts w:hint="eastAsia" w:ascii="楷体_GB2312" w:eastAsia="楷体_GB2312" w:cs="楷体_GB2312"/>
          <w:color w:val="000000" w:themeColor="text1"/>
          <w:sz w:val="20"/>
          <w:szCs w:val="20"/>
          <w14:textFill>
            <w14:solidFill>
              <w14:schemeClr w14:val="tx1"/>
            </w14:solidFill>
          </w14:textFill>
        </w:rPr>
        <w:t>规定、</w:t>
      </w:r>
      <w:r>
        <w:rPr>
          <w:rFonts w:ascii="楷体_GB2312" w:eastAsia="楷体_GB2312" w:cs="楷体_GB2312"/>
          <w:color w:val="000000" w:themeColor="text1"/>
          <w:sz w:val="20"/>
          <w:szCs w:val="20"/>
          <w14:textFill>
            <w14:solidFill>
              <w14:schemeClr w14:val="tx1"/>
            </w14:solidFill>
          </w14:textFill>
        </w:rPr>
        <w:t>国家有权机关强制要求等原因导致理财产品无法继续存续</w:t>
      </w:r>
      <w:r>
        <w:rPr>
          <w:rFonts w:hint="eastAsia" w:ascii="楷体_GB2312" w:eastAsia="楷体_GB2312" w:cs="楷体_GB2312"/>
          <w:color w:val="000000" w:themeColor="text1"/>
          <w:sz w:val="20"/>
          <w:szCs w:val="20"/>
          <w14:textFill>
            <w14:solidFill>
              <w14:schemeClr w14:val="tx1"/>
            </w14:solidFill>
          </w14:textFill>
        </w:rPr>
        <w:t>的；</w:t>
      </w:r>
    </w:p>
    <w:p w14:paraId="1819B6E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（2）遇国家金融政策出现重大调整，或本产品所投资资产市场价格大幅下滑，或信银理财认为将</w:t>
      </w:r>
      <w:r>
        <w:rPr>
          <w:rFonts w:ascii="楷体_GB2312" w:eastAsia="楷体_GB2312" w:cs="楷体_GB2312"/>
          <w:color w:val="000000" w:themeColor="text1"/>
          <w:sz w:val="20"/>
          <w:szCs w:val="20"/>
          <w14:textFill>
            <w14:solidFill>
              <w14:schemeClr w14:val="tx1"/>
            </w14:solidFill>
          </w14:textFill>
        </w:rPr>
        <w:t>影响理财产品正常运作</w:t>
      </w:r>
      <w:r>
        <w:rPr>
          <w:rFonts w:hint="eastAsia" w:ascii="楷体_GB2312" w:eastAsia="楷体_GB2312" w:cs="楷体_GB2312"/>
          <w:color w:val="000000" w:themeColor="text1"/>
          <w:sz w:val="20"/>
          <w:szCs w:val="20"/>
          <w14:textFill>
            <w14:solidFill>
              <w14:schemeClr w14:val="tx1"/>
            </w14:solidFill>
          </w14:textFill>
        </w:rPr>
        <w:t>、需要提前终止本产品的其他情形的；</w:t>
      </w:r>
    </w:p>
    <w:p w14:paraId="4E4F141F">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（3）本产品所投资资产的信用状况发生恶化，信银理财合理判断可能影响到期正常兑付时；</w:t>
      </w:r>
    </w:p>
    <w:p w14:paraId="4D7C4A88">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（4）因投资者理财资金被有权机关扣划等原因导致理财产品剩余资产无法满足相关法律法规规定、所投资市场要求或协议等相关法律文件约定，或者继续存续无法实现投资目的；</w:t>
      </w:r>
    </w:p>
    <w:p w14:paraId="53054A0A">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（5）因相关投资管理机构解散、破产、撤销、被取消业务资格等原因无法继续履行相应职责导致产品无法继续运作；</w:t>
      </w:r>
    </w:p>
    <w:p w14:paraId="52EC50E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（6）相关投资管理机构或运用理财资金的第三方主体实施符合法律法规规定或协议等相关文件约定的行为导致理财产品被动提前终止；</w:t>
      </w:r>
    </w:p>
    <w:p w14:paraId="6CD405E3">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（7）提前终止产品比维持产品运作更有利于保护产品持有人的权益；</w:t>
      </w:r>
    </w:p>
    <w:p w14:paraId="1DDAC1EC">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（8）法律法规规定或监管部门认定的其他情形。</w:t>
      </w:r>
    </w:p>
    <w:p w14:paraId="4E9A01FD">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2</w:t>
      </w:r>
      <w:r>
        <w:rPr>
          <w:rFonts w:ascii="楷体_GB2312" w:eastAsia="楷体_GB2312" w:cs="楷体_GB2312"/>
          <w:color w:val="000000" w:themeColor="text1"/>
          <w:sz w:val="20"/>
          <w:szCs w:val="20"/>
          <w14:textFill>
            <w14:solidFill>
              <w14:schemeClr w14:val="tx1"/>
            </w14:solidFill>
          </w14:textFill>
        </w:rPr>
        <w:t>．</w:t>
      </w:r>
      <w:r>
        <w:rPr>
          <w:rFonts w:hint="eastAsia" w:ascii="楷体_GB2312" w:eastAsia="楷体_GB2312" w:cs="楷体_GB2312"/>
          <w:color w:val="000000" w:themeColor="text1"/>
          <w:sz w:val="20"/>
          <w:szCs w:val="20"/>
          <w14:textFill>
            <w14:solidFill>
              <w14:schemeClr w14:val="tx1"/>
            </w14:solidFill>
          </w14:textFill>
        </w:rPr>
        <w:t>如果信银理财提前终止本理财产品，信银理财将于提前终止日前【2】个工作日通知投资者，并在提前终止日后【5】个工作日内支付投资者应得</w:t>
      </w:r>
      <w:r>
        <w:rPr>
          <w:rFonts w:ascii="楷体_GB2312" w:eastAsia="楷体_GB2312" w:cs="楷体_GB2312"/>
          <w:color w:val="000000" w:themeColor="text1"/>
          <w:sz w:val="20"/>
          <w:szCs w:val="20"/>
          <w14:textFill>
            <w14:solidFill>
              <w14:schemeClr w14:val="tx1"/>
            </w14:solidFill>
          </w14:textFill>
        </w:rPr>
        <w:t>资金</w:t>
      </w:r>
      <w:r>
        <w:rPr>
          <w:rFonts w:hint="eastAsia" w:ascii="楷体_GB2312" w:eastAsia="楷体_GB2312" w:cs="楷体_GB2312"/>
          <w:color w:val="000000" w:themeColor="text1"/>
          <w:sz w:val="20"/>
          <w:szCs w:val="20"/>
          <w14:textFill>
            <w14:solidFill>
              <w14:schemeClr w14:val="tx1"/>
            </w14:solidFill>
          </w14:textFill>
        </w:rPr>
        <w:t>。投资者通过</w:t>
      </w:r>
      <w:r>
        <w:rPr>
          <w:rFonts w:ascii="楷体_GB2312" w:eastAsia="楷体_GB2312" w:cs="楷体_GB2312"/>
          <w:color w:val="000000" w:themeColor="text1"/>
          <w:sz w:val="20"/>
          <w:szCs w:val="20"/>
          <w14:textFill>
            <w14:solidFill>
              <w14:schemeClr w14:val="tx1"/>
            </w14:solidFill>
          </w14:textFill>
        </w:rPr>
        <w:t>代销机构购买本理财产品的</w:t>
      </w:r>
      <w:r>
        <w:rPr>
          <w:rFonts w:hint="eastAsia" w:ascii="楷体_GB2312" w:eastAsia="楷体_GB2312" w:cs="楷体_GB2312"/>
          <w:color w:val="000000" w:themeColor="text1"/>
          <w:sz w:val="20"/>
          <w:szCs w:val="20"/>
          <w14:textFill>
            <w14:solidFill>
              <w14:schemeClr w14:val="tx1"/>
            </w14:solidFill>
          </w14:textFill>
        </w:rPr>
        <w:t>，理财资金划转至投资者账户的时间以该代销机构的清算时间为准。若产品提前终止，产品到期日相应调整为提前终止日。</w:t>
      </w:r>
    </w:p>
    <w:p w14:paraId="5C941989">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3</w:t>
      </w:r>
      <w:r>
        <w:rPr>
          <w:rFonts w:ascii="楷体_GB2312" w:eastAsia="楷体_GB2312" w:cs="楷体_GB2312"/>
          <w:color w:val="000000" w:themeColor="text1"/>
          <w:sz w:val="20"/>
          <w:szCs w:val="20"/>
          <w14:textFill>
            <w14:solidFill>
              <w14:schemeClr w14:val="tx1"/>
            </w14:solidFill>
          </w14:textFill>
        </w:rPr>
        <w:t>．理财产品不因投资者死亡、丧失民事行为能力、破产而终止；投资者的法定继承人、承继人或指定受益人以及继任管理人承担本理财产品项下的相应权利和义务。</w:t>
      </w:r>
    </w:p>
    <w:p w14:paraId="01EA90CA">
      <w:pPr>
        <w:snapToGrid w:val="0"/>
        <w:ind w:left="-2" w:leftChars="-1" w:right="53" w:rightChars="22" w:firstLine="480" w:firstLineChars="200"/>
        <w:jc w:val="both"/>
        <w:rPr>
          <w:color w:val="000000" w:themeColor="text1"/>
          <w14:textFill>
            <w14:solidFill>
              <w14:schemeClr w14:val="tx1"/>
            </w14:solidFill>
          </w14:textFill>
        </w:rPr>
      </w:pPr>
    </w:p>
    <w:p w14:paraId="5EA2D6AD">
      <w:pPr>
        <w:snapToGrid w:val="0"/>
        <w:ind w:left="-2" w:leftChars="-1" w:right="53" w:rightChars="22"/>
        <w:outlineLvl w:val="0"/>
        <w:rPr>
          <w:color w:val="000000" w:themeColor="text1"/>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十三、产品的延期清算</w:t>
      </w:r>
    </w:p>
    <w:p w14:paraId="78687E0A">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hint="eastAsia" w:ascii="楷体_GB2312" w:eastAsia="楷体_GB2312" w:cs="楷体_GB2312"/>
          <w:color w:val="000000" w:themeColor="text1"/>
          <w:sz w:val="20"/>
          <w:szCs w:val="20"/>
          <w14:textFill>
            <w14:solidFill>
              <w14:schemeClr w14:val="tx1"/>
            </w14:solidFill>
          </w14:textFill>
        </w:rPr>
        <w:t>如遇国家金融政策、监管政策、相关法律法规发生变化，或本产品所投资资产的市场发生重大市场波动，或融资方、资产发行人及交易方出现违约或未按约定偿还本息、或投资市场出现流动性不足、资产未能正常买卖结算或后续加入资金不足及其他情形导致投资资产不能及时变现，则信银理财有权将产品实际结算延长至相关投资资产变现或追偿处置完毕为止，产品管理人将尽快对相关资产进行变现，并将变现后的非现金类资产与原有现金类资产在扣除相关费用后向投资者分配。</w:t>
      </w:r>
    </w:p>
    <w:p w14:paraId="5168B106">
      <w:pPr>
        <w:spacing w:line="300" w:lineRule="exact"/>
        <w:ind w:firstLine="400" w:firstLineChars="200"/>
        <w:jc w:val="both"/>
        <w:rPr>
          <w:rFonts w:ascii="楷体_GB2312" w:eastAsia="楷体_GB2312" w:cs="楷体_GB2312"/>
          <w:color w:val="000000" w:themeColor="text1"/>
          <w:sz w:val="20"/>
          <w:szCs w:val="20"/>
          <w14:textFill>
            <w14:solidFill>
              <w14:schemeClr w14:val="tx1"/>
            </w14:solidFill>
          </w14:textFill>
        </w:rPr>
      </w:pPr>
      <w:r>
        <w:rPr>
          <w:rFonts w:ascii="楷体_GB2312" w:eastAsia="楷体_GB2312" w:cs="楷体_GB2312"/>
          <w:color w:val="000000" w:themeColor="text1"/>
          <w:sz w:val="20"/>
          <w:szCs w:val="20"/>
          <w14:textFill>
            <w14:solidFill>
              <w14:schemeClr w14:val="tx1"/>
            </w14:solidFill>
          </w14:textFill>
        </w:rPr>
        <w:t> </w:t>
      </w:r>
    </w:p>
    <w:p w14:paraId="205E5EF9">
      <w:pPr>
        <w:snapToGrid w:val="0"/>
        <w:ind w:left="-2" w:leftChars="-1" w:right="53" w:rightChars="22"/>
        <w:outlineLvl w:val="0"/>
        <w:rPr>
          <w:rFonts w:ascii="黑体" w:hAnsi="Times New Roman" w:eastAsia="黑体" w:cs="黑体"/>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十四、产品管理人与投资者权利义务</w:t>
      </w:r>
    </w:p>
    <w:p w14:paraId="6F6BCAE7">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1．</w:t>
      </w:r>
      <w:r>
        <w:rPr>
          <w:rFonts w:ascii="Times New Roman" w:hAnsi="Times New Roman" w:eastAsia="楷体_GB2312" w:cs="楷体_GB2312"/>
          <w:b/>
          <w:color w:val="000000" w:themeColor="text1"/>
          <w:sz w:val="20"/>
          <w:szCs w:val="20"/>
          <w14:textFill>
            <w14:solidFill>
              <w14:schemeClr w14:val="tx1"/>
            </w14:solidFill>
          </w14:textFill>
        </w:rPr>
        <w:t>产品管理人声明与保证</w:t>
      </w:r>
    </w:p>
    <w:p w14:paraId="5E7CEED5">
      <w:pPr>
        <w:snapToGrid w:val="0"/>
        <w:ind w:firstLine="402" w:firstLineChars="200"/>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（1）</w:t>
      </w:r>
      <w:r>
        <w:rPr>
          <w:rFonts w:ascii="Times New Roman" w:hAnsi="Times New Roman" w:eastAsia="楷体_GB2312" w:cs="楷体_GB2312"/>
          <w:b/>
          <w:color w:val="000000" w:themeColor="text1"/>
          <w:sz w:val="20"/>
          <w:szCs w:val="20"/>
          <w14:textFill>
            <w14:solidFill>
              <w14:schemeClr w14:val="tx1"/>
            </w14:solidFill>
          </w14:textFill>
        </w:rPr>
        <w:t>产品管理人具有开办理财业务的经营资质，保证以诚实守信、勤勉尽职的原则管理和运用理财资金；</w:t>
      </w:r>
    </w:p>
    <w:p w14:paraId="15FEC035">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（2）</w:t>
      </w:r>
      <w:r>
        <w:rPr>
          <w:rFonts w:ascii="Times New Roman" w:hAnsi="Times New Roman" w:eastAsia="楷体_GB2312" w:cs="楷体_GB2312"/>
          <w:b/>
          <w:color w:val="000000" w:themeColor="text1"/>
          <w:sz w:val="20"/>
          <w:szCs w:val="20"/>
          <w14:textFill>
            <w14:solidFill>
              <w14:schemeClr w14:val="tx1"/>
            </w14:solidFill>
          </w14:textFill>
        </w:rPr>
        <w:t>产品管理人具有完全适当的资格和能力订立与履行本理财产品合同。</w:t>
      </w:r>
    </w:p>
    <w:p w14:paraId="0A0D6A55">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2．</w:t>
      </w:r>
      <w:r>
        <w:rPr>
          <w:rFonts w:ascii="Times New Roman" w:hAnsi="Times New Roman" w:eastAsia="楷体_GB2312" w:cs="楷体_GB2312"/>
          <w:b/>
          <w:color w:val="000000" w:themeColor="text1"/>
          <w:sz w:val="20"/>
          <w:szCs w:val="20"/>
          <w14:textFill>
            <w14:solidFill>
              <w14:schemeClr w14:val="tx1"/>
            </w14:solidFill>
          </w14:textFill>
        </w:rPr>
        <w:t>投资者声明与保证</w:t>
      </w:r>
    </w:p>
    <w:p w14:paraId="1A43E576">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（1）</w:t>
      </w:r>
      <w:r>
        <w:rPr>
          <w:rFonts w:ascii="Times New Roman" w:hAnsi="Times New Roman" w:eastAsia="楷体_GB2312" w:cs="楷体_GB2312"/>
          <w:b/>
          <w:color w:val="000000" w:themeColor="text1"/>
          <w:sz w:val="20"/>
          <w:szCs w:val="20"/>
          <w14:textFill>
            <w14:solidFill>
              <w14:schemeClr w14:val="tx1"/>
            </w14:solidFill>
          </w14:textFill>
        </w:rPr>
        <w:t>投资者具有完全民事行为能力，有完全适当的资格与能力订立并履行本理财产品</w:t>
      </w:r>
      <w:r>
        <w:rPr>
          <w:rFonts w:hint="eastAsia" w:ascii="Times New Roman" w:hAnsi="Times New Roman" w:eastAsia="楷体_GB2312" w:cs="楷体_GB2312"/>
          <w:b/>
          <w:color w:val="000000" w:themeColor="text1"/>
          <w:sz w:val="20"/>
          <w:szCs w:val="20"/>
          <w14:textFill>
            <w14:solidFill>
              <w14:schemeClr w14:val="tx1"/>
            </w14:solidFill>
          </w14:textFill>
        </w:rPr>
        <w:t>销售文件</w:t>
      </w:r>
      <w:r>
        <w:rPr>
          <w:rFonts w:ascii="Times New Roman" w:hAnsi="Times New Roman" w:eastAsia="楷体_GB2312" w:cs="楷体_GB2312"/>
          <w:b/>
          <w:color w:val="000000" w:themeColor="text1"/>
          <w:sz w:val="20"/>
          <w:szCs w:val="20"/>
          <w14:textFill>
            <w14:solidFill>
              <w14:schemeClr w14:val="tx1"/>
            </w14:solidFill>
          </w14:textFill>
        </w:rPr>
        <w:t>，不存在法律、行政法规有关规定禁止或限制投资理财产品的情形（适用于个人投资者）。</w:t>
      </w:r>
    </w:p>
    <w:p w14:paraId="23AB40E5">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投资者确认签署和履行理财产品销售文件系其真实意思表示，已经按照其章程或者其它内部管理文件的要求取得合法、有效的授权且不会违反对其有约束力的任何合同和其他法律文件；投资者已经取得签订和履行理财产品</w:t>
      </w:r>
      <w:r>
        <w:rPr>
          <w:rFonts w:hint="eastAsia" w:ascii="Times New Roman" w:hAnsi="Times New Roman" w:eastAsia="楷体_GB2312" w:cs="楷体_GB2312"/>
          <w:b/>
          <w:color w:val="000000" w:themeColor="text1"/>
          <w:sz w:val="20"/>
          <w:szCs w:val="20"/>
          <w14:textFill>
            <w14:solidFill>
              <w14:schemeClr w14:val="tx1"/>
            </w14:solidFill>
          </w14:textFill>
        </w:rPr>
        <w:t>销售文件</w:t>
      </w:r>
      <w:r>
        <w:rPr>
          <w:rFonts w:ascii="Times New Roman" w:hAnsi="Times New Roman" w:eastAsia="楷体_GB2312" w:cs="楷体_GB2312"/>
          <w:b/>
          <w:color w:val="000000" w:themeColor="text1"/>
          <w:sz w:val="20"/>
          <w:szCs w:val="20"/>
          <w14:textFill>
            <w14:solidFill>
              <w14:schemeClr w14:val="tx1"/>
            </w14:solidFill>
          </w14:textFill>
        </w:rPr>
        <w:t>所需的一切有关批准、许可、备案或者登记（适用于机构投资者）；</w:t>
      </w:r>
    </w:p>
    <w:p w14:paraId="7F064A67">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（2）</w:t>
      </w:r>
      <w:r>
        <w:rPr>
          <w:rFonts w:ascii="Times New Roman" w:hAnsi="Times New Roman" w:eastAsia="楷体_GB2312" w:cs="楷体_GB2312"/>
          <w:b/>
          <w:color w:val="000000" w:themeColor="text1"/>
          <w:sz w:val="20"/>
          <w:szCs w:val="20"/>
          <w14:textFill>
            <w14:solidFill>
              <w14:schemeClr w14:val="tx1"/>
            </w14:solidFill>
          </w14:textFill>
        </w:rPr>
        <w:t>投资者保证以真实身份投资本理财产品，保证提供给产品管理人和代销机构的信息和资料均真实、准确、完整、合法。如投资者的信息和/或资料发生变更，应当及时书面告知产品管理人或代销机构；</w:t>
      </w:r>
    </w:p>
    <w:p w14:paraId="35241A4A">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（3）</w:t>
      </w:r>
      <w:r>
        <w:rPr>
          <w:rFonts w:ascii="Times New Roman" w:hAnsi="Times New Roman" w:eastAsia="楷体_GB2312" w:cs="楷体_GB2312"/>
          <w:b/>
          <w:color w:val="000000" w:themeColor="text1"/>
          <w:sz w:val="20"/>
          <w:szCs w:val="20"/>
          <w14:textFill>
            <w14:solidFill>
              <w14:schemeClr w14:val="tx1"/>
            </w14:solidFill>
          </w14:textFill>
        </w:rPr>
        <w:t>投资者声明熟悉理财产品类型特征及不同销售渠道的法律法规规定；</w:t>
      </w:r>
    </w:p>
    <w:p w14:paraId="2AB04E3B">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（4）</w:t>
      </w:r>
      <w:r>
        <w:rPr>
          <w:rFonts w:ascii="Times New Roman" w:hAnsi="Times New Roman" w:eastAsia="楷体_GB2312" w:cs="楷体_GB2312"/>
          <w:b/>
          <w:color w:val="000000" w:themeColor="text1"/>
          <w:sz w:val="20"/>
          <w:szCs w:val="20"/>
          <w14:textFill>
            <w14:solidFill>
              <w14:schemeClr w14:val="tx1"/>
            </w14:solidFill>
          </w14:textFill>
        </w:rPr>
        <w:t>投资者承诺：如委托他人购买本产品，代理人须出具具有法律效力的授权委托书；</w:t>
      </w:r>
    </w:p>
    <w:p w14:paraId="2BAC2D63">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（5）</w:t>
      </w:r>
      <w:r>
        <w:rPr>
          <w:rFonts w:ascii="Times New Roman" w:hAnsi="Times New Roman" w:eastAsia="楷体_GB2312" w:cs="楷体_GB2312"/>
          <w:b/>
          <w:color w:val="000000" w:themeColor="text1"/>
          <w:sz w:val="20"/>
          <w:szCs w:val="20"/>
          <w14:textFill>
            <w14:solidFill>
              <w14:schemeClr w14:val="tx1"/>
            </w14:solidFill>
          </w14:textFill>
        </w:rPr>
        <w:t>投资者保证理财投资资金来源和用途合法，保证可向产品管理人和代销机构提供合法筹集的证明文件；</w:t>
      </w:r>
    </w:p>
    <w:p w14:paraId="1323B17B">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（6）</w:t>
      </w:r>
      <w:r>
        <w:rPr>
          <w:rFonts w:ascii="Times New Roman" w:hAnsi="Times New Roman" w:eastAsia="楷体_GB2312" w:cs="楷体_GB2312"/>
          <w:b/>
          <w:color w:val="000000" w:themeColor="text1"/>
          <w:sz w:val="20"/>
          <w:szCs w:val="20"/>
          <w14:textFill>
            <w14:solidFill>
              <w14:schemeClr w14:val="tx1"/>
            </w14:solidFill>
          </w14:textFill>
        </w:rPr>
        <w:t>投资者不利用本理财业务及本理财产品</w:t>
      </w:r>
      <w:r>
        <w:rPr>
          <w:rFonts w:hint="eastAsia" w:ascii="Times New Roman" w:hAnsi="Times New Roman" w:eastAsia="楷体_GB2312" w:cs="楷体_GB2312"/>
          <w:b/>
          <w:color w:val="000000" w:themeColor="text1"/>
          <w:sz w:val="20"/>
          <w:szCs w:val="20"/>
          <w14:textFill>
            <w14:solidFill>
              <w14:schemeClr w14:val="tx1"/>
            </w14:solidFill>
          </w14:textFill>
        </w:rPr>
        <w:t>销售文件</w:t>
      </w:r>
      <w:r>
        <w:rPr>
          <w:rFonts w:ascii="Times New Roman" w:hAnsi="Times New Roman" w:eastAsia="楷体_GB2312" w:cs="楷体_GB2312"/>
          <w:b/>
          <w:color w:val="000000" w:themeColor="text1"/>
          <w:sz w:val="20"/>
          <w:szCs w:val="20"/>
          <w14:textFill>
            <w14:solidFill>
              <w14:schemeClr w14:val="tx1"/>
            </w14:solidFill>
          </w14:textFill>
        </w:rPr>
        <w:t>项下理财产品从事违法活动；</w:t>
      </w:r>
    </w:p>
    <w:p w14:paraId="7A9D04D6">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（7）</w:t>
      </w:r>
      <w:r>
        <w:rPr>
          <w:rFonts w:ascii="Times New Roman" w:hAnsi="Times New Roman" w:eastAsia="楷体_GB2312" w:cs="楷体_GB2312"/>
          <w:b/>
          <w:color w:val="000000" w:themeColor="text1"/>
          <w:sz w:val="20"/>
          <w:szCs w:val="20"/>
          <w14:textFill>
            <w14:solidFill>
              <w14:schemeClr w14:val="tx1"/>
            </w14:solidFill>
          </w14:textFill>
        </w:rPr>
        <w:t>投资者保证遵守国家反洗钱法律、法规及相关政策要求，不从事涉及洗钱、恐怖融资、逃税、逃废债务、套取现金等违法违规活动，积极配合管理人/代销机构开展投资者身份识别、交易记录保存、投资者身份及交易背景尽职调查、大额和可疑交易报告等各项反洗钱工作，并按要求提供相关证明材料；</w:t>
      </w:r>
    </w:p>
    <w:p w14:paraId="05E96DFC">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（8）</w:t>
      </w:r>
      <w:r>
        <w:rPr>
          <w:rFonts w:ascii="Times New Roman" w:hAnsi="Times New Roman" w:eastAsia="楷体_GB2312" w:cs="楷体_GB2312"/>
          <w:b/>
          <w:color w:val="000000" w:themeColor="text1"/>
          <w:sz w:val="20"/>
          <w:szCs w:val="20"/>
          <w14:textFill>
            <w14:solidFill>
              <w14:schemeClr w14:val="tx1"/>
            </w14:solidFill>
          </w14:textFill>
        </w:rPr>
        <w:t>投资者不属于联合国、欧盟或美国等制裁名单，及中国政府部门或有权机关发布的涉恐及反洗钱相关风险名单内的企业或个人；不位于被联合国、欧盟或美国等制裁的国家和地区；</w:t>
      </w:r>
    </w:p>
    <w:p w14:paraId="2F71990B">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（9）</w:t>
      </w:r>
      <w:r>
        <w:rPr>
          <w:rFonts w:ascii="Times New Roman" w:hAnsi="Times New Roman" w:eastAsia="楷体_GB2312" w:cs="楷体_GB2312"/>
          <w:b/>
          <w:color w:val="000000" w:themeColor="text1"/>
          <w:sz w:val="20"/>
          <w:szCs w:val="20"/>
          <w14:textFill>
            <w14:solidFill>
              <w14:schemeClr w14:val="tx1"/>
            </w14:solidFill>
          </w14:textFill>
        </w:rPr>
        <w:t>投资者保证不使用贷款、发行债券等筹集的非自有资金投资理财产品，保证投资本理财产品不存在违反监管要求的产品嵌套，以及以投资本理财产品规避投资范围、杠杆约束等监管要求等违规行为。</w:t>
      </w:r>
    </w:p>
    <w:p w14:paraId="0BAE5BAA">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3．</w:t>
      </w:r>
      <w:r>
        <w:rPr>
          <w:rFonts w:ascii="Times New Roman" w:hAnsi="Times New Roman" w:eastAsia="楷体_GB2312" w:cs="楷体_GB2312"/>
          <w:b/>
          <w:color w:val="000000" w:themeColor="text1"/>
          <w:sz w:val="20"/>
          <w:szCs w:val="20"/>
          <w14:textFill>
            <w14:solidFill>
              <w14:schemeClr w14:val="tx1"/>
            </w14:solidFill>
          </w14:textFill>
        </w:rPr>
        <w:t>双方同意</w:t>
      </w:r>
    </w:p>
    <w:p w14:paraId="20AD772F">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（1）</w:t>
      </w:r>
      <w:r>
        <w:rPr>
          <w:rFonts w:ascii="Times New Roman" w:hAnsi="Times New Roman" w:eastAsia="楷体_GB2312" w:cs="楷体_GB2312"/>
          <w:b/>
          <w:color w:val="000000" w:themeColor="text1"/>
          <w:sz w:val="20"/>
          <w:szCs w:val="20"/>
          <w14:textFill>
            <w14:solidFill>
              <w14:schemeClr w14:val="tx1"/>
            </w14:solidFill>
          </w14:textFill>
        </w:rPr>
        <w:t>未经产品管理人同意，投资者不得以本理财产品项下的任何权利、利益、权益（包括单独和整体）为投资者和任何第三人的债务设定担保或其他权益。</w:t>
      </w:r>
    </w:p>
    <w:p w14:paraId="2285D129">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（2）</w:t>
      </w:r>
      <w:r>
        <w:rPr>
          <w:rFonts w:ascii="Times New Roman" w:hAnsi="Times New Roman" w:eastAsia="楷体_GB2312" w:cs="楷体_GB2312"/>
          <w:b/>
          <w:color w:val="000000" w:themeColor="text1"/>
          <w:sz w:val="20"/>
          <w:szCs w:val="20"/>
          <w14:textFill>
            <w14:solidFill>
              <w14:schemeClr w14:val="tx1"/>
            </w14:solidFill>
          </w14:textFill>
        </w:rPr>
        <w:t>未经产品管理人同意，投资者不得向任何第三人转让、赠与本理财产品</w:t>
      </w:r>
      <w:r>
        <w:rPr>
          <w:rFonts w:hint="eastAsia" w:ascii="Times New Roman" w:hAnsi="Times New Roman" w:eastAsia="楷体_GB2312" w:cs="楷体_GB2312"/>
          <w:b/>
          <w:color w:val="000000" w:themeColor="text1"/>
          <w:sz w:val="20"/>
          <w:szCs w:val="20"/>
          <w14:textFill>
            <w14:solidFill>
              <w14:schemeClr w14:val="tx1"/>
            </w14:solidFill>
          </w14:textFill>
        </w:rPr>
        <w:t>销售文件</w:t>
      </w:r>
      <w:r>
        <w:rPr>
          <w:rFonts w:ascii="Times New Roman" w:hAnsi="Times New Roman" w:eastAsia="楷体_GB2312" w:cs="楷体_GB2312"/>
          <w:b/>
          <w:color w:val="000000" w:themeColor="text1"/>
          <w:sz w:val="20"/>
          <w:szCs w:val="20"/>
          <w14:textFill>
            <w14:solidFill>
              <w14:schemeClr w14:val="tx1"/>
            </w14:solidFill>
          </w14:textFill>
        </w:rPr>
        <w:t>或本理财产品</w:t>
      </w:r>
      <w:r>
        <w:rPr>
          <w:rFonts w:hint="eastAsia" w:ascii="Times New Roman" w:hAnsi="Times New Roman" w:eastAsia="楷体_GB2312" w:cs="楷体_GB2312"/>
          <w:b/>
          <w:color w:val="000000" w:themeColor="text1"/>
          <w:sz w:val="20"/>
          <w:szCs w:val="20"/>
          <w14:textFill>
            <w14:solidFill>
              <w14:schemeClr w14:val="tx1"/>
            </w14:solidFill>
          </w14:textFill>
        </w:rPr>
        <w:t>销售文件</w:t>
      </w:r>
      <w:r>
        <w:rPr>
          <w:rFonts w:ascii="Times New Roman" w:hAnsi="Times New Roman" w:eastAsia="楷体_GB2312" w:cs="楷体_GB2312"/>
          <w:b/>
          <w:color w:val="000000" w:themeColor="text1"/>
          <w:sz w:val="20"/>
          <w:szCs w:val="20"/>
          <w14:textFill>
            <w14:solidFill>
              <w14:schemeClr w14:val="tx1"/>
            </w14:solidFill>
          </w14:textFill>
        </w:rPr>
        <w:t>项下的任何权利、利益、权益（包括单独和整体）。</w:t>
      </w:r>
    </w:p>
    <w:p w14:paraId="50B13D24">
      <w:pPr>
        <w:snapToGrid w:val="0"/>
        <w:ind w:firstLine="402" w:firstLineChars="200"/>
        <w:jc w:val="both"/>
        <w:rPr>
          <w:rFonts w:ascii="Times New Roman" w:hAnsi="Times New Roman" w:eastAsia="楷体_GB2312" w:cs="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（3）</w:t>
      </w:r>
      <w:r>
        <w:rPr>
          <w:rFonts w:ascii="Times New Roman" w:hAnsi="Times New Roman" w:eastAsia="楷体_GB2312" w:cs="楷体_GB2312"/>
          <w:b/>
          <w:color w:val="000000" w:themeColor="text1"/>
          <w:sz w:val="20"/>
          <w:szCs w:val="20"/>
          <w14:textFill>
            <w14:solidFill>
              <w14:schemeClr w14:val="tx1"/>
            </w14:solidFill>
          </w14:textFill>
        </w:rPr>
        <w:t>产品管理人不承担对第三人支付本产品项下投资者清算产品后分配金额以及相关权益的责任，法律法规另有规定的除外。</w:t>
      </w:r>
    </w:p>
    <w:p w14:paraId="45EF2141">
      <w:pPr>
        <w:spacing w:line="300" w:lineRule="exact"/>
        <w:ind w:left="400" w:right="29" w:rightChars="12" w:hanging="400" w:hangingChars="200"/>
        <w:rPr>
          <w:rFonts w:ascii="黑体" w:eastAsia="黑体" w:cs="黑体"/>
          <w:color w:val="000000" w:themeColor="text1"/>
          <w:sz w:val="20"/>
          <w:szCs w:val="20"/>
          <w14:textFill>
            <w14:solidFill>
              <w14:schemeClr w14:val="tx1"/>
            </w14:solidFill>
          </w14:textFill>
        </w:rPr>
      </w:pPr>
    </w:p>
    <w:p w14:paraId="084B1040">
      <w:pPr>
        <w:spacing w:line="300" w:lineRule="exact"/>
        <w:ind w:left="402" w:right="29" w:rightChars="12" w:hanging="402" w:hangingChars="200"/>
        <w:rPr>
          <w:rFonts w:ascii="黑体" w:eastAsia="黑体" w:cs="黑体"/>
          <w:b/>
          <w:color w:val="000000" w:themeColor="text1"/>
          <w:sz w:val="20"/>
          <w:szCs w:val="20"/>
          <w14:textFill>
            <w14:solidFill>
              <w14:schemeClr w14:val="tx1"/>
            </w14:solidFill>
          </w14:textFill>
        </w:rPr>
      </w:pPr>
      <w:r>
        <w:rPr>
          <w:rFonts w:hint="eastAsia" w:ascii="黑体" w:eastAsia="黑体" w:cs="黑体"/>
          <w:b/>
          <w:color w:val="000000" w:themeColor="text1"/>
          <w:sz w:val="20"/>
          <w:szCs w:val="20"/>
          <w14:textFill>
            <w14:solidFill>
              <w14:schemeClr w14:val="tx1"/>
            </w14:solidFill>
          </w14:textFill>
        </w:rPr>
        <w:t>十五、保密</w:t>
      </w:r>
      <w:r>
        <w:rPr>
          <w:rFonts w:ascii="黑体" w:eastAsia="黑体" w:cs="黑体"/>
          <w:b/>
          <w:color w:val="000000" w:themeColor="text1"/>
          <w:sz w:val="20"/>
          <w:szCs w:val="20"/>
          <w14:textFill>
            <w14:solidFill>
              <w14:schemeClr w14:val="tx1"/>
            </w14:solidFill>
          </w14:textFill>
        </w:rPr>
        <w:t>条款</w:t>
      </w:r>
    </w:p>
    <w:p w14:paraId="50E1A580">
      <w:pPr>
        <w:pStyle w:val="19"/>
        <w:numPr>
          <w:ilvl w:val="0"/>
          <w:numId w:val="6"/>
        </w:numPr>
        <w:spacing w:line="300" w:lineRule="exact"/>
        <w:ind w:left="0" w:firstLine="402"/>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信银理财将加强信息安全管理，根据法律法规及监管要求，对在产品销售和运作过程中获取的投资者信息履行保密义务，除非依照法律法规之规定，或应监管机构及其他有权机关的要求，或与投资者另有约定外，不向第三方披露。</w:t>
      </w:r>
    </w:p>
    <w:p w14:paraId="5955E8A1">
      <w:pPr>
        <w:pStyle w:val="19"/>
        <w:numPr>
          <w:ilvl w:val="0"/>
          <w:numId w:val="6"/>
        </w:numPr>
        <w:spacing w:line="300" w:lineRule="exact"/>
        <w:ind w:left="0" w:firstLine="402"/>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理财产品管理人向投资者披露的或投资者因购买本理财产品而获知的有关本理财产品的全部信息（包括但不限于本理财产品销售文件、本理财产品投资安排的全部信息）及本理财产品参与主体的未对外公开的信息均为保密信息。投资者有义务对上述保密信息采取保密措施，未经理财产品管理人同意，投资者不得向任何第三方披露该等保密信息，否则应承担相应违约责任，但以下情形除外：（1）向与本次投资有关而需要获知以上信息并受保密协议约束的律师、会计师、顾问和咨询人员披露的；（2）根据适用的法律法规的要求，向有关政府部门、监管机构或者管理机构（包括证券交易所）披露的；（3）本产品说明书另有约定的。前述保密义务不因本理财产品销售文件或相关协议的无效、被撤销、终止而受影响。</w:t>
      </w:r>
    </w:p>
    <w:p w14:paraId="62E11122">
      <w:pPr>
        <w:pStyle w:val="19"/>
        <w:numPr>
          <w:ilvl w:val="0"/>
          <w:numId w:val="6"/>
        </w:numPr>
        <w:spacing w:line="300" w:lineRule="exact"/>
        <w:ind w:left="0" w:firstLine="402"/>
        <w:jc w:val="both"/>
        <w:rPr>
          <w:rFonts w:ascii="Times New Roman" w:hAnsi="Times New Roman" w:eastAsia="楷体_GB2312" w:cs="楷体_GB2312"/>
          <w:b/>
          <w:color w:val="000000" w:themeColor="text1"/>
          <w:sz w:val="20"/>
          <w:szCs w:val="20"/>
          <w14:textFill>
            <w14:solidFill>
              <w14:schemeClr w14:val="tx1"/>
            </w14:solidFill>
          </w14:textFill>
        </w:rPr>
      </w:pPr>
      <w:r>
        <w:rPr>
          <w:rFonts w:ascii="Times New Roman" w:hAnsi="Times New Roman" w:eastAsia="楷体_GB2312" w:cs="楷体_GB2312"/>
          <w:b/>
          <w:color w:val="000000" w:themeColor="text1"/>
          <w:sz w:val="20"/>
          <w:szCs w:val="20"/>
          <w14:textFill>
            <w14:solidFill>
              <w14:schemeClr w14:val="tx1"/>
            </w14:solidFill>
          </w14:textFill>
        </w:rPr>
        <w:t>根据监管机构要求，管理人（特指除本理财</w:t>
      </w:r>
      <w:r>
        <w:rPr>
          <w:rFonts w:hint="eastAsia" w:ascii="Times New Roman" w:hAnsi="Times New Roman" w:eastAsia="楷体_GB2312" w:cs="楷体_GB2312"/>
          <w:b/>
          <w:color w:val="000000" w:themeColor="text1"/>
          <w:sz w:val="20"/>
          <w:szCs w:val="20"/>
          <w14:textFill>
            <w14:solidFill>
              <w14:schemeClr w14:val="tx1"/>
            </w14:solidFill>
          </w14:textFill>
        </w:rPr>
        <w:t>产品</w:t>
      </w:r>
      <w:r>
        <w:rPr>
          <w:rFonts w:ascii="Times New Roman" w:hAnsi="Times New Roman" w:eastAsia="楷体_GB2312" w:cs="楷体_GB2312"/>
          <w:b/>
          <w:color w:val="000000" w:themeColor="text1"/>
          <w:sz w:val="20"/>
          <w:szCs w:val="20"/>
          <w14:textFill>
            <w14:solidFill>
              <w14:schemeClr w14:val="tx1"/>
            </w14:solidFill>
          </w14:textFill>
        </w:rPr>
        <w:t>的管理人信银理财之外的其他管理人，包括但不限于本理财</w:t>
      </w:r>
      <w:r>
        <w:rPr>
          <w:rFonts w:hint="eastAsia" w:ascii="Times New Roman" w:hAnsi="Times New Roman" w:eastAsia="楷体_GB2312" w:cs="楷体_GB2312"/>
          <w:b/>
          <w:color w:val="000000" w:themeColor="text1"/>
          <w:sz w:val="20"/>
          <w:szCs w:val="20"/>
          <w14:textFill>
            <w14:solidFill>
              <w14:schemeClr w14:val="tx1"/>
            </w14:solidFill>
          </w14:textFill>
        </w:rPr>
        <w:t>产品</w:t>
      </w:r>
      <w:r>
        <w:rPr>
          <w:rFonts w:ascii="Times New Roman" w:hAnsi="Times New Roman" w:eastAsia="楷体_GB2312" w:cs="楷体_GB2312"/>
          <w:b/>
          <w:color w:val="000000" w:themeColor="text1"/>
          <w:sz w:val="20"/>
          <w:szCs w:val="20"/>
          <w14:textFill>
            <w14:solidFill>
              <w14:schemeClr w14:val="tx1"/>
            </w14:solidFill>
          </w14:textFill>
        </w:rPr>
        <w:t>所投资的信托计划、资管计划、私募基金的受托人或管理人、相关投资顾问等，下同）有可能需要向监管机构报送投资者身份信息、持仓信息等相关信息，信银理财将应管理人申请，在必要范围内向管理人提供相关信息，并要求该等管理人履行投资者信息保密义务。投资者签署本理财产品销售文件即视为已经同意信银理财在前述范围内向相关方提供投资者身份信息、持仓信息等相关信息。</w:t>
      </w:r>
    </w:p>
    <w:p w14:paraId="29A701F7">
      <w:pPr>
        <w:spacing w:line="300" w:lineRule="exact"/>
        <w:ind w:right="29" w:rightChars="12"/>
        <w:rPr>
          <w:rFonts w:ascii="黑体" w:eastAsia="黑体" w:cs="黑体"/>
          <w:color w:val="000000" w:themeColor="text1"/>
          <w:sz w:val="20"/>
          <w:szCs w:val="20"/>
          <w14:textFill>
            <w14:solidFill>
              <w14:schemeClr w14:val="tx1"/>
            </w14:solidFill>
          </w14:textFill>
        </w:rPr>
      </w:pPr>
    </w:p>
    <w:p w14:paraId="3502364C">
      <w:pPr>
        <w:spacing w:line="300" w:lineRule="exact"/>
        <w:ind w:left="402" w:right="29" w:rightChars="12" w:hanging="402" w:hangingChars="200"/>
        <w:rPr>
          <w:rFonts w:ascii="楷体_GB2312" w:eastAsia="楷体_GB2312"/>
          <w:b/>
          <w:color w:val="000000" w:themeColor="text1"/>
          <w:sz w:val="20"/>
          <w:szCs w:val="20"/>
          <w14:textFill>
            <w14:solidFill>
              <w14:schemeClr w14:val="tx1"/>
            </w14:solidFill>
          </w14:textFill>
        </w:rPr>
      </w:pPr>
      <w:r>
        <w:rPr>
          <w:rFonts w:hint="eastAsia" w:ascii="黑体" w:hAnsi="Times New Roman" w:eastAsia="黑体" w:cs="黑体"/>
          <w:b/>
          <w:color w:val="000000" w:themeColor="text1"/>
          <w:sz w:val="20"/>
          <w:szCs w:val="20"/>
          <w14:textFill>
            <w14:solidFill>
              <w14:schemeClr w14:val="tx1"/>
            </w14:solidFill>
          </w14:textFill>
        </w:rPr>
        <w:t>十六、特别提示</w:t>
      </w:r>
    </w:p>
    <w:p w14:paraId="2DF329E7">
      <w:pPr>
        <w:spacing w:line="300" w:lineRule="exact"/>
        <w:ind w:firstLine="402" w:firstLineChars="200"/>
        <w:jc w:val="both"/>
        <w:rPr>
          <w:b/>
          <w:color w:val="000000" w:themeColor="text1"/>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1．本产品面临的风险包括信用风险、市场风险、流动性风险、提前终止风险、政策风险、信息传递风险、管理风险、延期清算风险、</w:t>
      </w:r>
      <w:r>
        <w:rPr>
          <w:rFonts w:hint="eastAsia" w:ascii="楷体_GB2312" w:eastAsia="楷体_GB2312" w:cs="楷体_GB2312"/>
          <w:b/>
          <w:color w:val="000000" w:themeColor="text1"/>
          <w:sz w:val="20"/>
          <w:szCs w:val="20"/>
          <w14:textFill>
            <w14:solidFill>
              <w14:schemeClr w14:val="tx1"/>
            </w14:solidFill>
          </w14:textFill>
        </w:rPr>
        <w:t>理财</w:t>
      </w:r>
      <w:r>
        <w:rPr>
          <w:rFonts w:ascii="楷体_GB2312" w:eastAsia="楷体_GB2312" w:cs="楷体_GB2312"/>
          <w:b/>
          <w:color w:val="000000" w:themeColor="text1"/>
          <w:sz w:val="20"/>
          <w:szCs w:val="20"/>
          <w14:textFill>
            <w14:solidFill>
              <w14:schemeClr w14:val="tx1"/>
            </w14:solidFill>
          </w14:textFill>
        </w:rPr>
        <w:t>产品不成立风险、不可抗力及意外事件风险、</w:t>
      </w:r>
      <w:r>
        <w:rPr>
          <w:rFonts w:hint="eastAsia" w:ascii="楷体_GB2312" w:eastAsia="楷体_GB2312" w:cs="楷体_GB2312"/>
          <w:b/>
          <w:color w:val="000000" w:themeColor="text1"/>
          <w:sz w:val="20"/>
          <w:szCs w:val="20"/>
          <w14:textFill>
            <w14:solidFill>
              <w14:schemeClr w14:val="tx1"/>
            </w14:solidFill>
          </w14:textFill>
        </w:rPr>
        <w:t>理财本金全部损失风险、</w:t>
      </w:r>
      <w:r>
        <w:rPr>
          <w:rFonts w:ascii="楷体_GB2312" w:eastAsia="楷体_GB2312" w:cs="楷体_GB2312"/>
          <w:b/>
          <w:color w:val="000000" w:themeColor="text1"/>
          <w:sz w:val="20"/>
          <w:szCs w:val="20"/>
          <w14:textFill>
            <w14:solidFill>
              <w14:schemeClr w14:val="tx1"/>
            </w14:solidFill>
          </w14:textFill>
        </w:rPr>
        <w:t>合作销售机构</w:t>
      </w:r>
      <w:r>
        <w:rPr>
          <w:rFonts w:hint="eastAsia" w:ascii="楷体_GB2312" w:eastAsia="楷体_GB2312" w:cs="楷体_GB2312"/>
          <w:b/>
          <w:color w:val="000000" w:themeColor="text1"/>
          <w:sz w:val="20"/>
          <w:szCs w:val="20"/>
          <w14:textFill>
            <w14:solidFill>
              <w14:schemeClr w14:val="tx1"/>
            </w14:solidFill>
          </w14:textFill>
        </w:rPr>
        <w:t>（代销机构）</w:t>
      </w:r>
      <w:r>
        <w:rPr>
          <w:rFonts w:ascii="楷体_GB2312" w:eastAsia="楷体_GB2312" w:cs="楷体_GB2312"/>
          <w:b/>
          <w:color w:val="000000" w:themeColor="text1"/>
          <w:sz w:val="20"/>
          <w:szCs w:val="20"/>
          <w14:textFill>
            <w14:solidFill>
              <w14:schemeClr w14:val="tx1"/>
            </w14:solidFill>
          </w14:textFill>
        </w:rPr>
        <w:t>风险、操作风险</w:t>
      </w:r>
      <w:r>
        <w:rPr>
          <w:rFonts w:hint="eastAsia" w:ascii="楷体_GB2312" w:eastAsia="楷体_GB2312" w:cs="楷体_GB2312"/>
          <w:b/>
          <w:color w:val="000000" w:themeColor="text1"/>
          <w:sz w:val="20"/>
          <w:szCs w:val="20"/>
          <w14:textFill>
            <w14:solidFill>
              <w14:schemeClr w14:val="tx1"/>
            </w14:solidFill>
          </w14:textFill>
        </w:rPr>
        <w:t>、关联交易风险</w:t>
      </w:r>
      <w:r>
        <w:rPr>
          <w:rFonts w:ascii="楷体_GB2312" w:eastAsia="楷体_GB2312" w:cs="楷体_GB2312"/>
          <w:b/>
          <w:color w:val="000000" w:themeColor="text1"/>
          <w:sz w:val="20"/>
          <w:szCs w:val="20"/>
          <w14:textFill>
            <w14:solidFill>
              <w14:schemeClr w14:val="tx1"/>
            </w14:solidFill>
          </w14:textFill>
        </w:rPr>
        <w:t xml:space="preserve">等风险，将可能导致投资者无法取得收益，甚至本金蒙受部分或全部损失。由此产生的理财本金和收益损失的风险由投资者自行承担，信银理财不承担任何返还理财本金及收益的保证责任。  </w:t>
      </w:r>
    </w:p>
    <w:p w14:paraId="5392F7CB">
      <w:pPr>
        <w:spacing w:line="300" w:lineRule="exact"/>
        <w:ind w:firstLine="402" w:firstLineChars="200"/>
        <w:jc w:val="both"/>
        <w:rPr>
          <w:rFonts w:ascii="楷体_GB2312" w:eastAsia="楷体_GB2312" w:cs="楷体_GB2312"/>
          <w:b/>
          <w:color w:val="000000" w:themeColor="text1"/>
          <w:sz w:val="20"/>
          <w:szCs w:val="20"/>
          <w14:textFill>
            <w14:solidFill>
              <w14:schemeClr w14:val="tx1"/>
            </w14:solidFill>
          </w14:textFill>
        </w:rPr>
      </w:pPr>
      <w:r>
        <w:rPr>
          <w:rFonts w:ascii="楷体_GB2312" w:eastAsia="楷体_GB2312" w:cs="楷体_GB2312"/>
          <w:b/>
          <w:color w:val="000000" w:themeColor="text1"/>
          <w:sz w:val="20"/>
          <w:szCs w:val="20"/>
          <w14:textFill>
            <w14:solidFill>
              <w14:schemeClr w14:val="tx1"/>
            </w14:solidFill>
          </w14:textFill>
        </w:rPr>
        <w:t>2．除本说明书中明确规定的收益或收益分配方式外，任何预计收益、预期收益、测算收益、业绩比较基准或类似表述均属不具有法律效力的用语，不代表投资者可能获得的实际收益，亦不构成信银理财对本理财产品的任何收益承诺。</w:t>
      </w:r>
    </w:p>
    <w:p w14:paraId="26A3B223">
      <w:pPr>
        <w:spacing w:line="300" w:lineRule="exact"/>
        <w:ind w:firstLine="430" w:firstLineChars="214"/>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3．关于费用</w:t>
      </w:r>
    </w:p>
    <w:p w14:paraId="19680C37">
      <w:pPr>
        <w:spacing w:line="300" w:lineRule="exact"/>
        <w:ind w:firstLine="430" w:firstLineChars="214"/>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（1）双方确认：本产品说明书约定的收费标准经双方协商确定，双方均认可该收费标准。</w:t>
      </w:r>
    </w:p>
    <w:p w14:paraId="28837981">
      <w:pPr>
        <w:spacing w:line="300" w:lineRule="exact"/>
        <w:ind w:firstLine="430" w:firstLineChars="214"/>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2）限制与例外条款：信银理财保留根据适用法律和国家政策规定及产品说明书的相关约定调整产品收费标准的权利。若因上述原因，信银理财确需调整本产品说明书项下收费标准的，应以本产品说明书约定方式提前通知投资者。投资者不接受调整后的收费标准的，可于最近一个开放日赎回理财产品。</w:t>
      </w:r>
    </w:p>
    <w:p w14:paraId="1027988E">
      <w:pPr>
        <w:spacing w:line="300" w:lineRule="exact"/>
        <w:ind w:firstLine="430" w:firstLineChars="214"/>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4．咨询与投诉：投资者对本理财产品有任何建议、意见或投诉，请联系信银理财理财经理，或反馈至信银理财营业场所，</w:t>
      </w:r>
      <w:r>
        <w:rPr>
          <w:rFonts w:hint="eastAsia" w:ascii="楷体_GB2312" w:eastAsia="楷体_GB2312"/>
          <w:b/>
          <w:color w:val="000000" w:themeColor="text1"/>
          <w:sz w:val="20"/>
          <w:szCs w:val="20"/>
          <w14:textFill>
            <w14:solidFill>
              <w14:schemeClr w14:val="tx1"/>
            </w14:solidFill>
          </w14:textFill>
        </w:rPr>
        <w:t>或</w:t>
      </w:r>
      <w:r>
        <w:rPr>
          <w:rFonts w:ascii="楷体_GB2312" w:eastAsia="楷体_GB2312"/>
          <w:b/>
          <w:color w:val="000000" w:themeColor="text1"/>
          <w:sz w:val="20"/>
          <w:szCs w:val="20"/>
          <w14:textFill>
            <w14:solidFill>
              <w14:schemeClr w14:val="tx1"/>
            </w14:solidFill>
          </w14:textFill>
        </w:rPr>
        <w:t>拨打信银理财客户服务热线【</w:t>
      </w:r>
      <w:r>
        <w:rPr>
          <w:rFonts w:ascii="楷体_GB2312" w:eastAsia="楷体_GB2312"/>
          <w:b/>
          <w:bCs/>
          <w:sz w:val="20"/>
          <w:szCs w:val="20"/>
        </w:rPr>
        <w:t>950950，工作时间为工作日8：30-20：30</w:t>
      </w:r>
      <w:r>
        <w:rPr>
          <w:rFonts w:ascii="楷体_GB2312" w:eastAsia="楷体_GB2312"/>
          <w:b/>
          <w:color w:val="000000" w:themeColor="text1"/>
          <w:sz w:val="20"/>
          <w:szCs w:val="20"/>
          <w14:textFill>
            <w14:solidFill>
              <w14:schemeClr w14:val="tx1"/>
            </w14:solidFill>
          </w14:textFill>
        </w:rPr>
        <w:t>】，</w:t>
      </w:r>
      <w:r>
        <w:rPr>
          <w:rFonts w:hint="eastAsia" w:ascii="楷体_GB2312" w:eastAsia="楷体_GB2312"/>
          <w:b/>
          <w:color w:val="000000" w:themeColor="text1"/>
          <w:sz w:val="20"/>
          <w:szCs w:val="20"/>
          <w14:textFill>
            <w14:solidFill>
              <w14:schemeClr w14:val="tx1"/>
            </w14:solidFill>
          </w14:textFill>
        </w:rPr>
        <w:t>或</w:t>
      </w:r>
      <w:r>
        <w:rPr>
          <w:rFonts w:ascii="楷体_GB2312" w:eastAsia="楷体_GB2312"/>
          <w:b/>
          <w:color w:val="000000" w:themeColor="text1"/>
          <w:sz w:val="20"/>
          <w:szCs w:val="20"/>
          <w14:textFill>
            <w14:solidFill>
              <w14:schemeClr w14:val="tx1"/>
            </w14:solidFill>
          </w14:textFill>
        </w:rPr>
        <w:t>登录信银理财网站【</w:t>
      </w:r>
      <w:r>
        <w:rPr>
          <w:rFonts w:ascii="楷体_GB2312" w:eastAsia="楷体_GB2312"/>
          <w:b/>
          <w:bCs/>
          <w:sz w:val="20"/>
          <w:szCs w:val="20"/>
        </w:rPr>
        <w:t>http://www.citic-wealth.com/</w:t>
      </w:r>
      <w:r>
        <w:rPr>
          <w:rFonts w:ascii="楷体_GB2312" w:eastAsia="楷体_GB2312"/>
          <w:b/>
          <w:color w:val="000000" w:themeColor="text1"/>
          <w:sz w:val="20"/>
          <w:szCs w:val="20"/>
          <w14:textFill>
            <w14:solidFill>
              <w14:schemeClr w14:val="tx1"/>
            </w14:solidFill>
          </w14:textFill>
        </w:rPr>
        <w:t>】进行查询。信银理财将安排专人及时收集客户投诉，并在收到客户投诉的第一时间内与客户取得联系，及时处理并进行反馈投资者通过代销机构购买理财产品的，可按照代销机构提供的联系方式反馈信息、咨询和投诉。</w:t>
      </w:r>
    </w:p>
    <w:p w14:paraId="3BEF4412">
      <w:pPr>
        <w:spacing w:line="300" w:lineRule="exact"/>
        <w:ind w:firstLine="430" w:firstLineChars="214"/>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5．本产品说明书中关于时间的标准，以信银理财业务处理系统记录的北京时间为准。</w:t>
      </w:r>
    </w:p>
    <w:p w14:paraId="784CB733">
      <w:pPr>
        <w:spacing w:line="300" w:lineRule="exact"/>
        <w:ind w:firstLine="430" w:firstLineChars="214"/>
        <w:jc w:val="both"/>
        <w:rPr>
          <w:rFonts w:ascii="楷体_GB2312" w:eastAsia="楷体_GB2312"/>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6．信银理财有权依法对本产品说明书进行解释。</w:t>
      </w:r>
    </w:p>
    <w:p w14:paraId="2F2B9E63">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p>
    <w:p w14:paraId="11C08612">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十七、违约责任</w:t>
      </w:r>
    </w:p>
    <w:p w14:paraId="23D64F79">
      <w:p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双方因违反本产品说明书约定而给对方造成损失的，违约方应赔偿因此给对方造成的直接损失。</w:t>
      </w:r>
    </w:p>
    <w:p w14:paraId="6F262CC3">
      <w:pPr>
        <w:spacing w:line="300" w:lineRule="exact"/>
        <w:ind w:left="-2" w:right="36" w:rightChars="15" w:firstLine="428" w:firstLineChars="214"/>
        <w:rPr>
          <w:rFonts w:ascii="楷体_GB2312" w:eastAsia="楷体_GB2312"/>
          <w:color w:val="000000" w:themeColor="text1"/>
          <w:sz w:val="20"/>
          <w:szCs w:val="20"/>
          <w14:textFill>
            <w14:solidFill>
              <w14:schemeClr w14:val="tx1"/>
            </w14:solidFill>
          </w14:textFill>
        </w:rPr>
      </w:pPr>
    </w:p>
    <w:p w14:paraId="31E082D3">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十八、免责内容</w:t>
      </w:r>
    </w:p>
    <w:p w14:paraId="0F37F214">
      <w:pPr>
        <w:spacing w:line="300" w:lineRule="exact"/>
        <w:ind w:firstLine="402" w:firstLineChars="200"/>
        <w:jc w:val="both"/>
        <w:rPr>
          <w:rFonts w:ascii="楷体_GB2312" w:eastAsia="楷体_GB2312"/>
          <w:b/>
          <w:color w:val="000000" w:themeColor="text1"/>
          <w:sz w:val="20"/>
          <w:szCs w:val="20"/>
          <w14:textFill>
            <w14:solidFill>
              <w14:schemeClr w14:val="tx1"/>
            </w14:solidFill>
          </w14:textFill>
        </w:rPr>
      </w:pPr>
      <w:r>
        <w:rPr>
          <w:rFonts w:ascii="楷体_GB2312" w:eastAsia="楷体_GB2312"/>
          <w:b/>
          <w:color w:val="000000" w:themeColor="text1"/>
          <w:sz w:val="20"/>
          <w:szCs w:val="20"/>
          <w14:textFill>
            <w14:solidFill>
              <w14:schemeClr w14:val="tx1"/>
            </w14:solidFill>
          </w14:textFill>
        </w:rPr>
        <w:t>因法律法规或监管政策变化、自然灾害、意外事故、战争、系统故障、通讯故障等信银理财客观不能预见、不能避免、不能克服的不可抗力事件或意外事件，导致信银理财无法或延后履行本产品说明书有关义务的，信银理财不承担责任。但因信银理财故意或重大过失造成的系统故障、通讯故障的除外。前述约定不免除因信银理财过错导致依法应由产品管理人承担的责任。管理人应在条件允许的情况下，采取必要的补救措施以减少不可抗力造成的损失。</w:t>
      </w:r>
    </w:p>
    <w:p w14:paraId="16C9B75F">
      <w:pPr>
        <w:spacing w:line="300" w:lineRule="exact"/>
        <w:ind w:left="-2" w:right="36" w:rightChars="15" w:firstLine="428" w:firstLineChars="214"/>
        <w:rPr>
          <w:rFonts w:ascii="楷体_GB2312" w:eastAsia="楷体_GB2312"/>
          <w:color w:val="000000" w:themeColor="text1"/>
          <w:sz w:val="20"/>
          <w:szCs w:val="20"/>
          <w14:textFill>
            <w14:solidFill>
              <w14:schemeClr w14:val="tx1"/>
            </w14:solidFill>
          </w14:textFill>
        </w:rPr>
      </w:pPr>
    </w:p>
    <w:p w14:paraId="74C594EB">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十九、本说明书的生效与终止</w:t>
      </w:r>
    </w:p>
    <w:p w14:paraId="5DA661A4">
      <w:pPr>
        <w:pStyle w:val="19"/>
        <w:numPr>
          <w:ilvl w:val="255"/>
          <w:numId w:val="0"/>
        </w:num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1</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投资者在信银</w:t>
      </w:r>
      <w:r>
        <w:rPr>
          <w:rFonts w:ascii="楷体_GB2312" w:eastAsia="楷体_GB2312"/>
          <w:color w:val="000000" w:themeColor="text1"/>
          <w:sz w:val="20"/>
          <w:szCs w:val="20"/>
          <w14:textFill>
            <w14:solidFill>
              <w14:schemeClr w14:val="tx1"/>
            </w14:solidFill>
          </w14:textFill>
        </w:rPr>
        <w:t>理财营业场所购买理财产品的，</w:t>
      </w:r>
      <w:r>
        <w:rPr>
          <w:rFonts w:hint="eastAsia" w:ascii="楷体_GB2312" w:eastAsia="楷体_GB2312"/>
          <w:color w:val="000000" w:themeColor="text1"/>
          <w:sz w:val="20"/>
          <w:szCs w:val="20"/>
          <w14:textFill>
            <w14:solidFill>
              <w14:schemeClr w14:val="tx1"/>
            </w14:solidFill>
          </w14:textFill>
        </w:rPr>
        <w:t>本产品说明书</w:t>
      </w:r>
      <w:r>
        <w:rPr>
          <w:rFonts w:ascii="楷体_GB2312" w:eastAsia="楷体_GB2312"/>
          <w:color w:val="000000" w:themeColor="text1"/>
          <w:sz w:val="20"/>
          <w:szCs w:val="20"/>
          <w14:textFill>
            <w14:solidFill>
              <w14:schemeClr w14:val="tx1"/>
            </w14:solidFill>
          </w14:textFill>
        </w:rPr>
        <w:t>自</w:t>
      </w:r>
      <w:r>
        <w:rPr>
          <w:rFonts w:hint="eastAsia" w:ascii="楷体_GB2312" w:eastAsia="楷体_GB2312"/>
          <w:color w:val="000000" w:themeColor="text1"/>
          <w:sz w:val="20"/>
          <w:szCs w:val="20"/>
          <w14:textFill>
            <w14:solidFill>
              <w14:schemeClr w14:val="tx1"/>
            </w14:solidFill>
          </w14:textFill>
        </w:rPr>
        <w:t>投资者</w:t>
      </w:r>
      <w:r>
        <w:rPr>
          <w:rFonts w:ascii="楷体_GB2312" w:eastAsia="楷体_GB2312"/>
          <w:color w:val="000000" w:themeColor="text1"/>
          <w:sz w:val="20"/>
          <w:szCs w:val="20"/>
          <w14:textFill>
            <w14:solidFill>
              <w14:schemeClr w14:val="tx1"/>
            </w14:solidFill>
          </w14:textFill>
        </w:rPr>
        <w:t>签字/盖章后生效。</w:t>
      </w:r>
      <w:r>
        <w:rPr>
          <w:rFonts w:hint="eastAsia" w:ascii="楷体_GB2312" w:eastAsia="楷体_GB2312"/>
          <w:color w:val="000000" w:themeColor="text1"/>
          <w:sz w:val="20"/>
          <w:szCs w:val="20"/>
          <w14:textFill>
            <w14:solidFill>
              <w14:schemeClr w14:val="tx1"/>
            </w14:solidFill>
          </w14:textFill>
        </w:rPr>
        <w:t>投资者</w:t>
      </w:r>
      <w:r>
        <w:rPr>
          <w:rFonts w:ascii="楷体_GB2312" w:eastAsia="楷体_GB2312"/>
          <w:color w:val="000000" w:themeColor="text1"/>
          <w:sz w:val="20"/>
          <w:szCs w:val="20"/>
          <w14:textFill>
            <w14:solidFill>
              <w14:schemeClr w14:val="tx1"/>
            </w14:solidFill>
          </w14:textFill>
        </w:rPr>
        <w:t>通过</w:t>
      </w:r>
      <w:r>
        <w:rPr>
          <w:rFonts w:hint="eastAsia" w:ascii="楷体_GB2312" w:eastAsia="楷体_GB2312"/>
          <w:color w:val="000000" w:themeColor="text1"/>
          <w:sz w:val="20"/>
          <w:szCs w:val="20"/>
          <w14:textFill>
            <w14:solidFill>
              <w14:schemeClr w14:val="tx1"/>
            </w14:solidFill>
          </w14:textFill>
        </w:rPr>
        <w:t>信银理财</w:t>
      </w:r>
      <w:r>
        <w:rPr>
          <w:rFonts w:ascii="楷体_GB2312" w:eastAsia="楷体_GB2312"/>
          <w:color w:val="000000" w:themeColor="text1"/>
          <w:sz w:val="20"/>
          <w:szCs w:val="20"/>
          <w14:textFill>
            <w14:solidFill>
              <w14:schemeClr w14:val="tx1"/>
            </w14:solidFill>
          </w14:textFill>
        </w:rPr>
        <w:t>电子渠道购买理财产品的，</w:t>
      </w:r>
      <w:r>
        <w:rPr>
          <w:rFonts w:hint="eastAsia" w:ascii="楷体_GB2312" w:eastAsia="楷体_GB2312"/>
          <w:color w:val="000000" w:themeColor="text1"/>
          <w:sz w:val="20"/>
          <w:szCs w:val="20"/>
          <w14:textFill>
            <w14:solidFill>
              <w14:schemeClr w14:val="tx1"/>
            </w14:solidFill>
          </w14:textFill>
        </w:rPr>
        <w:t>本产品说明书</w:t>
      </w:r>
      <w:r>
        <w:rPr>
          <w:rFonts w:ascii="楷体_GB2312" w:eastAsia="楷体_GB2312"/>
          <w:color w:val="000000" w:themeColor="text1"/>
          <w:sz w:val="20"/>
          <w:szCs w:val="20"/>
          <w14:textFill>
            <w14:solidFill>
              <w14:schemeClr w14:val="tx1"/>
            </w14:solidFill>
          </w14:textFill>
        </w:rPr>
        <w:t>自</w:t>
      </w:r>
      <w:r>
        <w:rPr>
          <w:rFonts w:hint="eastAsia" w:ascii="楷体_GB2312" w:eastAsia="楷体_GB2312"/>
          <w:color w:val="000000" w:themeColor="text1"/>
          <w:sz w:val="20"/>
          <w:szCs w:val="20"/>
          <w14:textFill>
            <w14:solidFill>
              <w14:schemeClr w14:val="tx1"/>
            </w14:solidFill>
          </w14:textFill>
        </w:rPr>
        <w:t>其</w:t>
      </w:r>
      <w:r>
        <w:rPr>
          <w:rFonts w:ascii="楷体_GB2312" w:eastAsia="楷体_GB2312"/>
          <w:color w:val="000000" w:themeColor="text1"/>
          <w:sz w:val="20"/>
          <w:szCs w:val="20"/>
          <w14:textFill>
            <w14:solidFill>
              <w14:schemeClr w14:val="tx1"/>
            </w14:solidFill>
          </w14:textFill>
        </w:rPr>
        <w:t>在线</w:t>
      </w:r>
      <w:r>
        <w:rPr>
          <w:rFonts w:hint="eastAsia" w:ascii="楷体_GB2312" w:eastAsia="楷体_GB2312"/>
          <w:color w:val="000000" w:themeColor="text1"/>
          <w:sz w:val="20"/>
          <w:szCs w:val="20"/>
          <w14:textFill>
            <w14:solidFill>
              <w14:schemeClr w14:val="tx1"/>
            </w14:solidFill>
          </w14:textFill>
        </w:rPr>
        <w:t>勾选</w:t>
      </w:r>
      <w:r>
        <w:rPr>
          <w:rFonts w:ascii="楷体_GB2312" w:eastAsia="楷体_GB2312"/>
          <w:color w:val="000000" w:themeColor="text1"/>
          <w:sz w:val="20"/>
          <w:szCs w:val="20"/>
          <w14:textFill>
            <w14:solidFill>
              <w14:schemeClr w14:val="tx1"/>
            </w14:solidFill>
          </w14:textFill>
        </w:rPr>
        <w:t>确认后生效。</w:t>
      </w:r>
    </w:p>
    <w:p w14:paraId="6E7134E0">
      <w:pPr>
        <w:pStyle w:val="19"/>
        <w:numPr>
          <w:ilvl w:val="255"/>
          <w:numId w:val="0"/>
        </w:numPr>
        <w:spacing w:line="300" w:lineRule="exact"/>
        <w:ind w:firstLine="400" w:firstLineChars="200"/>
        <w:jc w:val="both"/>
        <w:rPr>
          <w:rFonts w:ascii="楷体_GB2312" w:eastAsia="楷体_GB2312"/>
          <w:color w:val="000000" w:themeColor="text1"/>
          <w:sz w:val="20"/>
          <w:szCs w:val="20"/>
          <w14:textFill>
            <w14:solidFill>
              <w14:schemeClr w14:val="tx1"/>
            </w14:solidFill>
          </w14:textFill>
        </w:rPr>
      </w:pPr>
      <w:r>
        <w:rPr>
          <w:rFonts w:hint="eastAsia" w:ascii="楷体_GB2312" w:eastAsia="楷体_GB2312"/>
          <w:color w:val="000000" w:themeColor="text1"/>
          <w:sz w:val="20"/>
          <w:szCs w:val="20"/>
          <w14:textFill>
            <w14:solidFill>
              <w14:schemeClr w14:val="tx1"/>
            </w14:solidFill>
          </w14:textFill>
        </w:rPr>
        <w:t>2</w:t>
      </w:r>
      <w:r>
        <w:rPr>
          <w:rFonts w:ascii="楷体_GB2312" w:eastAsia="楷体_GB2312"/>
          <w:color w:val="000000" w:themeColor="text1"/>
          <w:sz w:val="20"/>
          <w:szCs w:val="20"/>
          <w14:textFill>
            <w14:solidFill>
              <w14:schemeClr w14:val="tx1"/>
            </w14:solidFill>
          </w14:textFill>
        </w:rPr>
        <w:t>．</w:t>
      </w:r>
      <w:r>
        <w:rPr>
          <w:rFonts w:hint="eastAsia" w:ascii="楷体_GB2312" w:eastAsia="楷体_GB2312"/>
          <w:color w:val="000000" w:themeColor="text1"/>
          <w:sz w:val="20"/>
          <w:szCs w:val="20"/>
          <w14:textFill>
            <w14:solidFill>
              <w14:schemeClr w14:val="tx1"/>
            </w14:solidFill>
          </w14:textFill>
        </w:rPr>
        <w:t>如</w:t>
      </w:r>
      <w:r>
        <w:rPr>
          <w:rFonts w:ascii="楷体_GB2312" w:eastAsia="楷体_GB2312"/>
          <w:color w:val="000000" w:themeColor="text1"/>
          <w:sz w:val="20"/>
          <w:szCs w:val="20"/>
          <w14:textFill>
            <w14:solidFill>
              <w14:schemeClr w14:val="tx1"/>
            </w14:solidFill>
          </w14:textFill>
        </w:rPr>
        <w:t>投资者通过</w:t>
      </w:r>
      <w:r>
        <w:rPr>
          <w:rFonts w:hint="eastAsia" w:ascii="楷体_GB2312" w:eastAsia="楷体_GB2312"/>
          <w:color w:val="000000" w:themeColor="text1"/>
          <w:sz w:val="20"/>
          <w:szCs w:val="20"/>
          <w14:textFill>
            <w14:solidFill>
              <w14:schemeClr w14:val="tx1"/>
            </w14:solidFill>
          </w14:textFill>
        </w:rPr>
        <w:t>信银</w:t>
      </w:r>
      <w:r>
        <w:rPr>
          <w:rFonts w:ascii="楷体_GB2312" w:eastAsia="楷体_GB2312"/>
          <w:color w:val="000000" w:themeColor="text1"/>
          <w:sz w:val="20"/>
          <w:szCs w:val="20"/>
          <w14:textFill>
            <w14:solidFill>
              <w14:schemeClr w14:val="tx1"/>
            </w14:solidFill>
          </w14:textFill>
        </w:rPr>
        <w:t>理财合作销售机构</w:t>
      </w:r>
      <w:r>
        <w:rPr>
          <w:rFonts w:hint="eastAsia" w:ascii="楷体_GB2312" w:eastAsia="楷体_GB2312"/>
          <w:color w:val="000000" w:themeColor="text1"/>
          <w:sz w:val="20"/>
          <w:szCs w:val="20"/>
          <w14:textFill>
            <w14:solidFill>
              <w14:schemeClr w14:val="tx1"/>
            </w14:solidFill>
          </w14:textFill>
        </w:rPr>
        <w:t>（代销机构）</w:t>
      </w:r>
      <w:r>
        <w:rPr>
          <w:rFonts w:ascii="楷体_GB2312" w:eastAsia="楷体_GB2312"/>
          <w:color w:val="000000" w:themeColor="text1"/>
          <w:sz w:val="20"/>
          <w:szCs w:val="20"/>
          <w14:textFill>
            <w14:solidFill>
              <w14:schemeClr w14:val="tx1"/>
            </w14:solidFill>
          </w14:textFill>
        </w:rPr>
        <w:t>购买理财产品的，</w:t>
      </w:r>
      <w:r>
        <w:rPr>
          <w:rFonts w:hint="eastAsia" w:ascii="楷体_GB2312" w:eastAsia="楷体_GB2312"/>
          <w:color w:val="000000" w:themeColor="text1"/>
          <w:sz w:val="20"/>
          <w:szCs w:val="20"/>
          <w14:textFill>
            <w14:solidFill>
              <w14:schemeClr w14:val="tx1"/>
            </w14:solidFill>
          </w14:textFill>
        </w:rPr>
        <w:t>说明书</w:t>
      </w:r>
      <w:r>
        <w:rPr>
          <w:rFonts w:ascii="楷体_GB2312" w:eastAsia="楷体_GB2312"/>
          <w:color w:val="000000" w:themeColor="text1"/>
          <w:sz w:val="20"/>
          <w:szCs w:val="20"/>
          <w14:textFill>
            <w14:solidFill>
              <w14:schemeClr w14:val="tx1"/>
            </w14:solidFill>
          </w14:textFill>
        </w:rPr>
        <w:t>签署及生效方式以</w:t>
      </w:r>
      <w:r>
        <w:rPr>
          <w:rFonts w:hint="eastAsia" w:ascii="楷体_GB2312" w:eastAsia="楷体_GB2312"/>
          <w:color w:val="000000" w:themeColor="text1"/>
          <w:sz w:val="20"/>
          <w:szCs w:val="20"/>
          <w14:textFill>
            <w14:solidFill>
              <w14:schemeClr w14:val="tx1"/>
            </w14:solidFill>
          </w14:textFill>
        </w:rPr>
        <w:t>投资者</w:t>
      </w:r>
      <w:r>
        <w:rPr>
          <w:rFonts w:ascii="楷体_GB2312" w:eastAsia="楷体_GB2312"/>
          <w:color w:val="000000" w:themeColor="text1"/>
          <w:sz w:val="20"/>
          <w:szCs w:val="20"/>
          <w14:textFill>
            <w14:solidFill>
              <w14:schemeClr w14:val="tx1"/>
            </w14:solidFill>
          </w14:textFill>
        </w:rPr>
        <w:t>与</w:t>
      </w:r>
      <w:r>
        <w:rPr>
          <w:rFonts w:hint="eastAsia" w:ascii="楷体_GB2312" w:eastAsia="楷体_GB2312"/>
          <w:color w:val="000000" w:themeColor="text1"/>
          <w:sz w:val="20"/>
          <w:szCs w:val="20"/>
          <w14:textFill>
            <w14:solidFill>
              <w14:schemeClr w14:val="tx1"/>
            </w14:solidFill>
          </w14:textFill>
        </w:rPr>
        <w:t>代销机构约定</w:t>
      </w:r>
      <w:r>
        <w:rPr>
          <w:rFonts w:ascii="楷体_GB2312" w:eastAsia="楷体_GB2312"/>
          <w:color w:val="000000" w:themeColor="text1"/>
          <w:sz w:val="20"/>
          <w:szCs w:val="20"/>
          <w14:textFill>
            <w14:solidFill>
              <w14:schemeClr w14:val="tx1"/>
            </w14:solidFill>
          </w14:textFill>
        </w:rPr>
        <w:t>为准。</w:t>
      </w:r>
    </w:p>
    <w:p w14:paraId="413A079A">
      <w:pPr>
        <w:pStyle w:val="19"/>
        <w:spacing w:line="300" w:lineRule="exact"/>
        <w:ind w:left="786" w:right="36" w:rightChars="15" w:firstLine="0" w:firstLineChars="0"/>
        <w:rPr>
          <w:rFonts w:ascii="楷体_GB2312" w:eastAsia="楷体_GB2312"/>
          <w:color w:val="000000" w:themeColor="text1"/>
          <w:sz w:val="20"/>
          <w:szCs w:val="20"/>
          <w14:textFill>
            <w14:solidFill>
              <w14:schemeClr w14:val="tx1"/>
            </w14:solidFill>
          </w14:textFill>
        </w:rPr>
      </w:pPr>
    </w:p>
    <w:p w14:paraId="6C9F00FD">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二十、争议解决</w:t>
      </w:r>
    </w:p>
    <w:p w14:paraId="0A5C6994">
      <w:pPr>
        <w:spacing w:line="300" w:lineRule="exact"/>
        <w:ind w:firstLine="402" w:firstLineChars="200"/>
        <w:jc w:val="both"/>
        <w:rPr>
          <w:rFonts w:ascii="Times New Roman" w:hAnsi="Times New Roman" w:eastAsia="楷体_GB2312" w:cs="Times New Roman"/>
          <w:b/>
          <w:bCs/>
          <w:sz w:val="20"/>
          <w:szCs w:val="20"/>
        </w:rPr>
      </w:pPr>
      <w:bookmarkStart w:id="1" w:name="_Hlk144405041"/>
      <w:r>
        <w:rPr>
          <w:rFonts w:hint="eastAsia" w:ascii="Times New Roman" w:hAnsi="Times New Roman" w:eastAsia="楷体_GB2312" w:cs="Times New Roman"/>
          <w:b/>
          <w:sz w:val="20"/>
          <w:szCs w:val="20"/>
        </w:rPr>
        <w:t>（一）理财产品合同适用中华人民共和国法律（为履行理财产品合同之目的，不包括中国香港特别行政区、澳门特别行政区及台湾地区法律）。</w:t>
      </w:r>
    </w:p>
    <w:p w14:paraId="0F1CF8E1">
      <w:pPr>
        <w:spacing w:line="300" w:lineRule="exact"/>
        <w:ind w:firstLine="402" w:firstLineChars="200"/>
        <w:jc w:val="both"/>
        <w:rPr>
          <w:rFonts w:ascii="Times New Roman" w:hAnsi="Times New Roman" w:eastAsia="楷体_GB2312" w:cs="Times New Roman"/>
          <w:b/>
          <w:bCs/>
          <w:sz w:val="20"/>
          <w:szCs w:val="20"/>
        </w:rPr>
      </w:pPr>
      <w:r>
        <w:rPr>
          <w:rFonts w:hint="eastAsia" w:ascii="Times New Roman" w:hAnsi="Times New Roman" w:eastAsia="楷体_GB2312" w:cs="Times New Roman"/>
          <w:b/>
          <w:bCs/>
          <w:sz w:val="20"/>
          <w:szCs w:val="20"/>
        </w:rPr>
        <w:t>（二）凡因理财产品合同引起的或与理财产品合同有关的任何争议，甲乙双方应本着诚实信用的原则通过协商解决。如通过协商仍不能解决争议时，双方应将该等争议提交上海仲裁委员会仲裁，仲裁地在上海。仲裁裁决是终局性的，对双方均有约束力。除非仲裁裁决另有规定，双方为仲裁而实际支付的费用（包括但不限于仲裁费和律师费）由败诉方承担。</w:t>
      </w:r>
    </w:p>
    <w:p w14:paraId="16464233">
      <w:pPr>
        <w:spacing w:line="300" w:lineRule="exact"/>
        <w:ind w:firstLine="402" w:firstLineChars="200"/>
        <w:jc w:val="both"/>
        <w:rPr>
          <w:rFonts w:ascii="楷体_GB2312" w:eastAsia="楷体_GB2312"/>
          <w:color w:val="000000" w:themeColor="text1"/>
          <w:sz w:val="20"/>
          <w:szCs w:val="20"/>
          <w14:textFill>
            <w14:solidFill>
              <w14:schemeClr w14:val="tx1"/>
            </w14:solidFill>
          </w14:textFill>
        </w:rPr>
      </w:pPr>
      <w:r>
        <w:rPr>
          <w:rFonts w:hint="eastAsia" w:ascii="Times New Roman" w:hAnsi="Times New Roman" w:eastAsia="楷体_GB2312" w:cs="Times New Roman"/>
          <w:b/>
          <w:bCs/>
          <w:sz w:val="20"/>
          <w:szCs w:val="20"/>
        </w:rPr>
        <w:t>（三）在协商或仲裁期间，对于理财产品合同不涉及争议部分的条款，双方仍须履行。</w:t>
      </w:r>
      <w:bookmarkEnd w:id="1"/>
    </w:p>
    <w:p w14:paraId="2BE228F8">
      <w:pPr>
        <w:spacing w:line="300" w:lineRule="exact"/>
        <w:ind w:left="400" w:right="29" w:rightChars="12" w:hanging="400" w:hangingChars="200"/>
        <w:rPr>
          <w:rFonts w:ascii="黑体" w:hAnsi="Times New Roman" w:eastAsia="黑体" w:cs="黑体"/>
          <w:color w:val="000000" w:themeColor="text1"/>
          <w:sz w:val="20"/>
          <w:szCs w:val="20"/>
          <w14:textFill>
            <w14:solidFill>
              <w14:schemeClr w14:val="tx1"/>
            </w14:solidFill>
          </w14:textFill>
        </w:rPr>
      </w:pPr>
      <w:r>
        <w:rPr>
          <w:rFonts w:hint="eastAsia" w:ascii="黑体" w:hAnsi="Times New Roman" w:eastAsia="黑体" w:cs="黑体"/>
          <w:color w:val="000000" w:themeColor="text1"/>
          <w:sz w:val="20"/>
          <w:szCs w:val="20"/>
          <w14:textFill>
            <w14:solidFill>
              <w14:schemeClr w14:val="tx1"/>
            </w14:solidFill>
          </w14:textFill>
        </w:rPr>
        <w:t>（以下无正文）</w:t>
      </w:r>
    </w:p>
    <w:p w14:paraId="28061817">
      <w:pPr>
        <w:rPr>
          <w:rFonts w:ascii="黑体" w:hAnsi="Times New Roman" w:eastAsia="黑体" w:cs="黑体"/>
          <w:color w:val="000000" w:themeColor="text1"/>
          <w:sz w:val="20"/>
          <w:szCs w:val="20"/>
          <w14:textFill>
            <w14:solidFill>
              <w14:schemeClr w14:val="tx1"/>
            </w14:solidFill>
          </w14:textFill>
        </w:rPr>
      </w:pPr>
      <w:r>
        <w:rPr>
          <w:rFonts w:ascii="黑体" w:hAnsi="Times New Roman" w:eastAsia="黑体" w:cs="黑体"/>
          <w:color w:val="000000" w:themeColor="text1"/>
          <w:sz w:val="20"/>
          <w:szCs w:val="20"/>
          <w14:textFill>
            <w14:solidFill>
              <w14:schemeClr w14:val="tx1"/>
            </w14:solidFill>
          </w14:textFill>
        </w:rPr>
        <w:br w:type="page"/>
      </w:r>
      <w:r>
        <w:rPr>
          <w:rFonts w:ascii="楷体_GB2312" w:eastAsia="楷体_GB2312"/>
          <w:color w:val="000000" w:themeColor="text1"/>
          <w:sz w:val="20"/>
          <w:szCs w:val="20"/>
          <w:u w:val="single"/>
          <w14:textFill>
            <w14:solidFill>
              <w14:schemeClr w14:val="tx1"/>
            </w14:solidFill>
          </w14:textFill>
        </w:rPr>
        <w:t>                                 </w:t>
      </w:r>
    </w:p>
    <w:p w14:paraId="22E8F46A">
      <w:pPr>
        <w:jc w:val="both"/>
        <w:rPr>
          <w:rFonts w:ascii="黑体" w:eastAsia="黑体"/>
          <w:b/>
          <w:bCs/>
          <w:color w:val="000000"/>
        </w:rPr>
      </w:pPr>
      <w:r>
        <w:rPr>
          <w:rFonts w:hint="eastAsia" w:ascii="黑体" w:eastAsia="黑体"/>
          <w:b/>
          <w:bCs/>
          <w:color w:val="000000"/>
        </w:rPr>
        <w:t>【重要提示：信银理财已提请投资者注意本产品说明书项下免除或限制其责任的条款以及争议解决条款，并已按投资者要求对有关条款予以充分说明。投资者在本产品说明书上签字</w:t>
      </w:r>
      <w:r>
        <w:rPr>
          <w:rFonts w:ascii="黑体" w:eastAsia="黑体"/>
          <w:b/>
          <w:bCs/>
          <w:color w:val="000000"/>
        </w:rPr>
        <w:t>/盖章或在线</w:t>
      </w:r>
      <w:r>
        <w:rPr>
          <w:rFonts w:hint="eastAsia" w:ascii="黑体" w:eastAsia="黑体"/>
          <w:b/>
          <w:bCs/>
          <w:color w:val="000000"/>
        </w:rPr>
        <w:t>点击</w:t>
      </w:r>
      <w:r>
        <w:rPr>
          <w:rFonts w:ascii="黑体" w:eastAsia="黑体"/>
          <w:b/>
          <w:bCs/>
          <w:color w:val="000000"/>
        </w:rPr>
        <w:t>确认</w:t>
      </w:r>
      <w:r>
        <w:rPr>
          <w:rFonts w:hint="eastAsia" w:ascii="黑体" w:eastAsia="黑体"/>
          <w:b/>
          <w:bCs/>
          <w:color w:val="000000"/>
        </w:rPr>
        <w:t>即表示已知晓并同意本产品说明书的全部</w:t>
      </w:r>
      <w:r>
        <w:rPr>
          <w:rFonts w:ascii="黑体" w:eastAsia="黑体"/>
          <w:b/>
          <w:bCs/>
          <w:color w:val="000000"/>
        </w:rPr>
        <w:t>内容</w:t>
      </w:r>
      <w:r>
        <w:rPr>
          <w:rFonts w:hint="eastAsia" w:ascii="黑体" w:eastAsia="黑体"/>
          <w:b/>
          <w:bCs/>
          <w:color w:val="000000"/>
        </w:rPr>
        <w:t>，因此请您务必仔细阅读后再签署本产品说明书。】</w:t>
      </w:r>
    </w:p>
    <w:p w14:paraId="3CB15B53">
      <w:pPr>
        <w:spacing w:line="300" w:lineRule="exact"/>
        <w:ind w:left="-2" w:leftChars="-1" w:right="36" w:rightChars="15"/>
        <w:rPr>
          <w:rFonts w:ascii="黑体" w:hAnsi="Times New Roman" w:eastAsia="黑体"/>
          <w:color w:val="000000" w:themeColor="text1"/>
          <w14:textFill>
            <w14:solidFill>
              <w14:schemeClr w14:val="tx1"/>
            </w14:solidFill>
          </w14:textFill>
        </w:rPr>
      </w:pPr>
    </w:p>
    <w:p w14:paraId="49AC104A">
      <w:pPr>
        <w:spacing w:line="300" w:lineRule="exact"/>
        <w:ind w:left="-2" w:leftChars="-1" w:right="36" w:rightChars="15"/>
        <w:rPr>
          <w:color w:val="000000" w:themeColor="text1"/>
          <w14:textFill>
            <w14:solidFill>
              <w14:schemeClr w14:val="tx1"/>
            </w14:solidFill>
          </w14:textFill>
        </w:rPr>
      </w:pPr>
      <w:r>
        <w:rPr>
          <w:rFonts w:hint="eastAsia" w:ascii="黑体" w:hAnsi="Times New Roman" w:eastAsia="黑体"/>
          <w:color w:val="000000" w:themeColor="text1"/>
          <w14:textFill>
            <w14:solidFill>
              <w14:schemeClr w14:val="tx1"/>
            </w14:solidFill>
          </w14:textFill>
        </w:rPr>
        <w:t>个人客户（签字）：</w:t>
      </w:r>
      <w:r>
        <w:rPr>
          <w:rFonts w:ascii="黑体" w:hAnsi="Times New Roman" w:eastAsia="黑体"/>
          <w:color w:val="000000" w:themeColor="text1"/>
          <w14:textFill>
            <w14:solidFill>
              <w14:schemeClr w14:val="tx1"/>
            </w14:solidFill>
          </w14:textFill>
        </w:rPr>
        <w:t xml:space="preserve">                   </w:t>
      </w:r>
    </w:p>
    <w:p w14:paraId="76D7CDC5">
      <w:pPr>
        <w:ind w:right="440"/>
        <w:rPr>
          <w:rFonts w:ascii="Arial" w:hAnsi="Arial" w:cs="Arial"/>
          <w:color w:val="000000" w:themeColor="text1"/>
          <w:sz w:val="15"/>
          <w:szCs w:val="15"/>
          <w14:textFill>
            <w14:solidFill>
              <w14:schemeClr w14:val="tx1"/>
            </w14:solidFill>
          </w14:textFill>
        </w:rPr>
      </w:pPr>
      <w:r>
        <w:rPr>
          <w:rFonts w:ascii="黑体" w:hAnsi="Times New Roman" w:eastAsia="黑体" w:cs="Arial"/>
          <w:color w:val="000000" w:themeColor="text1"/>
          <w14:textFill>
            <w14:solidFill>
              <w14:schemeClr w14:val="tx1"/>
            </w14:solidFill>
          </w14:textFill>
        </w:rPr>
        <w:t xml:space="preserve">                                  </w:t>
      </w:r>
    </w:p>
    <w:p w14:paraId="21E87DFE">
      <w:pPr>
        <w:ind w:left="4440" w:right="440" w:hanging="4440" w:hangingChars="1850"/>
        <w:rPr>
          <w:rFonts w:ascii="楷体" w:hAnsi="楷体" w:eastAsia="楷体" w:cs="Arial"/>
          <w:color w:val="000000" w:themeColor="text1"/>
          <w:sz w:val="15"/>
          <w:szCs w:val="15"/>
          <w14:textFill>
            <w14:solidFill>
              <w14:schemeClr w14:val="tx1"/>
            </w14:solidFill>
          </w14:textFill>
        </w:rPr>
      </w:pPr>
      <w:r>
        <w:rPr>
          <w:rFonts w:hint="eastAsia" w:ascii="黑体" w:hAnsi="Times New Roman" w:eastAsia="黑体" w:cs="Arial"/>
          <w:color w:val="000000" w:themeColor="text1"/>
          <w14:textFill>
            <w14:solidFill>
              <w14:schemeClr w14:val="tx1"/>
            </w14:solidFill>
          </w14:textFill>
        </w:rPr>
        <w:t xml:space="preserve">日期：年 月 日                      </w:t>
      </w:r>
      <w:r>
        <w:rPr>
          <w:rFonts w:ascii="黑体" w:hAnsi="Times New Roman" w:eastAsia="黑体" w:cs="Arial"/>
          <w:color w:val="000000" w:themeColor="text1"/>
          <w14:textFill>
            <w14:solidFill>
              <w14:schemeClr w14:val="tx1"/>
            </w14:solidFill>
          </w14:textFill>
        </w:rPr>
        <w:t xml:space="preserve"> </w:t>
      </w:r>
    </w:p>
    <w:p w14:paraId="44F50114">
      <w:pPr>
        <w:ind w:right="-902" w:rightChars="-376"/>
        <w:rPr>
          <w:rFonts w:ascii="楷体" w:hAnsi="楷体" w:eastAsia="楷体"/>
          <w:color w:val="000000" w:themeColor="text1"/>
          <w14:textFill>
            <w14:solidFill>
              <w14:schemeClr w14:val="tx1"/>
            </w14:solidFill>
          </w14:textFill>
        </w:rPr>
      </w:pPr>
      <w:r>
        <w:rPr>
          <w:rFonts w:ascii="Calibri" w:hAnsi="Calibri" w:eastAsia="楷体" w:cs="Calibri"/>
          <w:color w:val="000000" w:themeColor="text1"/>
          <w14:textFill>
            <w14:solidFill>
              <w14:schemeClr w14:val="tx1"/>
            </w14:solidFill>
          </w14:textFill>
        </w:rPr>
        <w:t> </w:t>
      </w:r>
    </w:p>
    <w:p w14:paraId="10CBF151">
      <w:pPr>
        <w:ind w:right="-902" w:rightChars="-376"/>
        <w:rPr>
          <w:rFonts w:ascii="黑体" w:hAnsi="Times New Roman" w:eastAsia="黑体"/>
          <w:color w:val="000000" w:themeColor="text1"/>
          <w14:textFill>
            <w14:solidFill>
              <w14:schemeClr w14:val="tx1"/>
            </w14:solidFill>
          </w14:textFill>
        </w:rPr>
      </w:pPr>
    </w:p>
    <w:p w14:paraId="3A7BCCAE">
      <w:pPr>
        <w:ind w:right="-902" w:rightChars="-376"/>
        <w:rPr>
          <w:color w:val="000000" w:themeColor="text1"/>
          <w14:textFill>
            <w14:solidFill>
              <w14:schemeClr w14:val="tx1"/>
            </w14:solidFill>
          </w14:textFill>
        </w:rPr>
      </w:pPr>
      <w:r>
        <w:rPr>
          <w:rFonts w:hint="eastAsia" w:ascii="黑体" w:hAnsi="Times New Roman" w:eastAsia="黑体"/>
          <w:color w:val="000000" w:themeColor="text1"/>
          <w14:textFill>
            <w14:solidFill>
              <w14:schemeClr w14:val="tx1"/>
            </w14:solidFill>
          </w14:textFill>
        </w:rPr>
        <w:t>机构客户（盖章）：</w:t>
      </w:r>
      <w:r>
        <w:rPr>
          <w:rFonts w:ascii="黑体" w:hAnsi="Times New Roman" w:eastAsia="黑体"/>
          <w:color w:val="000000" w:themeColor="text1"/>
          <w14:textFill>
            <w14:solidFill>
              <w14:schemeClr w14:val="tx1"/>
            </w14:solidFill>
          </w14:textFill>
        </w:rPr>
        <w:t xml:space="preserve">                    </w:t>
      </w:r>
    </w:p>
    <w:p w14:paraId="0DFAB3F3">
      <w:pPr>
        <w:ind w:right="-902" w:rightChars="-376"/>
        <w:rPr>
          <w:color w:val="000000" w:themeColor="text1"/>
          <w14:textFill>
            <w14:solidFill>
              <w14:schemeClr w14:val="tx1"/>
            </w14:solidFill>
          </w14:textFill>
        </w:rPr>
      </w:pPr>
      <w:r>
        <w:rPr>
          <w:rFonts w:ascii="黑体" w:hAnsi="Times New Roman" w:eastAsia="黑体"/>
          <w:color w:val="000000" w:themeColor="text1"/>
          <w14:textFill>
            <w14:solidFill>
              <w14:schemeClr w14:val="tx1"/>
            </w14:solidFill>
          </w14:textFill>
        </w:rPr>
        <w:t> </w:t>
      </w:r>
    </w:p>
    <w:p w14:paraId="153DC9B3">
      <w:pPr>
        <w:ind w:right="-902" w:rightChars="-376"/>
        <w:rPr>
          <w:color w:val="000000" w:themeColor="text1"/>
          <w14:textFill>
            <w14:solidFill>
              <w14:schemeClr w14:val="tx1"/>
            </w14:solidFill>
          </w14:textFill>
        </w:rPr>
      </w:pPr>
      <w:r>
        <w:rPr>
          <w:rFonts w:hint="eastAsia" w:ascii="黑体" w:hAnsi="Times New Roman" w:eastAsia="黑体"/>
          <w:color w:val="000000" w:themeColor="text1"/>
          <w14:textFill>
            <w14:solidFill>
              <w14:schemeClr w14:val="tx1"/>
            </w14:solidFill>
          </w14:textFill>
        </w:rPr>
        <w:t>法定代表人或负责人（签字或签章）：</w:t>
      </w:r>
    </w:p>
    <w:p w14:paraId="2F8A383D">
      <w:pPr>
        <w:ind w:right="-902" w:rightChars="-376"/>
        <w:rPr>
          <w:color w:val="000000" w:themeColor="text1"/>
          <w14:textFill>
            <w14:solidFill>
              <w14:schemeClr w14:val="tx1"/>
            </w14:solidFill>
          </w14:textFill>
        </w:rPr>
      </w:pPr>
      <w:r>
        <w:rPr>
          <w:rFonts w:ascii="黑体" w:hAnsi="Times New Roman" w:eastAsia="黑体"/>
          <w:color w:val="000000" w:themeColor="text1"/>
          <w14:textFill>
            <w14:solidFill>
              <w14:schemeClr w14:val="tx1"/>
            </w14:solidFill>
          </w14:textFill>
        </w:rPr>
        <w:t> </w:t>
      </w:r>
    </w:p>
    <w:p w14:paraId="0A1F96AF">
      <w:pPr>
        <w:ind w:right="-902" w:rightChars="-376"/>
        <w:rPr>
          <w:rFonts w:ascii="黑体" w:hAnsi="Times New Roman" w:eastAsia="黑体"/>
          <w:color w:val="000000" w:themeColor="text1"/>
          <w14:textFill>
            <w14:solidFill>
              <w14:schemeClr w14:val="tx1"/>
            </w14:solidFill>
          </w14:textFill>
        </w:rPr>
      </w:pPr>
      <w:r>
        <w:rPr>
          <w:rFonts w:hint="eastAsia" w:ascii="黑体" w:hAnsi="Times New Roman" w:eastAsia="黑体"/>
          <w:color w:val="000000" w:themeColor="text1"/>
          <w14:textFill>
            <w14:solidFill>
              <w14:schemeClr w14:val="tx1"/>
            </w14:solidFill>
          </w14:textFill>
        </w:rPr>
        <w:t>日期：年</w:t>
      </w:r>
      <w:r>
        <w:rPr>
          <w:rFonts w:ascii="黑体" w:hAnsi="Times New Roman" w:eastAsia="黑体"/>
          <w:color w:val="000000" w:themeColor="text1"/>
          <w14:textFill>
            <w14:solidFill>
              <w14:schemeClr w14:val="tx1"/>
            </w14:solidFill>
          </w14:textFill>
        </w:rPr>
        <w:t xml:space="preserve"> </w:t>
      </w:r>
      <w:r>
        <w:rPr>
          <w:rFonts w:hint="eastAsia" w:ascii="黑体" w:hAnsi="Times New Roman" w:eastAsia="黑体"/>
          <w:color w:val="000000" w:themeColor="text1"/>
          <w14:textFill>
            <w14:solidFill>
              <w14:schemeClr w14:val="tx1"/>
            </w14:solidFill>
          </w14:textFill>
        </w:rPr>
        <w:t>月</w:t>
      </w:r>
      <w:r>
        <w:rPr>
          <w:rFonts w:ascii="黑体" w:hAnsi="Times New Roman" w:eastAsia="黑体"/>
          <w:color w:val="000000" w:themeColor="text1"/>
          <w14:textFill>
            <w14:solidFill>
              <w14:schemeClr w14:val="tx1"/>
            </w14:solidFill>
          </w14:textFill>
        </w:rPr>
        <w:t xml:space="preserve"> </w:t>
      </w:r>
      <w:r>
        <w:rPr>
          <w:rFonts w:hint="eastAsia" w:ascii="黑体" w:hAnsi="Times New Roman" w:eastAsia="黑体"/>
          <w:color w:val="000000" w:themeColor="text1"/>
          <w14:textFill>
            <w14:solidFill>
              <w14:schemeClr w14:val="tx1"/>
            </w14:solidFill>
          </w14:textFill>
        </w:rPr>
        <w:t>日</w:t>
      </w:r>
    </w:p>
    <w:p w14:paraId="4B0DEDBF">
      <w:pPr>
        <w:snapToGrid w:val="0"/>
        <w:ind w:right="53" w:rightChars="22" w:firstLine="480" w:firstLineChars="200"/>
        <w:outlineLvl w:val="0"/>
      </w:pPr>
    </w:p>
    <w:sectPr>
      <w:headerReference r:id="rId7" w:type="default"/>
      <w:footerReference r:id="rId8" w:type="default"/>
      <w:pgSz w:w="11906" w:h="16838"/>
      <w:pgMar w:top="1440" w:right="1797" w:bottom="1440" w:left="1797" w:header="850" w:footer="992" w:gutter="0"/>
      <w:pgNumType w:start="1"/>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A2EFA">
    <w:pPr>
      <w:pStyle w:val="4"/>
      <w:jc w:val="cente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第</w:t>
    </w:r>
    <w:r>
      <w:rPr>
        <w:color w:val="000000" w:themeColor="text1"/>
        <w:lang w:val="zh-CN"/>
        <w14:textFill>
          <w14:solidFill>
            <w14:schemeClr w14:val="tx1"/>
          </w14:solidFill>
        </w14:textFill>
      </w:rPr>
      <w:t xml:space="preserve">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PAGE  \* Arabic  \* MERGEFORMAT</w:instrText>
    </w:r>
    <w:r>
      <w:rPr>
        <w:color w:val="000000" w:themeColor="text1"/>
        <w14:textFill>
          <w14:solidFill>
            <w14:schemeClr w14:val="tx1"/>
          </w14:solidFill>
        </w14:textFill>
      </w:rPr>
      <w:fldChar w:fldCharType="separate"/>
    </w:r>
    <w:r>
      <w:rPr>
        <w:color w:val="000000" w:themeColor="text1"/>
        <w:lang w:val="zh-CN"/>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r>
      <w:rPr>
        <w:color w:val="000000" w:themeColor="text1"/>
        <w:lang w:val="zh-CN"/>
        <w14:textFill>
          <w14:solidFill>
            <w14:schemeClr w14:val="tx1"/>
          </w14:solidFill>
        </w14:textFill>
      </w:rPr>
      <w:t xml:space="preserve"> </w:t>
    </w:r>
    <w:r>
      <w:rPr>
        <w:rFonts w:hint="eastAsia"/>
        <w:color w:val="000000" w:themeColor="text1"/>
        <w:lang w:val="zh-CN"/>
        <w14:textFill>
          <w14:solidFill>
            <w14:schemeClr w14:val="tx1"/>
          </w14:solidFill>
        </w14:textFill>
      </w:rPr>
      <w:t>，共</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SECTIONPAGES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p>
  <w:p w14:paraId="2ED38CEF">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4D809">
    <w:pPr>
      <w:pStyle w:val="4"/>
      <w:jc w:val="cente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第</w:t>
    </w:r>
    <w:r>
      <w:rPr>
        <w:color w:val="000000" w:themeColor="text1"/>
        <w:lang w:val="zh-CN"/>
        <w14:textFill>
          <w14:solidFill>
            <w14:schemeClr w14:val="tx1"/>
          </w14:solidFill>
        </w14:textFill>
      </w:rPr>
      <w:t xml:space="preserve">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PAGE  \* Arabic  \* MERGEFORMAT</w:instrText>
    </w:r>
    <w:r>
      <w:rPr>
        <w:color w:val="000000" w:themeColor="text1"/>
        <w14:textFill>
          <w14:solidFill>
            <w14:schemeClr w14:val="tx1"/>
          </w14:solidFill>
        </w14:textFill>
      </w:rPr>
      <w:fldChar w:fldCharType="separate"/>
    </w:r>
    <w:r>
      <w:rPr>
        <w:color w:val="000000" w:themeColor="text1"/>
        <w:lang w:val="zh-CN"/>
        <w14:textFill>
          <w14:solidFill>
            <w14:schemeClr w14:val="tx1"/>
          </w14:solidFill>
        </w14:textFill>
      </w:rPr>
      <w:t>2</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r>
      <w:rPr>
        <w:color w:val="000000" w:themeColor="text1"/>
        <w:lang w:val="zh-CN"/>
        <w14:textFill>
          <w14:solidFill>
            <w14:schemeClr w14:val="tx1"/>
          </w14:solidFill>
        </w14:textFill>
      </w:rPr>
      <w:t xml:space="preserve"> </w:t>
    </w:r>
    <w:r>
      <w:rPr>
        <w:rFonts w:hint="eastAsia"/>
        <w:color w:val="000000" w:themeColor="text1"/>
        <w:lang w:val="zh-CN"/>
        <w14:textFill>
          <w14:solidFill>
            <w14:schemeClr w14:val="tx1"/>
          </w14:solidFill>
        </w14:textFill>
      </w:rPr>
      <w:t>，共</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SECTIONPAGES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p>
  <w:p w14:paraId="5BBD99F0">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71969">
    <w:pPr>
      <w:pStyle w:val="4"/>
      <w:jc w:val="center"/>
      <w:rPr>
        <w:color w:val="000000" w:themeColor="text1"/>
        <w14:textFill>
          <w14:solidFill>
            <w14:schemeClr w14:val="tx1"/>
          </w14:solidFill>
        </w14:textFill>
      </w:rPr>
    </w:pPr>
    <w:r>
      <w:rPr>
        <w:rFonts w:hint="eastAsia"/>
        <w:color w:val="000000" w:themeColor="text1"/>
        <w:lang w:val="zh-CN"/>
        <w14:textFill>
          <w14:solidFill>
            <w14:schemeClr w14:val="tx1"/>
          </w14:solidFill>
        </w14:textFill>
      </w:rPr>
      <w:t>第</w:t>
    </w:r>
    <w:r>
      <w:rPr>
        <w:color w:val="000000" w:themeColor="text1"/>
        <w:lang w:val="zh-CN"/>
        <w14:textFill>
          <w14:solidFill>
            <w14:schemeClr w14:val="tx1"/>
          </w14:solidFill>
        </w14:textFill>
      </w:rPr>
      <w:t xml:space="preserve">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PAGE  \* Arabic  \* MERGEFORMAT</w:instrText>
    </w:r>
    <w:r>
      <w:rPr>
        <w:color w:val="000000" w:themeColor="text1"/>
        <w14:textFill>
          <w14:solidFill>
            <w14:schemeClr w14:val="tx1"/>
          </w14:solidFill>
        </w14:textFill>
      </w:rPr>
      <w:fldChar w:fldCharType="separate"/>
    </w:r>
    <w:r>
      <w:rPr>
        <w:color w:val="000000" w:themeColor="text1"/>
        <w:lang w:val="zh-CN"/>
        <w14:textFill>
          <w14:solidFill>
            <w14:schemeClr w14:val="tx1"/>
          </w14:solidFill>
        </w14:textFill>
      </w:rPr>
      <w:t>10</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r>
      <w:rPr>
        <w:color w:val="000000" w:themeColor="text1"/>
        <w:lang w:val="zh-CN"/>
        <w14:textFill>
          <w14:solidFill>
            <w14:schemeClr w14:val="tx1"/>
          </w14:solidFill>
        </w14:textFill>
      </w:rPr>
      <w:t xml:space="preserve"> </w:t>
    </w:r>
    <w:r>
      <w:rPr>
        <w:rFonts w:hint="eastAsia"/>
        <w:color w:val="000000" w:themeColor="text1"/>
        <w:lang w:val="zh-CN"/>
        <w14:textFill>
          <w14:solidFill>
            <w14:schemeClr w14:val="tx1"/>
          </w14:solidFill>
        </w14:textFill>
      </w:rPr>
      <w:t>，共</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SECTIONPAGES \* MERGEFORMAT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23</w:t>
    </w:r>
    <w:r>
      <w:rPr>
        <w:color w:val="000000" w:themeColor="text1"/>
        <w14:textFill>
          <w14:solidFill>
            <w14:schemeClr w14:val="tx1"/>
          </w14:solidFill>
        </w14:textFill>
      </w:rPr>
      <w:fldChar w:fldCharType="end"/>
    </w:r>
    <w:r>
      <w:rPr>
        <w:rFonts w:hint="eastAsia"/>
        <w:color w:val="000000" w:themeColor="text1"/>
        <w14:textFill>
          <w14:solidFill>
            <w14:schemeClr w14:val="tx1"/>
          </w14:solidFill>
        </w14:textFill>
      </w:rPr>
      <w:t>页</w:t>
    </w:r>
  </w:p>
  <w:p w14:paraId="75C25D21">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DF509">
    <w:pPr>
      <w:pStyle w:val="5"/>
    </w:pPr>
    <w:r>
      <w:t xml:space="preserve">                     </w:t>
    </w:r>
    <w:r>
      <w:rPr>
        <w:rFonts w:hint="eastAsia"/>
      </w:rPr>
      <w:t xml:space="preserve">                                     </w:t>
    </w:r>
    <w:r>
      <w:t>理财非存款、产品有风险、投资须谨慎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473B3">
    <w:pPr>
      <w:pStyle w:val="5"/>
    </w:pPr>
    <w:r>
      <w:rPr>
        <w:rFonts w:hint="eastAsia"/>
      </w:rPr>
      <w:t>本产品风险评级为【PR2】</w:t>
    </w:r>
    <w:r>
      <w:t xml:space="preserve">                                  理财非存款、产品有风险、投资须谨慎</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71E15">
    <w:pPr>
      <w:pStyle w:val="5"/>
    </w:pPr>
    <w:r>
      <w:rPr>
        <w:rFonts w:hint="eastAsia"/>
      </w:rPr>
      <w:t>本产品风险评级为【PR2】</w:t>
    </w:r>
    <w:r>
      <w:t xml:space="preserve">                                  理财非存款、产品有风险、投资须谨慎</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E13340"/>
    <w:multiLevelType w:val="multilevel"/>
    <w:tmpl w:val="0CE13340"/>
    <w:lvl w:ilvl="0" w:tentative="0">
      <w:start w:val="1"/>
      <w:numFmt w:val="decimal"/>
      <w:lvlText w:val="%1."/>
      <w:lvlJc w:val="left"/>
      <w:pPr>
        <w:ind w:left="758" w:hanging="360"/>
      </w:pPr>
      <w:rPr>
        <w:rFonts w:ascii="楷体_GB2312" w:hAnsi="宋体" w:eastAsia="楷体_GB2312" w:cs="楷体_GB2312"/>
      </w:rPr>
    </w:lvl>
    <w:lvl w:ilvl="1" w:tentative="0">
      <w:start w:val="1"/>
      <w:numFmt w:val="lowerLetter"/>
      <w:lvlText w:val="%2)"/>
      <w:lvlJc w:val="left"/>
      <w:pPr>
        <w:ind w:left="1238" w:hanging="420"/>
      </w:pPr>
    </w:lvl>
    <w:lvl w:ilvl="2" w:tentative="0">
      <w:start w:val="1"/>
      <w:numFmt w:val="lowerRoman"/>
      <w:lvlText w:val="%3."/>
      <w:lvlJc w:val="right"/>
      <w:pPr>
        <w:ind w:left="1658" w:hanging="420"/>
      </w:pPr>
    </w:lvl>
    <w:lvl w:ilvl="3" w:tentative="0">
      <w:start w:val="1"/>
      <w:numFmt w:val="decimal"/>
      <w:lvlText w:val="%4."/>
      <w:lvlJc w:val="left"/>
      <w:pPr>
        <w:ind w:left="2078" w:hanging="420"/>
      </w:pPr>
    </w:lvl>
    <w:lvl w:ilvl="4" w:tentative="0">
      <w:start w:val="1"/>
      <w:numFmt w:val="lowerLetter"/>
      <w:lvlText w:val="%5)"/>
      <w:lvlJc w:val="left"/>
      <w:pPr>
        <w:ind w:left="2498" w:hanging="420"/>
      </w:pPr>
    </w:lvl>
    <w:lvl w:ilvl="5" w:tentative="0">
      <w:start w:val="1"/>
      <w:numFmt w:val="lowerRoman"/>
      <w:lvlText w:val="%6."/>
      <w:lvlJc w:val="right"/>
      <w:pPr>
        <w:ind w:left="2918" w:hanging="420"/>
      </w:pPr>
    </w:lvl>
    <w:lvl w:ilvl="6" w:tentative="0">
      <w:start w:val="1"/>
      <w:numFmt w:val="decimal"/>
      <w:lvlText w:val="%7."/>
      <w:lvlJc w:val="left"/>
      <w:pPr>
        <w:ind w:left="3338" w:hanging="420"/>
      </w:pPr>
    </w:lvl>
    <w:lvl w:ilvl="7" w:tentative="0">
      <w:start w:val="1"/>
      <w:numFmt w:val="lowerLetter"/>
      <w:lvlText w:val="%8)"/>
      <w:lvlJc w:val="left"/>
      <w:pPr>
        <w:ind w:left="3758" w:hanging="420"/>
      </w:pPr>
    </w:lvl>
    <w:lvl w:ilvl="8" w:tentative="0">
      <w:start w:val="1"/>
      <w:numFmt w:val="lowerRoman"/>
      <w:lvlText w:val="%9."/>
      <w:lvlJc w:val="right"/>
      <w:pPr>
        <w:ind w:left="4178" w:hanging="420"/>
      </w:pPr>
    </w:lvl>
  </w:abstractNum>
  <w:abstractNum w:abstractNumId="1">
    <w:nsid w:val="15C00D17"/>
    <w:multiLevelType w:val="multilevel"/>
    <w:tmpl w:val="15C00D17"/>
    <w:lvl w:ilvl="0" w:tentative="0">
      <w:start w:val="1"/>
      <w:numFmt w:val="decimal"/>
      <w:lvlText w:val="%1."/>
      <w:lvlJc w:val="left"/>
      <w:pPr>
        <w:ind w:left="644" w:hanging="360"/>
      </w:pPr>
      <w:rPr>
        <w:rFonts w:ascii="Times New Roman" w:hAnsi="Times New Roman" w:eastAsia="楷体_GB2312" w:cs="楷体_GB2312"/>
      </w:rPr>
    </w:lvl>
    <w:lvl w:ilvl="1" w:tentative="0">
      <w:start w:val="1"/>
      <w:numFmt w:val="lowerLetter"/>
      <w:lvlText w:val="%2)"/>
      <w:lvlJc w:val="left"/>
      <w:pPr>
        <w:ind w:left="1124" w:hanging="420"/>
      </w:pPr>
    </w:lvl>
    <w:lvl w:ilvl="2" w:tentative="0">
      <w:start w:val="1"/>
      <w:numFmt w:val="lowerRoman"/>
      <w:lvlText w:val="%3."/>
      <w:lvlJc w:val="right"/>
      <w:pPr>
        <w:ind w:left="1544" w:hanging="420"/>
      </w:pPr>
    </w:lvl>
    <w:lvl w:ilvl="3" w:tentative="0">
      <w:start w:val="1"/>
      <w:numFmt w:val="decimal"/>
      <w:lvlText w:val="%4."/>
      <w:lvlJc w:val="left"/>
      <w:pPr>
        <w:ind w:left="1964" w:hanging="420"/>
      </w:pPr>
    </w:lvl>
    <w:lvl w:ilvl="4" w:tentative="0">
      <w:start w:val="1"/>
      <w:numFmt w:val="lowerLetter"/>
      <w:lvlText w:val="%5)"/>
      <w:lvlJc w:val="left"/>
      <w:pPr>
        <w:ind w:left="2384" w:hanging="420"/>
      </w:pPr>
    </w:lvl>
    <w:lvl w:ilvl="5" w:tentative="0">
      <w:start w:val="1"/>
      <w:numFmt w:val="lowerRoman"/>
      <w:lvlText w:val="%6."/>
      <w:lvlJc w:val="right"/>
      <w:pPr>
        <w:ind w:left="2804" w:hanging="420"/>
      </w:pPr>
    </w:lvl>
    <w:lvl w:ilvl="6" w:tentative="0">
      <w:start w:val="1"/>
      <w:numFmt w:val="decimal"/>
      <w:lvlText w:val="%7."/>
      <w:lvlJc w:val="left"/>
      <w:pPr>
        <w:ind w:left="3224" w:hanging="420"/>
      </w:pPr>
    </w:lvl>
    <w:lvl w:ilvl="7" w:tentative="0">
      <w:start w:val="1"/>
      <w:numFmt w:val="lowerLetter"/>
      <w:lvlText w:val="%8)"/>
      <w:lvlJc w:val="left"/>
      <w:pPr>
        <w:ind w:left="3644" w:hanging="420"/>
      </w:pPr>
    </w:lvl>
    <w:lvl w:ilvl="8" w:tentative="0">
      <w:start w:val="1"/>
      <w:numFmt w:val="lowerRoman"/>
      <w:lvlText w:val="%9."/>
      <w:lvlJc w:val="right"/>
      <w:pPr>
        <w:ind w:left="4064" w:hanging="420"/>
      </w:pPr>
    </w:lvl>
  </w:abstractNum>
  <w:abstractNum w:abstractNumId="2">
    <w:nsid w:val="26136516"/>
    <w:multiLevelType w:val="multilevel"/>
    <w:tmpl w:val="26136516"/>
    <w:lvl w:ilvl="0" w:tentative="0">
      <w:start w:val="1"/>
      <w:numFmt w:val="decimal"/>
      <w:lvlText w:val="%1."/>
      <w:lvlJc w:val="left"/>
      <w:pPr>
        <w:ind w:left="758" w:hanging="360"/>
      </w:pPr>
      <w:rPr>
        <w:rFonts w:ascii="Times New Roman" w:hAnsi="Times New Roman" w:eastAsia="楷体_GB2312" w:cs="楷体_GB2312"/>
      </w:rPr>
    </w:lvl>
    <w:lvl w:ilvl="1" w:tentative="0">
      <w:start w:val="1"/>
      <w:numFmt w:val="lowerLetter"/>
      <w:lvlText w:val="%2)"/>
      <w:lvlJc w:val="left"/>
      <w:pPr>
        <w:ind w:left="1238" w:hanging="420"/>
      </w:pPr>
    </w:lvl>
    <w:lvl w:ilvl="2" w:tentative="0">
      <w:start w:val="1"/>
      <w:numFmt w:val="lowerRoman"/>
      <w:lvlText w:val="%3."/>
      <w:lvlJc w:val="right"/>
      <w:pPr>
        <w:ind w:left="1658" w:hanging="420"/>
      </w:pPr>
    </w:lvl>
    <w:lvl w:ilvl="3" w:tentative="0">
      <w:start w:val="1"/>
      <w:numFmt w:val="decimal"/>
      <w:lvlText w:val="%4."/>
      <w:lvlJc w:val="left"/>
      <w:pPr>
        <w:ind w:left="2078" w:hanging="420"/>
      </w:pPr>
    </w:lvl>
    <w:lvl w:ilvl="4" w:tentative="0">
      <w:start w:val="1"/>
      <w:numFmt w:val="lowerLetter"/>
      <w:lvlText w:val="%5)"/>
      <w:lvlJc w:val="left"/>
      <w:pPr>
        <w:ind w:left="2498" w:hanging="420"/>
      </w:pPr>
    </w:lvl>
    <w:lvl w:ilvl="5" w:tentative="0">
      <w:start w:val="1"/>
      <w:numFmt w:val="lowerRoman"/>
      <w:lvlText w:val="%6."/>
      <w:lvlJc w:val="right"/>
      <w:pPr>
        <w:ind w:left="2918" w:hanging="420"/>
      </w:pPr>
    </w:lvl>
    <w:lvl w:ilvl="6" w:tentative="0">
      <w:start w:val="1"/>
      <w:numFmt w:val="decimal"/>
      <w:lvlText w:val="%7."/>
      <w:lvlJc w:val="left"/>
      <w:pPr>
        <w:ind w:left="3338" w:hanging="420"/>
      </w:pPr>
    </w:lvl>
    <w:lvl w:ilvl="7" w:tentative="0">
      <w:start w:val="1"/>
      <w:numFmt w:val="lowerLetter"/>
      <w:lvlText w:val="%8)"/>
      <w:lvlJc w:val="left"/>
      <w:pPr>
        <w:ind w:left="3758" w:hanging="420"/>
      </w:pPr>
    </w:lvl>
    <w:lvl w:ilvl="8" w:tentative="0">
      <w:start w:val="1"/>
      <w:numFmt w:val="lowerRoman"/>
      <w:lvlText w:val="%9."/>
      <w:lvlJc w:val="right"/>
      <w:pPr>
        <w:ind w:left="4178" w:hanging="420"/>
      </w:pPr>
    </w:lvl>
  </w:abstractNum>
  <w:abstractNum w:abstractNumId="3">
    <w:nsid w:val="320240BE"/>
    <w:multiLevelType w:val="multilevel"/>
    <w:tmpl w:val="320240BE"/>
    <w:lvl w:ilvl="0" w:tentative="0">
      <w:start w:val="1"/>
      <w:numFmt w:val="decimal"/>
      <w:lvlText w:val="%1."/>
      <w:lvlJc w:val="left"/>
      <w:pPr>
        <w:ind w:left="358" w:hanging="360"/>
      </w:pPr>
      <w:rPr>
        <w:rFonts w:hint="default"/>
      </w:rPr>
    </w:lvl>
    <w:lvl w:ilvl="1" w:tentative="0">
      <w:start w:val="1"/>
      <w:numFmt w:val="lowerLetter"/>
      <w:lvlText w:val="%2)"/>
      <w:lvlJc w:val="left"/>
      <w:pPr>
        <w:ind w:left="838" w:hanging="420"/>
      </w:pPr>
    </w:lvl>
    <w:lvl w:ilvl="2" w:tentative="0">
      <w:start w:val="1"/>
      <w:numFmt w:val="lowerRoman"/>
      <w:lvlText w:val="%3."/>
      <w:lvlJc w:val="right"/>
      <w:pPr>
        <w:ind w:left="1258" w:hanging="420"/>
      </w:pPr>
    </w:lvl>
    <w:lvl w:ilvl="3" w:tentative="0">
      <w:start w:val="1"/>
      <w:numFmt w:val="decimal"/>
      <w:lvlText w:val="%4."/>
      <w:lvlJc w:val="left"/>
      <w:pPr>
        <w:ind w:left="1678" w:hanging="420"/>
      </w:pPr>
    </w:lvl>
    <w:lvl w:ilvl="4" w:tentative="0">
      <w:start w:val="1"/>
      <w:numFmt w:val="lowerLetter"/>
      <w:lvlText w:val="%5)"/>
      <w:lvlJc w:val="left"/>
      <w:pPr>
        <w:ind w:left="2098" w:hanging="420"/>
      </w:pPr>
    </w:lvl>
    <w:lvl w:ilvl="5" w:tentative="0">
      <w:start w:val="1"/>
      <w:numFmt w:val="lowerRoman"/>
      <w:lvlText w:val="%6."/>
      <w:lvlJc w:val="right"/>
      <w:pPr>
        <w:ind w:left="2518" w:hanging="420"/>
      </w:pPr>
    </w:lvl>
    <w:lvl w:ilvl="6" w:tentative="0">
      <w:start w:val="1"/>
      <w:numFmt w:val="decimal"/>
      <w:lvlText w:val="%7."/>
      <w:lvlJc w:val="left"/>
      <w:pPr>
        <w:ind w:left="2938" w:hanging="420"/>
      </w:pPr>
    </w:lvl>
    <w:lvl w:ilvl="7" w:tentative="0">
      <w:start w:val="1"/>
      <w:numFmt w:val="lowerLetter"/>
      <w:lvlText w:val="%8)"/>
      <w:lvlJc w:val="left"/>
      <w:pPr>
        <w:ind w:left="3358" w:hanging="420"/>
      </w:pPr>
    </w:lvl>
    <w:lvl w:ilvl="8" w:tentative="0">
      <w:start w:val="1"/>
      <w:numFmt w:val="lowerRoman"/>
      <w:lvlText w:val="%9."/>
      <w:lvlJc w:val="right"/>
      <w:pPr>
        <w:ind w:left="3778" w:hanging="420"/>
      </w:pPr>
    </w:lvl>
  </w:abstractNum>
  <w:abstractNum w:abstractNumId="4">
    <w:nsid w:val="4B6B1016"/>
    <w:multiLevelType w:val="multilevel"/>
    <w:tmpl w:val="4B6B1016"/>
    <w:lvl w:ilvl="0" w:tentative="0">
      <w:start w:val="1"/>
      <w:numFmt w:val="decimal"/>
      <w:lvlText w:val="%1."/>
      <w:lvlJc w:val="left"/>
      <w:pPr>
        <w:ind w:left="358" w:hanging="360"/>
      </w:pPr>
      <w:rPr>
        <w:rFonts w:hint="default" w:ascii="楷体_GB2312" w:hAnsi="宋体" w:cs="楷体_GB2312"/>
      </w:rPr>
    </w:lvl>
    <w:lvl w:ilvl="1" w:tentative="0">
      <w:start w:val="1"/>
      <w:numFmt w:val="lowerLetter"/>
      <w:lvlText w:val="%2)"/>
      <w:lvlJc w:val="left"/>
      <w:pPr>
        <w:ind w:left="838" w:hanging="420"/>
      </w:pPr>
    </w:lvl>
    <w:lvl w:ilvl="2" w:tentative="0">
      <w:start w:val="1"/>
      <w:numFmt w:val="lowerRoman"/>
      <w:lvlText w:val="%3."/>
      <w:lvlJc w:val="right"/>
      <w:pPr>
        <w:ind w:left="1258" w:hanging="420"/>
      </w:pPr>
    </w:lvl>
    <w:lvl w:ilvl="3" w:tentative="0">
      <w:start w:val="1"/>
      <w:numFmt w:val="decimal"/>
      <w:lvlText w:val="%4."/>
      <w:lvlJc w:val="left"/>
      <w:pPr>
        <w:ind w:left="1678" w:hanging="420"/>
      </w:pPr>
    </w:lvl>
    <w:lvl w:ilvl="4" w:tentative="0">
      <w:start w:val="1"/>
      <w:numFmt w:val="lowerLetter"/>
      <w:lvlText w:val="%5)"/>
      <w:lvlJc w:val="left"/>
      <w:pPr>
        <w:ind w:left="2098" w:hanging="420"/>
      </w:pPr>
    </w:lvl>
    <w:lvl w:ilvl="5" w:tentative="0">
      <w:start w:val="1"/>
      <w:numFmt w:val="lowerRoman"/>
      <w:lvlText w:val="%6."/>
      <w:lvlJc w:val="right"/>
      <w:pPr>
        <w:ind w:left="2518" w:hanging="420"/>
      </w:pPr>
    </w:lvl>
    <w:lvl w:ilvl="6" w:tentative="0">
      <w:start w:val="1"/>
      <w:numFmt w:val="decimal"/>
      <w:lvlText w:val="%7."/>
      <w:lvlJc w:val="left"/>
      <w:pPr>
        <w:ind w:left="2938" w:hanging="420"/>
      </w:pPr>
    </w:lvl>
    <w:lvl w:ilvl="7" w:tentative="0">
      <w:start w:val="1"/>
      <w:numFmt w:val="lowerLetter"/>
      <w:lvlText w:val="%8)"/>
      <w:lvlJc w:val="left"/>
      <w:pPr>
        <w:ind w:left="3358" w:hanging="420"/>
      </w:pPr>
    </w:lvl>
    <w:lvl w:ilvl="8" w:tentative="0">
      <w:start w:val="1"/>
      <w:numFmt w:val="lowerRoman"/>
      <w:lvlText w:val="%9."/>
      <w:lvlJc w:val="right"/>
      <w:pPr>
        <w:ind w:left="3778" w:hanging="420"/>
      </w:pPr>
    </w:lvl>
  </w:abstractNum>
  <w:abstractNum w:abstractNumId="5">
    <w:nsid w:val="70C8692D"/>
    <w:multiLevelType w:val="multilevel"/>
    <w:tmpl w:val="70C8692D"/>
    <w:lvl w:ilvl="0" w:tentative="0">
      <w:start w:val="1"/>
      <w:numFmt w:val="decimal"/>
      <w:lvlText w:val="%1."/>
      <w:lvlJc w:val="left"/>
      <w:pPr>
        <w:ind w:left="358" w:hanging="360"/>
      </w:pPr>
      <w:rPr>
        <w:rFonts w:ascii="楷体_GB2312" w:hAnsi="宋体" w:eastAsia="楷体_GB2312" w:cs="楷体_GB2312"/>
      </w:rPr>
    </w:lvl>
    <w:lvl w:ilvl="1" w:tentative="0">
      <w:start w:val="1"/>
      <w:numFmt w:val="lowerLetter"/>
      <w:lvlText w:val="%2."/>
      <w:lvlJc w:val="left"/>
      <w:pPr>
        <w:ind w:left="1078" w:hanging="360"/>
      </w:pPr>
    </w:lvl>
    <w:lvl w:ilvl="2" w:tentative="0">
      <w:start w:val="1"/>
      <w:numFmt w:val="lowerRoman"/>
      <w:lvlText w:val="%3."/>
      <w:lvlJc w:val="right"/>
      <w:pPr>
        <w:ind w:left="1798" w:hanging="180"/>
      </w:pPr>
    </w:lvl>
    <w:lvl w:ilvl="3" w:tentative="0">
      <w:start w:val="1"/>
      <w:numFmt w:val="decimal"/>
      <w:lvlText w:val="%4."/>
      <w:lvlJc w:val="left"/>
      <w:pPr>
        <w:ind w:left="2518" w:hanging="360"/>
      </w:pPr>
    </w:lvl>
    <w:lvl w:ilvl="4" w:tentative="0">
      <w:start w:val="1"/>
      <w:numFmt w:val="lowerLetter"/>
      <w:lvlText w:val="%5."/>
      <w:lvlJc w:val="left"/>
      <w:pPr>
        <w:ind w:left="3238" w:hanging="360"/>
      </w:pPr>
    </w:lvl>
    <w:lvl w:ilvl="5" w:tentative="0">
      <w:start w:val="1"/>
      <w:numFmt w:val="lowerRoman"/>
      <w:lvlText w:val="%6."/>
      <w:lvlJc w:val="right"/>
      <w:pPr>
        <w:ind w:left="3958" w:hanging="180"/>
      </w:pPr>
    </w:lvl>
    <w:lvl w:ilvl="6" w:tentative="0">
      <w:start w:val="1"/>
      <w:numFmt w:val="decimal"/>
      <w:lvlText w:val="%7."/>
      <w:lvlJc w:val="left"/>
      <w:pPr>
        <w:ind w:left="4678" w:hanging="360"/>
      </w:pPr>
    </w:lvl>
    <w:lvl w:ilvl="7" w:tentative="0">
      <w:start w:val="1"/>
      <w:numFmt w:val="lowerLetter"/>
      <w:lvlText w:val="%8."/>
      <w:lvlJc w:val="left"/>
      <w:pPr>
        <w:ind w:left="5398" w:hanging="360"/>
      </w:pPr>
    </w:lvl>
    <w:lvl w:ilvl="8" w:tentative="0">
      <w:start w:val="1"/>
      <w:numFmt w:val="lowerRoman"/>
      <w:lvlText w:val="%9."/>
      <w:lvlJc w:val="right"/>
      <w:pPr>
        <w:ind w:left="6118" w:hanging="180"/>
      </w:pPr>
    </w:lvl>
  </w:abstractNum>
  <w:num w:numId="1">
    <w:abstractNumId w:val="4"/>
  </w:num>
  <w:num w:numId="2">
    <w:abstractNumId w:val="3"/>
  </w:num>
  <w:num w:numId="3">
    <w:abstractNumId w:val="5"/>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rawingGridHorizontalSpacing w:val="0"/>
  <w:drawingGridVerticalSpacing w:val="0"/>
  <w:noPunctuationKerning w:val="1"/>
  <w:characterSpacingControl w:val="doNotCompress"/>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c2NzgzNTQ3YjE0ZWMyZmZiODIyZWQ2YTc3NzhhNGIifQ=="/>
  </w:docVars>
  <w:rsids>
    <w:rsidRoot w:val="00172A27"/>
    <w:rsid w:val="000006C6"/>
    <w:rsid w:val="00001DC5"/>
    <w:rsid w:val="00001F37"/>
    <w:rsid w:val="00003EA4"/>
    <w:rsid w:val="00005611"/>
    <w:rsid w:val="00005AAC"/>
    <w:rsid w:val="00007813"/>
    <w:rsid w:val="00007E67"/>
    <w:rsid w:val="00010675"/>
    <w:rsid w:val="000126B2"/>
    <w:rsid w:val="00012DB3"/>
    <w:rsid w:val="0001372D"/>
    <w:rsid w:val="00013F5B"/>
    <w:rsid w:val="000147D6"/>
    <w:rsid w:val="00014B73"/>
    <w:rsid w:val="0001549F"/>
    <w:rsid w:val="000160B3"/>
    <w:rsid w:val="000205B3"/>
    <w:rsid w:val="00020AB8"/>
    <w:rsid w:val="00021FBC"/>
    <w:rsid w:val="00022383"/>
    <w:rsid w:val="00023770"/>
    <w:rsid w:val="0002390F"/>
    <w:rsid w:val="0002493B"/>
    <w:rsid w:val="00025F4F"/>
    <w:rsid w:val="0002679A"/>
    <w:rsid w:val="00027D07"/>
    <w:rsid w:val="00032181"/>
    <w:rsid w:val="00032E11"/>
    <w:rsid w:val="00034184"/>
    <w:rsid w:val="0003593E"/>
    <w:rsid w:val="00035D4E"/>
    <w:rsid w:val="00036164"/>
    <w:rsid w:val="000363A0"/>
    <w:rsid w:val="00036A9C"/>
    <w:rsid w:val="00037270"/>
    <w:rsid w:val="00037C31"/>
    <w:rsid w:val="00041092"/>
    <w:rsid w:val="00041EA7"/>
    <w:rsid w:val="000426F9"/>
    <w:rsid w:val="000432B2"/>
    <w:rsid w:val="00043AA8"/>
    <w:rsid w:val="00044D26"/>
    <w:rsid w:val="00046C52"/>
    <w:rsid w:val="00046D16"/>
    <w:rsid w:val="00047F09"/>
    <w:rsid w:val="000509D8"/>
    <w:rsid w:val="00051D6A"/>
    <w:rsid w:val="00053031"/>
    <w:rsid w:val="000548A7"/>
    <w:rsid w:val="00055799"/>
    <w:rsid w:val="00055B2C"/>
    <w:rsid w:val="00057627"/>
    <w:rsid w:val="00057AF1"/>
    <w:rsid w:val="00060175"/>
    <w:rsid w:val="00060380"/>
    <w:rsid w:val="0006039E"/>
    <w:rsid w:val="00060C45"/>
    <w:rsid w:val="00060CF8"/>
    <w:rsid w:val="000627EE"/>
    <w:rsid w:val="00062C0F"/>
    <w:rsid w:val="00063F74"/>
    <w:rsid w:val="000642FF"/>
    <w:rsid w:val="00064EC6"/>
    <w:rsid w:val="000656EC"/>
    <w:rsid w:val="00070B5F"/>
    <w:rsid w:val="00071B6D"/>
    <w:rsid w:val="0007222D"/>
    <w:rsid w:val="000728B5"/>
    <w:rsid w:val="0007322A"/>
    <w:rsid w:val="000737DF"/>
    <w:rsid w:val="0007491E"/>
    <w:rsid w:val="00074951"/>
    <w:rsid w:val="000757CB"/>
    <w:rsid w:val="000810BD"/>
    <w:rsid w:val="00083705"/>
    <w:rsid w:val="0008387A"/>
    <w:rsid w:val="0008499F"/>
    <w:rsid w:val="00084A58"/>
    <w:rsid w:val="00084DE7"/>
    <w:rsid w:val="00085A4A"/>
    <w:rsid w:val="00085E70"/>
    <w:rsid w:val="0008615C"/>
    <w:rsid w:val="0008737E"/>
    <w:rsid w:val="00090367"/>
    <w:rsid w:val="00090A15"/>
    <w:rsid w:val="00090A7C"/>
    <w:rsid w:val="00090B6A"/>
    <w:rsid w:val="000912BC"/>
    <w:rsid w:val="00091490"/>
    <w:rsid w:val="0009250D"/>
    <w:rsid w:val="00093A85"/>
    <w:rsid w:val="00093E3E"/>
    <w:rsid w:val="00094744"/>
    <w:rsid w:val="00096806"/>
    <w:rsid w:val="000A044F"/>
    <w:rsid w:val="000A09D8"/>
    <w:rsid w:val="000A0BFB"/>
    <w:rsid w:val="000A0C47"/>
    <w:rsid w:val="000A2BBA"/>
    <w:rsid w:val="000A5437"/>
    <w:rsid w:val="000A544A"/>
    <w:rsid w:val="000A5B13"/>
    <w:rsid w:val="000A5C95"/>
    <w:rsid w:val="000A5E90"/>
    <w:rsid w:val="000B0124"/>
    <w:rsid w:val="000B0A2B"/>
    <w:rsid w:val="000B1394"/>
    <w:rsid w:val="000B5D44"/>
    <w:rsid w:val="000B6427"/>
    <w:rsid w:val="000B7A00"/>
    <w:rsid w:val="000C04B7"/>
    <w:rsid w:val="000C0E92"/>
    <w:rsid w:val="000C19F3"/>
    <w:rsid w:val="000C2361"/>
    <w:rsid w:val="000C2603"/>
    <w:rsid w:val="000C283C"/>
    <w:rsid w:val="000C3099"/>
    <w:rsid w:val="000C32BE"/>
    <w:rsid w:val="000C33FA"/>
    <w:rsid w:val="000C3AF8"/>
    <w:rsid w:val="000C3D71"/>
    <w:rsid w:val="000C4C04"/>
    <w:rsid w:val="000D0148"/>
    <w:rsid w:val="000D0828"/>
    <w:rsid w:val="000D0FBD"/>
    <w:rsid w:val="000D3A95"/>
    <w:rsid w:val="000D3D90"/>
    <w:rsid w:val="000D4953"/>
    <w:rsid w:val="000D4C7B"/>
    <w:rsid w:val="000D56E3"/>
    <w:rsid w:val="000D672E"/>
    <w:rsid w:val="000D7E38"/>
    <w:rsid w:val="000E0E9C"/>
    <w:rsid w:val="000E10B6"/>
    <w:rsid w:val="000E1AC2"/>
    <w:rsid w:val="000E3008"/>
    <w:rsid w:val="000E4FA1"/>
    <w:rsid w:val="000E51AE"/>
    <w:rsid w:val="000E6792"/>
    <w:rsid w:val="000E6FAB"/>
    <w:rsid w:val="000E7674"/>
    <w:rsid w:val="000F26F4"/>
    <w:rsid w:val="000F32C6"/>
    <w:rsid w:val="000F3ADF"/>
    <w:rsid w:val="000F3D2A"/>
    <w:rsid w:val="000F599D"/>
    <w:rsid w:val="000F798A"/>
    <w:rsid w:val="001010C4"/>
    <w:rsid w:val="0010147F"/>
    <w:rsid w:val="00103F63"/>
    <w:rsid w:val="0010611B"/>
    <w:rsid w:val="0010787D"/>
    <w:rsid w:val="00110BCF"/>
    <w:rsid w:val="001110CC"/>
    <w:rsid w:val="00111E93"/>
    <w:rsid w:val="00115683"/>
    <w:rsid w:val="00115D73"/>
    <w:rsid w:val="00116099"/>
    <w:rsid w:val="0011687B"/>
    <w:rsid w:val="00116B6A"/>
    <w:rsid w:val="001201C9"/>
    <w:rsid w:val="0012037B"/>
    <w:rsid w:val="001204B0"/>
    <w:rsid w:val="00121AA3"/>
    <w:rsid w:val="0012222E"/>
    <w:rsid w:val="0012362E"/>
    <w:rsid w:val="00123C90"/>
    <w:rsid w:val="001247D4"/>
    <w:rsid w:val="00124FBD"/>
    <w:rsid w:val="001260B9"/>
    <w:rsid w:val="00126352"/>
    <w:rsid w:val="001266EA"/>
    <w:rsid w:val="00126DB3"/>
    <w:rsid w:val="00127F0D"/>
    <w:rsid w:val="00130901"/>
    <w:rsid w:val="0013218D"/>
    <w:rsid w:val="00132E82"/>
    <w:rsid w:val="00132F12"/>
    <w:rsid w:val="0013467D"/>
    <w:rsid w:val="00134F4C"/>
    <w:rsid w:val="00135255"/>
    <w:rsid w:val="00135299"/>
    <w:rsid w:val="001353DA"/>
    <w:rsid w:val="00135621"/>
    <w:rsid w:val="00135B6F"/>
    <w:rsid w:val="00136105"/>
    <w:rsid w:val="001370DF"/>
    <w:rsid w:val="0014090C"/>
    <w:rsid w:val="00141A88"/>
    <w:rsid w:val="00141F8B"/>
    <w:rsid w:val="00142811"/>
    <w:rsid w:val="00142826"/>
    <w:rsid w:val="00143200"/>
    <w:rsid w:val="00143DF2"/>
    <w:rsid w:val="001452EC"/>
    <w:rsid w:val="00150914"/>
    <w:rsid w:val="00151D12"/>
    <w:rsid w:val="001521EB"/>
    <w:rsid w:val="00153F81"/>
    <w:rsid w:val="001549C8"/>
    <w:rsid w:val="00155560"/>
    <w:rsid w:val="00157BEF"/>
    <w:rsid w:val="0016135B"/>
    <w:rsid w:val="001615E1"/>
    <w:rsid w:val="00161B84"/>
    <w:rsid w:val="00163B22"/>
    <w:rsid w:val="001641D5"/>
    <w:rsid w:val="00164277"/>
    <w:rsid w:val="00164713"/>
    <w:rsid w:val="001649F3"/>
    <w:rsid w:val="00164B28"/>
    <w:rsid w:val="001652F0"/>
    <w:rsid w:val="001654B6"/>
    <w:rsid w:val="00171231"/>
    <w:rsid w:val="001726CF"/>
    <w:rsid w:val="00172A27"/>
    <w:rsid w:val="001769A8"/>
    <w:rsid w:val="001803F8"/>
    <w:rsid w:val="0018075C"/>
    <w:rsid w:val="0018086A"/>
    <w:rsid w:val="00180F21"/>
    <w:rsid w:val="00181072"/>
    <w:rsid w:val="00182FBF"/>
    <w:rsid w:val="0018374A"/>
    <w:rsid w:val="00184D24"/>
    <w:rsid w:val="001858BE"/>
    <w:rsid w:val="00190A62"/>
    <w:rsid w:val="00190E64"/>
    <w:rsid w:val="00191496"/>
    <w:rsid w:val="00191D0B"/>
    <w:rsid w:val="001930F7"/>
    <w:rsid w:val="00193302"/>
    <w:rsid w:val="00194DE7"/>
    <w:rsid w:val="0019567E"/>
    <w:rsid w:val="001963EE"/>
    <w:rsid w:val="00196F2E"/>
    <w:rsid w:val="00197081"/>
    <w:rsid w:val="00197D4A"/>
    <w:rsid w:val="001A0F33"/>
    <w:rsid w:val="001A0FD7"/>
    <w:rsid w:val="001A19CD"/>
    <w:rsid w:val="001A1EF1"/>
    <w:rsid w:val="001A218A"/>
    <w:rsid w:val="001A2FFC"/>
    <w:rsid w:val="001A30BE"/>
    <w:rsid w:val="001A345F"/>
    <w:rsid w:val="001A3B81"/>
    <w:rsid w:val="001A45DD"/>
    <w:rsid w:val="001A5BD9"/>
    <w:rsid w:val="001A720A"/>
    <w:rsid w:val="001A7B69"/>
    <w:rsid w:val="001A7BE3"/>
    <w:rsid w:val="001B01FF"/>
    <w:rsid w:val="001B046B"/>
    <w:rsid w:val="001B3184"/>
    <w:rsid w:val="001B35C0"/>
    <w:rsid w:val="001B4ACF"/>
    <w:rsid w:val="001B6460"/>
    <w:rsid w:val="001B6719"/>
    <w:rsid w:val="001B785F"/>
    <w:rsid w:val="001C0F22"/>
    <w:rsid w:val="001C19C0"/>
    <w:rsid w:val="001C2A78"/>
    <w:rsid w:val="001C3D71"/>
    <w:rsid w:val="001C4A13"/>
    <w:rsid w:val="001C4A22"/>
    <w:rsid w:val="001C4BC2"/>
    <w:rsid w:val="001C4FAF"/>
    <w:rsid w:val="001C5015"/>
    <w:rsid w:val="001C5131"/>
    <w:rsid w:val="001C5D78"/>
    <w:rsid w:val="001C72BC"/>
    <w:rsid w:val="001C7B49"/>
    <w:rsid w:val="001C7B7E"/>
    <w:rsid w:val="001C7BB1"/>
    <w:rsid w:val="001D0705"/>
    <w:rsid w:val="001D2684"/>
    <w:rsid w:val="001D4C4E"/>
    <w:rsid w:val="001D4C72"/>
    <w:rsid w:val="001D69CD"/>
    <w:rsid w:val="001D6A97"/>
    <w:rsid w:val="001D7587"/>
    <w:rsid w:val="001D77C8"/>
    <w:rsid w:val="001E133A"/>
    <w:rsid w:val="001E1C60"/>
    <w:rsid w:val="001E1F10"/>
    <w:rsid w:val="001E54F3"/>
    <w:rsid w:val="001E62E2"/>
    <w:rsid w:val="001E6503"/>
    <w:rsid w:val="001E79BB"/>
    <w:rsid w:val="001F1C65"/>
    <w:rsid w:val="001F6640"/>
    <w:rsid w:val="001F6AE8"/>
    <w:rsid w:val="001F746B"/>
    <w:rsid w:val="001F7597"/>
    <w:rsid w:val="001F7E97"/>
    <w:rsid w:val="0020078B"/>
    <w:rsid w:val="00201B50"/>
    <w:rsid w:val="00202368"/>
    <w:rsid w:val="00202745"/>
    <w:rsid w:val="0020290B"/>
    <w:rsid w:val="00203755"/>
    <w:rsid w:val="00203983"/>
    <w:rsid w:val="00203EAD"/>
    <w:rsid w:val="0020493D"/>
    <w:rsid w:val="00204B9B"/>
    <w:rsid w:val="00204BEC"/>
    <w:rsid w:val="002068C1"/>
    <w:rsid w:val="00206FC4"/>
    <w:rsid w:val="00210890"/>
    <w:rsid w:val="00211F58"/>
    <w:rsid w:val="0021444C"/>
    <w:rsid w:val="002156E9"/>
    <w:rsid w:val="00216B6D"/>
    <w:rsid w:val="00217786"/>
    <w:rsid w:val="00217805"/>
    <w:rsid w:val="0021788B"/>
    <w:rsid w:val="00217F67"/>
    <w:rsid w:val="0022225E"/>
    <w:rsid w:val="002238C9"/>
    <w:rsid w:val="00223C84"/>
    <w:rsid w:val="00224526"/>
    <w:rsid w:val="002255EE"/>
    <w:rsid w:val="00225C4A"/>
    <w:rsid w:val="002263A2"/>
    <w:rsid w:val="00226CD2"/>
    <w:rsid w:val="00226ED1"/>
    <w:rsid w:val="002270F3"/>
    <w:rsid w:val="00227275"/>
    <w:rsid w:val="00227B02"/>
    <w:rsid w:val="00231806"/>
    <w:rsid w:val="00233296"/>
    <w:rsid w:val="0023366D"/>
    <w:rsid w:val="00233A76"/>
    <w:rsid w:val="00233AC8"/>
    <w:rsid w:val="002353DC"/>
    <w:rsid w:val="00236616"/>
    <w:rsid w:val="00236C74"/>
    <w:rsid w:val="002370EE"/>
    <w:rsid w:val="00237C09"/>
    <w:rsid w:val="00241375"/>
    <w:rsid w:val="00241C9E"/>
    <w:rsid w:val="002420E3"/>
    <w:rsid w:val="00244056"/>
    <w:rsid w:val="0024436C"/>
    <w:rsid w:val="00245331"/>
    <w:rsid w:val="002456FB"/>
    <w:rsid w:val="002465F7"/>
    <w:rsid w:val="00247153"/>
    <w:rsid w:val="00251071"/>
    <w:rsid w:val="002513B5"/>
    <w:rsid w:val="002523B9"/>
    <w:rsid w:val="00252623"/>
    <w:rsid w:val="00252C23"/>
    <w:rsid w:val="00253360"/>
    <w:rsid w:val="0025354B"/>
    <w:rsid w:val="00254AA0"/>
    <w:rsid w:val="002555C0"/>
    <w:rsid w:val="00255F6F"/>
    <w:rsid w:val="00260981"/>
    <w:rsid w:val="00261E5A"/>
    <w:rsid w:val="00263626"/>
    <w:rsid w:val="00263AB2"/>
    <w:rsid w:val="00266F6D"/>
    <w:rsid w:val="00271618"/>
    <w:rsid w:val="00271B56"/>
    <w:rsid w:val="00272FFA"/>
    <w:rsid w:val="002730E6"/>
    <w:rsid w:val="00274DDE"/>
    <w:rsid w:val="002752F4"/>
    <w:rsid w:val="002754B9"/>
    <w:rsid w:val="0027618C"/>
    <w:rsid w:val="002761EB"/>
    <w:rsid w:val="00276815"/>
    <w:rsid w:val="00276B2E"/>
    <w:rsid w:val="00277A1B"/>
    <w:rsid w:val="002808D0"/>
    <w:rsid w:val="0028095D"/>
    <w:rsid w:val="00282D2E"/>
    <w:rsid w:val="00283C2A"/>
    <w:rsid w:val="00284F06"/>
    <w:rsid w:val="00286291"/>
    <w:rsid w:val="00287256"/>
    <w:rsid w:val="00290ECD"/>
    <w:rsid w:val="002911B6"/>
    <w:rsid w:val="00291320"/>
    <w:rsid w:val="00291DBD"/>
    <w:rsid w:val="00292667"/>
    <w:rsid w:val="00292C00"/>
    <w:rsid w:val="002947A4"/>
    <w:rsid w:val="00294941"/>
    <w:rsid w:val="00295A54"/>
    <w:rsid w:val="00296760"/>
    <w:rsid w:val="00296927"/>
    <w:rsid w:val="002A0B7C"/>
    <w:rsid w:val="002A101B"/>
    <w:rsid w:val="002A118E"/>
    <w:rsid w:val="002A1446"/>
    <w:rsid w:val="002A1BEB"/>
    <w:rsid w:val="002A284E"/>
    <w:rsid w:val="002A37AD"/>
    <w:rsid w:val="002A3B24"/>
    <w:rsid w:val="002A4085"/>
    <w:rsid w:val="002A448B"/>
    <w:rsid w:val="002A4556"/>
    <w:rsid w:val="002A5D84"/>
    <w:rsid w:val="002A5E24"/>
    <w:rsid w:val="002A6FFD"/>
    <w:rsid w:val="002B09FE"/>
    <w:rsid w:val="002B17C0"/>
    <w:rsid w:val="002B195C"/>
    <w:rsid w:val="002B313A"/>
    <w:rsid w:val="002B3B17"/>
    <w:rsid w:val="002B3B55"/>
    <w:rsid w:val="002B53E3"/>
    <w:rsid w:val="002B5834"/>
    <w:rsid w:val="002B5FA9"/>
    <w:rsid w:val="002B68A0"/>
    <w:rsid w:val="002B7859"/>
    <w:rsid w:val="002B7874"/>
    <w:rsid w:val="002B7A91"/>
    <w:rsid w:val="002B7D86"/>
    <w:rsid w:val="002C0457"/>
    <w:rsid w:val="002C07C8"/>
    <w:rsid w:val="002C26F5"/>
    <w:rsid w:val="002C48EE"/>
    <w:rsid w:val="002C5AC6"/>
    <w:rsid w:val="002C5D60"/>
    <w:rsid w:val="002C7E8A"/>
    <w:rsid w:val="002D1482"/>
    <w:rsid w:val="002D35B7"/>
    <w:rsid w:val="002D3636"/>
    <w:rsid w:val="002D38B7"/>
    <w:rsid w:val="002D5C78"/>
    <w:rsid w:val="002D6DF8"/>
    <w:rsid w:val="002D6E0E"/>
    <w:rsid w:val="002D7249"/>
    <w:rsid w:val="002E03CA"/>
    <w:rsid w:val="002E04B5"/>
    <w:rsid w:val="002E12AB"/>
    <w:rsid w:val="002E2882"/>
    <w:rsid w:val="002E4189"/>
    <w:rsid w:val="002E45B5"/>
    <w:rsid w:val="002E4E91"/>
    <w:rsid w:val="002E4E9E"/>
    <w:rsid w:val="002E53AD"/>
    <w:rsid w:val="002E5746"/>
    <w:rsid w:val="002E6205"/>
    <w:rsid w:val="002E6374"/>
    <w:rsid w:val="002E64C4"/>
    <w:rsid w:val="002E7E65"/>
    <w:rsid w:val="002F036E"/>
    <w:rsid w:val="002F05EE"/>
    <w:rsid w:val="002F0ABF"/>
    <w:rsid w:val="002F0E3A"/>
    <w:rsid w:val="002F0F28"/>
    <w:rsid w:val="002F14A9"/>
    <w:rsid w:val="002F265B"/>
    <w:rsid w:val="002F37E4"/>
    <w:rsid w:val="002F388D"/>
    <w:rsid w:val="002F3A2B"/>
    <w:rsid w:val="002F6310"/>
    <w:rsid w:val="002F66D9"/>
    <w:rsid w:val="003001C7"/>
    <w:rsid w:val="0030261C"/>
    <w:rsid w:val="003044B1"/>
    <w:rsid w:val="00306F28"/>
    <w:rsid w:val="0030752F"/>
    <w:rsid w:val="00310EC2"/>
    <w:rsid w:val="0031174F"/>
    <w:rsid w:val="00311784"/>
    <w:rsid w:val="0031190E"/>
    <w:rsid w:val="00311D04"/>
    <w:rsid w:val="0031212B"/>
    <w:rsid w:val="00312710"/>
    <w:rsid w:val="00312A2B"/>
    <w:rsid w:val="00313278"/>
    <w:rsid w:val="003133C9"/>
    <w:rsid w:val="003151FF"/>
    <w:rsid w:val="0031563D"/>
    <w:rsid w:val="0031689B"/>
    <w:rsid w:val="00316DEC"/>
    <w:rsid w:val="003175C8"/>
    <w:rsid w:val="00321CAD"/>
    <w:rsid w:val="00322984"/>
    <w:rsid w:val="00322E21"/>
    <w:rsid w:val="003230ED"/>
    <w:rsid w:val="00323E03"/>
    <w:rsid w:val="0032545F"/>
    <w:rsid w:val="0032639F"/>
    <w:rsid w:val="00326CE4"/>
    <w:rsid w:val="0032743B"/>
    <w:rsid w:val="003313E2"/>
    <w:rsid w:val="00332093"/>
    <w:rsid w:val="0033218E"/>
    <w:rsid w:val="003328F9"/>
    <w:rsid w:val="00332EB9"/>
    <w:rsid w:val="00333439"/>
    <w:rsid w:val="003349E7"/>
    <w:rsid w:val="003354AE"/>
    <w:rsid w:val="003356EC"/>
    <w:rsid w:val="0033582E"/>
    <w:rsid w:val="00335B1F"/>
    <w:rsid w:val="00335FE3"/>
    <w:rsid w:val="003361AE"/>
    <w:rsid w:val="00340E3C"/>
    <w:rsid w:val="003413CC"/>
    <w:rsid w:val="0034169C"/>
    <w:rsid w:val="003419F9"/>
    <w:rsid w:val="00342C5C"/>
    <w:rsid w:val="00343953"/>
    <w:rsid w:val="00344DEE"/>
    <w:rsid w:val="003452C4"/>
    <w:rsid w:val="00345530"/>
    <w:rsid w:val="00346433"/>
    <w:rsid w:val="00350BE3"/>
    <w:rsid w:val="00350FE6"/>
    <w:rsid w:val="00353137"/>
    <w:rsid w:val="003576A4"/>
    <w:rsid w:val="003576A9"/>
    <w:rsid w:val="00357EF2"/>
    <w:rsid w:val="003600CB"/>
    <w:rsid w:val="003618F4"/>
    <w:rsid w:val="00362735"/>
    <w:rsid w:val="00362933"/>
    <w:rsid w:val="003633B2"/>
    <w:rsid w:val="003652A5"/>
    <w:rsid w:val="0036563E"/>
    <w:rsid w:val="0036565F"/>
    <w:rsid w:val="00365828"/>
    <w:rsid w:val="00366351"/>
    <w:rsid w:val="00366963"/>
    <w:rsid w:val="00366D41"/>
    <w:rsid w:val="0037020E"/>
    <w:rsid w:val="00370A06"/>
    <w:rsid w:val="00370AD9"/>
    <w:rsid w:val="00370BE5"/>
    <w:rsid w:val="00371667"/>
    <w:rsid w:val="003722EF"/>
    <w:rsid w:val="003725AC"/>
    <w:rsid w:val="00372863"/>
    <w:rsid w:val="00373013"/>
    <w:rsid w:val="00377004"/>
    <w:rsid w:val="0037708C"/>
    <w:rsid w:val="00377271"/>
    <w:rsid w:val="00380170"/>
    <w:rsid w:val="00380548"/>
    <w:rsid w:val="00381BBC"/>
    <w:rsid w:val="00382F22"/>
    <w:rsid w:val="0038563B"/>
    <w:rsid w:val="00385A31"/>
    <w:rsid w:val="003903BF"/>
    <w:rsid w:val="0039091A"/>
    <w:rsid w:val="00390CFD"/>
    <w:rsid w:val="00390FE7"/>
    <w:rsid w:val="00392188"/>
    <w:rsid w:val="0039371E"/>
    <w:rsid w:val="00394D2F"/>
    <w:rsid w:val="0039559D"/>
    <w:rsid w:val="0039566D"/>
    <w:rsid w:val="00395A7C"/>
    <w:rsid w:val="0039692E"/>
    <w:rsid w:val="003971DB"/>
    <w:rsid w:val="00397A1C"/>
    <w:rsid w:val="00397E61"/>
    <w:rsid w:val="00397F8D"/>
    <w:rsid w:val="003A0843"/>
    <w:rsid w:val="003A1A30"/>
    <w:rsid w:val="003A1BD8"/>
    <w:rsid w:val="003A44D1"/>
    <w:rsid w:val="003A4B48"/>
    <w:rsid w:val="003A4FA1"/>
    <w:rsid w:val="003A712C"/>
    <w:rsid w:val="003B0A33"/>
    <w:rsid w:val="003B0D78"/>
    <w:rsid w:val="003B1732"/>
    <w:rsid w:val="003B3842"/>
    <w:rsid w:val="003B4073"/>
    <w:rsid w:val="003B4081"/>
    <w:rsid w:val="003B4574"/>
    <w:rsid w:val="003B4719"/>
    <w:rsid w:val="003B4DB7"/>
    <w:rsid w:val="003B683D"/>
    <w:rsid w:val="003B756C"/>
    <w:rsid w:val="003B7CAE"/>
    <w:rsid w:val="003C1648"/>
    <w:rsid w:val="003C2960"/>
    <w:rsid w:val="003C61BE"/>
    <w:rsid w:val="003C6339"/>
    <w:rsid w:val="003C727B"/>
    <w:rsid w:val="003C74E8"/>
    <w:rsid w:val="003C7574"/>
    <w:rsid w:val="003C77EF"/>
    <w:rsid w:val="003C7AEF"/>
    <w:rsid w:val="003C7EA4"/>
    <w:rsid w:val="003D0CD1"/>
    <w:rsid w:val="003D1B3B"/>
    <w:rsid w:val="003D222B"/>
    <w:rsid w:val="003D2E25"/>
    <w:rsid w:val="003D3910"/>
    <w:rsid w:val="003D400B"/>
    <w:rsid w:val="003D47E4"/>
    <w:rsid w:val="003D526D"/>
    <w:rsid w:val="003D5980"/>
    <w:rsid w:val="003D6E7F"/>
    <w:rsid w:val="003E231B"/>
    <w:rsid w:val="003E2901"/>
    <w:rsid w:val="003E2E0B"/>
    <w:rsid w:val="003E3345"/>
    <w:rsid w:val="003E4A15"/>
    <w:rsid w:val="003E53B4"/>
    <w:rsid w:val="003E547A"/>
    <w:rsid w:val="003E6901"/>
    <w:rsid w:val="003E7C03"/>
    <w:rsid w:val="003F2084"/>
    <w:rsid w:val="003F22E4"/>
    <w:rsid w:val="003F3C37"/>
    <w:rsid w:val="003F5A11"/>
    <w:rsid w:val="003F5CC9"/>
    <w:rsid w:val="003F7807"/>
    <w:rsid w:val="003F7F7C"/>
    <w:rsid w:val="004038ED"/>
    <w:rsid w:val="0040426A"/>
    <w:rsid w:val="00404732"/>
    <w:rsid w:val="004047D1"/>
    <w:rsid w:val="004057B9"/>
    <w:rsid w:val="0040695D"/>
    <w:rsid w:val="004074C2"/>
    <w:rsid w:val="00410409"/>
    <w:rsid w:val="00411C10"/>
    <w:rsid w:val="0041223C"/>
    <w:rsid w:val="0041226A"/>
    <w:rsid w:val="00412371"/>
    <w:rsid w:val="00413B11"/>
    <w:rsid w:val="0041446D"/>
    <w:rsid w:val="0041523E"/>
    <w:rsid w:val="00415393"/>
    <w:rsid w:val="00415D0E"/>
    <w:rsid w:val="00415DFF"/>
    <w:rsid w:val="00416DEA"/>
    <w:rsid w:val="00420285"/>
    <w:rsid w:val="004202B4"/>
    <w:rsid w:val="004205C0"/>
    <w:rsid w:val="004210C6"/>
    <w:rsid w:val="00421C63"/>
    <w:rsid w:val="00423C5A"/>
    <w:rsid w:val="004243EB"/>
    <w:rsid w:val="00425BD5"/>
    <w:rsid w:val="00425BD9"/>
    <w:rsid w:val="00426C15"/>
    <w:rsid w:val="00426ED5"/>
    <w:rsid w:val="00426FE7"/>
    <w:rsid w:val="00432646"/>
    <w:rsid w:val="00433028"/>
    <w:rsid w:val="00435F2C"/>
    <w:rsid w:val="00436006"/>
    <w:rsid w:val="00436EE0"/>
    <w:rsid w:val="00441E3A"/>
    <w:rsid w:val="00442B27"/>
    <w:rsid w:val="0044420E"/>
    <w:rsid w:val="004468BE"/>
    <w:rsid w:val="00447345"/>
    <w:rsid w:val="00447A92"/>
    <w:rsid w:val="0045068F"/>
    <w:rsid w:val="00450A36"/>
    <w:rsid w:val="004517BC"/>
    <w:rsid w:val="00454324"/>
    <w:rsid w:val="0045444C"/>
    <w:rsid w:val="00454708"/>
    <w:rsid w:val="00454977"/>
    <w:rsid w:val="0045695C"/>
    <w:rsid w:val="004600AE"/>
    <w:rsid w:val="00463F1F"/>
    <w:rsid w:val="00464C78"/>
    <w:rsid w:val="00465DE6"/>
    <w:rsid w:val="00466412"/>
    <w:rsid w:val="0046759B"/>
    <w:rsid w:val="0047057B"/>
    <w:rsid w:val="00470FB6"/>
    <w:rsid w:val="0047117F"/>
    <w:rsid w:val="0047199F"/>
    <w:rsid w:val="00473091"/>
    <w:rsid w:val="0047482C"/>
    <w:rsid w:val="00474BF6"/>
    <w:rsid w:val="004755EA"/>
    <w:rsid w:val="00475662"/>
    <w:rsid w:val="00475C7B"/>
    <w:rsid w:val="004761A7"/>
    <w:rsid w:val="004801D7"/>
    <w:rsid w:val="00480C2E"/>
    <w:rsid w:val="00480DD5"/>
    <w:rsid w:val="00480E84"/>
    <w:rsid w:val="0048246F"/>
    <w:rsid w:val="00483BC1"/>
    <w:rsid w:val="00484A29"/>
    <w:rsid w:val="004860D6"/>
    <w:rsid w:val="00487810"/>
    <w:rsid w:val="004919C6"/>
    <w:rsid w:val="00491CAE"/>
    <w:rsid w:val="004920AA"/>
    <w:rsid w:val="00492260"/>
    <w:rsid w:val="00492847"/>
    <w:rsid w:val="004933E0"/>
    <w:rsid w:val="00493FBA"/>
    <w:rsid w:val="00494AB2"/>
    <w:rsid w:val="0049560E"/>
    <w:rsid w:val="00495B31"/>
    <w:rsid w:val="00495FB0"/>
    <w:rsid w:val="004963E8"/>
    <w:rsid w:val="0049652D"/>
    <w:rsid w:val="0049690F"/>
    <w:rsid w:val="004973D1"/>
    <w:rsid w:val="00497A0F"/>
    <w:rsid w:val="004A0105"/>
    <w:rsid w:val="004A2E25"/>
    <w:rsid w:val="004A583D"/>
    <w:rsid w:val="004A6349"/>
    <w:rsid w:val="004A7220"/>
    <w:rsid w:val="004A73A9"/>
    <w:rsid w:val="004A7708"/>
    <w:rsid w:val="004A7C82"/>
    <w:rsid w:val="004B0F38"/>
    <w:rsid w:val="004B3E7F"/>
    <w:rsid w:val="004B4881"/>
    <w:rsid w:val="004B4E0C"/>
    <w:rsid w:val="004B6C35"/>
    <w:rsid w:val="004B757A"/>
    <w:rsid w:val="004B7645"/>
    <w:rsid w:val="004B77ED"/>
    <w:rsid w:val="004B7AB4"/>
    <w:rsid w:val="004C0143"/>
    <w:rsid w:val="004C2F4B"/>
    <w:rsid w:val="004C3474"/>
    <w:rsid w:val="004C351D"/>
    <w:rsid w:val="004C46A4"/>
    <w:rsid w:val="004C49DC"/>
    <w:rsid w:val="004C64B5"/>
    <w:rsid w:val="004D1573"/>
    <w:rsid w:val="004D1B31"/>
    <w:rsid w:val="004D2BBA"/>
    <w:rsid w:val="004D3168"/>
    <w:rsid w:val="004D3982"/>
    <w:rsid w:val="004D3994"/>
    <w:rsid w:val="004D440D"/>
    <w:rsid w:val="004D4C24"/>
    <w:rsid w:val="004D4DE6"/>
    <w:rsid w:val="004D51DA"/>
    <w:rsid w:val="004D6204"/>
    <w:rsid w:val="004E0A90"/>
    <w:rsid w:val="004E0E7C"/>
    <w:rsid w:val="004E2000"/>
    <w:rsid w:val="004E2B94"/>
    <w:rsid w:val="004E2BD5"/>
    <w:rsid w:val="004E3690"/>
    <w:rsid w:val="004E3FA9"/>
    <w:rsid w:val="004E462F"/>
    <w:rsid w:val="004E4B7E"/>
    <w:rsid w:val="004E5085"/>
    <w:rsid w:val="004E7622"/>
    <w:rsid w:val="004E7B20"/>
    <w:rsid w:val="004E7E59"/>
    <w:rsid w:val="004F1681"/>
    <w:rsid w:val="004F1A24"/>
    <w:rsid w:val="004F2DFE"/>
    <w:rsid w:val="004F3D62"/>
    <w:rsid w:val="004F4242"/>
    <w:rsid w:val="004F47CE"/>
    <w:rsid w:val="004F4FA9"/>
    <w:rsid w:val="004F5845"/>
    <w:rsid w:val="004F6A80"/>
    <w:rsid w:val="00500AAB"/>
    <w:rsid w:val="005058C5"/>
    <w:rsid w:val="0050603A"/>
    <w:rsid w:val="0050607E"/>
    <w:rsid w:val="00506276"/>
    <w:rsid w:val="005069E4"/>
    <w:rsid w:val="00510B6F"/>
    <w:rsid w:val="005127D4"/>
    <w:rsid w:val="00514CB7"/>
    <w:rsid w:val="00517930"/>
    <w:rsid w:val="0052031D"/>
    <w:rsid w:val="005204CE"/>
    <w:rsid w:val="00520C02"/>
    <w:rsid w:val="005221AA"/>
    <w:rsid w:val="005237D3"/>
    <w:rsid w:val="005251A7"/>
    <w:rsid w:val="00525CB4"/>
    <w:rsid w:val="00527BAE"/>
    <w:rsid w:val="005300C9"/>
    <w:rsid w:val="005308F4"/>
    <w:rsid w:val="00532FFB"/>
    <w:rsid w:val="0053467A"/>
    <w:rsid w:val="005349F7"/>
    <w:rsid w:val="0053769F"/>
    <w:rsid w:val="005377C4"/>
    <w:rsid w:val="0054002A"/>
    <w:rsid w:val="005411D5"/>
    <w:rsid w:val="00542AFB"/>
    <w:rsid w:val="00542BD1"/>
    <w:rsid w:val="0054435B"/>
    <w:rsid w:val="0054504E"/>
    <w:rsid w:val="00545208"/>
    <w:rsid w:val="0054528F"/>
    <w:rsid w:val="00546441"/>
    <w:rsid w:val="00546BB0"/>
    <w:rsid w:val="0055027C"/>
    <w:rsid w:val="00552E84"/>
    <w:rsid w:val="00555815"/>
    <w:rsid w:val="00556322"/>
    <w:rsid w:val="00556B8C"/>
    <w:rsid w:val="00557038"/>
    <w:rsid w:val="00557981"/>
    <w:rsid w:val="00562B52"/>
    <w:rsid w:val="00562B8F"/>
    <w:rsid w:val="00564357"/>
    <w:rsid w:val="005645C5"/>
    <w:rsid w:val="00565255"/>
    <w:rsid w:val="00566105"/>
    <w:rsid w:val="00566897"/>
    <w:rsid w:val="0056753D"/>
    <w:rsid w:val="00567B10"/>
    <w:rsid w:val="005728B6"/>
    <w:rsid w:val="005743F9"/>
    <w:rsid w:val="005744F2"/>
    <w:rsid w:val="005755E0"/>
    <w:rsid w:val="005769C1"/>
    <w:rsid w:val="00580CAC"/>
    <w:rsid w:val="00582D53"/>
    <w:rsid w:val="00583F36"/>
    <w:rsid w:val="005844AB"/>
    <w:rsid w:val="005865C3"/>
    <w:rsid w:val="00587E1F"/>
    <w:rsid w:val="00592F42"/>
    <w:rsid w:val="0059646B"/>
    <w:rsid w:val="0059788F"/>
    <w:rsid w:val="00597DBA"/>
    <w:rsid w:val="005A099D"/>
    <w:rsid w:val="005A10DB"/>
    <w:rsid w:val="005A1668"/>
    <w:rsid w:val="005A20DA"/>
    <w:rsid w:val="005A356F"/>
    <w:rsid w:val="005A3C8F"/>
    <w:rsid w:val="005A5733"/>
    <w:rsid w:val="005A5EC0"/>
    <w:rsid w:val="005A5F0F"/>
    <w:rsid w:val="005B0BE3"/>
    <w:rsid w:val="005B26C0"/>
    <w:rsid w:val="005B2BD9"/>
    <w:rsid w:val="005B2FCA"/>
    <w:rsid w:val="005B3731"/>
    <w:rsid w:val="005B4B89"/>
    <w:rsid w:val="005B4D6F"/>
    <w:rsid w:val="005C1012"/>
    <w:rsid w:val="005C26A1"/>
    <w:rsid w:val="005C2BE9"/>
    <w:rsid w:val="005C2F1B"/>
    <w:rsid w:val="005C739D"/>
    <w:rsid w:val="005C758E"/>
    <w:rsid w:val="005C7C39"/>
    <w:rsid w:val="005D2357"/>
    <w:rsid w:val="005D25FF"/>
    <w:rsid w:val="005D267F"/>
    <w:rsid w:val="005D2920"/>
    <w:rsid w:val="005D45A1"/>
    <w:rsid w:val="005D58BE"/>
    <w:rsid w:val="005D795D"/>
    <w:rsid w:val="005D7B9B"/>
    <w:rsid w:val="005E01B3"/>
    <w:rsid w:val="005E08D0"/>
    <w:rsid w:val="005E0A11"/>
    <w:rsid w:val="005E1765"/>
    <w:rsid w:val="005E1B40"/>
    <w:rsid w:val="005E4210"/>
    <w:rsid w:val="005E4D56"/>
    <w:rsid w:val="005E528C"/>
    <w:rsid w:val="005E6010"/>
    <w:rsid w:val="005F076E"/>
    <w:rsid w:val="005F16A2"/>
    <w:rsid w:val="005F24E9"/>
    <w:rsid w:val="005F3283"/>
    <w:rsid w:val="005F369A"/>
    <w:rsid w:val="005F443D"/>
    <w:rsid w:val="005F5A10"/>
    <w:rsid w:val="005F5CFB"/>
    <w:rsid w:val="005F5F1C"/>
    <w:rsid w:val="005F5F85"/>
    <w:rsid w:val="00606F08"/>
    <w:rsid w:val="00607679"/>
    <w:rsid w:val="006105B2"/>
    <w:rsid w:val="00611B92"/>
    <w:rsid w:val="00611DB4"/>
    <w:rsid w:val="00612981"/>
    <w:rsid w:val="00613023"/>
    <w:rsid w:val="0061310D"/>
    <w:rsid w:val="0061324D"/>
    <w:rsid w:val="00613B01"/>
    <w:rsid w:val="00613B4A"/>
    <w:rsid w:val="00614825"/>
    <w:rsid w:val="0061792E"/>
    <w:rsid w:val="006223DC"/>
    <w:rsid w:val="006229A2"/>
    <w:rsid w:val="00622B39"/>
    <w:rsid w:val="0062630B"/>
    <w:rsid w:val="00626BED"/>
    <w:rsid w:val="006316F8"/>
    <w:rsid w:val="006320C1"/>
    <w:rsid w:val="0063231F"/>
    <w:rsid w:val="006329FC"/>
    <w:rsid w:val="00634DA2"/>
    <w:rsid w:val="00635DC5"/>
    <w:rsid w:val="006368D3"/>
    <w:rsid w:val="00637451"/>
    <w:rsid w:val="00637A0A"/>
    <w:rsid w:val="00640235"/>
    <w:rsid w:val="006402C3"/>
    <w:rsid w:val="00641240"/>
    <w:rsid w:val="00641566"/>
    <w:rsid w:val="00643B4D"/>
    <w:rsid w:val="00645222"/>
    <w:rsid w:val="00647C44"/>
    <w:rsid w:val="00647F44"/>
    <w:rsid w:val="00650106"/>
    <w:rsid w:val="006509E5"/>
    <w:rsid w:val="00650A3F"/>
    <w:rsid w:val="00651DB2"/>
    <w:rsid w:val="00653654"/>
    <w:rsid w:val="00653916"/>
    <w:rsid w:val="00654190"/>
    <w:rsid w:val="0065475E"/>
    <w:rsid w:val="0065533B"/>
    <w:rsid w:val="0065544C"/>
    <w:rsid w:val="00656A56"/>
    <w:rsid w:val="0065724F"/>
    <w:rsid w:val="0066017F"/>
    <w:rsid w:val="00660236"/>
    <w:rsid w:val="00661CF7"/>
    <w:rsid w:val="006627C0"/>
    <w:rsid w:val="0066536D"/>
    <w:rsid w:val="00665606"/>
    <w:rsid w:val="00666C5E"/>
    <w:rsid w:val="0067241F"/>
    <w:rsid w:val="006745BC"/>
    <w:rsid w:val="00676EB5"/>
    <w:rsid w:val="0067780B"/>
    <w:rsid w:val="00680248"/>
    <w:rsid w:val="006804CB"/>
    <w:rsid w:val="00680BF4"/>
    <w:rsid w:val="00680E28"/>
    <w:rsid w:val="006815CC"/>
    <w:rsid w:val="00682617"/>
    <w:rsid w:val="00682858"/>
    <w:rsid w:val="0068393D"/>
    <w:rsid w:val="00683ADB"/>
    <w:rsid w:val="00683B14"/>
    <w:rsid w:val="00683B23"/>
    <w:rsid w:val="00684BB5"/>
    <w:rsid w:val="00684C0B"/>
    <w:rsid w:val="00686834"/>
    <w:rsid w:val="006872CC"/>
    <w:rsid w:val="00687EA8"/>
    <w:rsid w:val="0069072F"/>
    <w:rsid w:val="006908EE"/>
    <w:rsid w:val="00690A73"/>
    <w:rsid w:val="0069257C"/>
    <w:rsid w:val="00692C48"/>
    <w:rsid w:val="00693746"/>
    <w:rsid w:val="006937C2"/>
    <w:rsid w:val="00693E49"/>
    <w:rsid w:val="00694D2F"/>
    <w:rsid w:val="006967C7"/>
    <w:rsid w:val="0069708B"/>
    <w:rsid w:val="006975BC"/>
    <w:rsid w:val="006976C9"/>
    <w:rsid w:val="006A041A"/>
    <w:rsid w:val="006A0C97"/>
    <w:rsid w:val="006A19F9"/>
    <w:rsid w:val="006A1BF2"/>
    <w:rsid w:val="006A3FF4"/>
    <w:rsid w:val="006A4091"/>
    <w:rsid w:val="006A5164"/>
    <w:rsid w:val="006A599F"/>
    <w:rsid w:val="006A5B67"/>
    <w:rsid w:val="006A7B62"/>
    <w:rsid w:val="006B0816"/>
    <w:rsid w:val="006B66BC"/>
    <w:rsid w:val="006B73C5"/>
    <w:rsid w:val="006B7B00"/>
    <w:rsid w:val="006C0090"/>
    <w:rsid w:val="006C093B"/>
    <w:rsid w:val="006C284C"/>
    <w:rsid w:val="006C4FBC"/>
    <w:rsid w:val="006C5D6D"/>
    <w:rsid w:val="006C601F"/>
    <w:rsid w:val="006D0C5F"/>
    <w:rsid w:val="006D0DEA"/>
    <w:rsid w:val="006D0F16"/>
    <w:rsid w:val="006D2C12"/>
    <w:rsid w:val="006D2C7C"/>
    <w:rsid w:val="006D380D"/>
    <w:rsid w:val="006D4480"/>
    <w:rsid w:val="006D621E"/>
    <w:rsid w:val="006D6DF1"/>
    <w:rsid w:val="006D6E33"/>
    <w:rsid w:val="006D7DF5"/>
    <w:rsid w:val="006E0460"/>
    <w:rsid w:val="006E0C09"/>
    <w:rsid w:val="006E0F1E"/>
    <w:rsid w:val="006E10CF"/>
    <w:rsid w:val="006E15D2"/>
    <w:rsid w:val="006E1BEF"/>
    <w:rsid w:val="006E308C"/>
    <w:rsid w:val="006E30F2"/>
    <w:rsid w:val="006E3116"/>
    <w:rsid w:val="006E4D63"/>
    <w:rsid w:val="006E4D8B"/>
    <w:rsid w:val="006F0103"/>
    <w:rsid w:val="006F04C3"/>
    <w:rsid w:val="006F166D"/>
    <w:rsid w:val="006F6203"/>
    <w:rsid w:val="006F7210"/>
    <w:rsid w:val="007006E7"/>
    <w:rsid w:val="00700FAE"/>
    <w:rsid w:val="00701C15"/>
    <w:rsid w:val="0070208D"/>
    <w:rsid w:val="0070245B"/>
    <w:rsid w:val="00702766"/>
    <w:rsid w:val="0070415D"/>
    <w:rsid w:val="007072E0"/>
    <w:rsid w:val="00707AF3"/>
    <w:rsid w:val="007104B0"/>
    <w:rsid w:val="007104E4"/>
    <w:rsid w:val="00712F22"/>
    <w:rsid w:val="0071377E"/>
    <w:rsid w:val="00714057"/>
    <w:rsid w:val="007146CC"/>
    <w:rsid w:val="00715212"/>
    <w:rsid w:val="007160F3"/>
    <w:rsid w:val="00716F0D"/>
    <w:rsid w:val="00720264"/>
    <w:rsid w:val="00720525"/>
    <w:rsid w:val="00721C29"/>
    <w:rsid w:val="0072328E"/>
    <w:rsid w:val="00724409"/>
    <w:rsid w:val="007244B9"/>
    <w:rsid w:val="0072458B"/>
    <w:rsid w:val="00725E51"/>
    <w:rsid w:val="00726156"/>
    <w:rsid w:val="0072721F"/>
    <w:rsid w:val="007277A7"/>
    <w:rsid w:val="0073120A"/>
    <w:rsid w:val="00733214"/>
    <w:rsid w:val="00733CAE"/>
    <w:rsid w:val="007341D7"/>
    <w:rsid w:val="00736325"/>
    <w:rsid w:val="00736790"/>
    <w:rsid w:val="00742D4B"/>
    <w:rsid w:val="007431A2"/>
    <w:rsid w:val="007439E8"/>
    <w:rsid w:val="00744840"/>
    <w:rsid w:val="00745A82"/>
    <w:rsid w:val="00745BB0"/>
    <w:rsid w:val="00746115"/>
    <w:rsid w:val="00750011"/>
    <w:rsid w:val="007500A6"/>
    <w:rsid w:val="00753114"/>
    <w:rsid w:val="007535A2"/>
    <w:rsid w:val="007546F6"/>
    <w:rsid w:val="00755AF4"/>
    <w:rsid w:val="00755E0B"/>
    <w:rsid w:val="007567CA"/>
    <w:rsid w:val="0075710D"/>
    <w:rsid w:val="00760E7D"/>
    <w:rsid w:val="007621EB"/>
    <w:rsid w:val="00762C33"/>
    <w:rsid w:val="00762E9A"/>
    <w:rsid w:val="00762FB1"/>
    <w:rsid w:val="007634F9"/>
    <w:rsid w:val="00763D31"/>
    <w:rsid w:val="00764613"/>
    <w:rsid w:val="0076492D"/>
    <w:rsid w:val="00766ABF"/>
    <w:rsid w:val="007670BE"/>
    <w:rsid w:val="00767749"/>
    <w:rsid w:val="007708FA"/>
    <w:rsid w:val="0077104A"/>
    <w:rsid w:val="0077131D"/>
    <w:rsid w:val="0077204B"/>
    <w:rsid w:val="00772F06"/>
    <w:rsid w:val="007734A1"/>
    <w:rsid w:val="00773EF6"/>
    <w:rsid w:val="00774455"/>
    <w:rsid w:val="00774627"/>
    <w:rsid w:val="00775A2D"/>
    <w:rsid w:val="00775F17"/>
    <w:rsid w:val="007767C3"/>
    <w:rsid w:val="00777068"/>
    <w:rsid w:val="00777DB7"/>
    <w:rsid w:val="007808F5"/>
    <w:rsid w:val="00781EEE"/>
    <w:rsid w:val="00782961"/>
    <w:rsid w:val="00783654"/>
    <w:rsid w:val="0078380F"/>
    <w:rsid w:val="00785CB6"/>
    <w:rsid w:val="00785D7F"/>
    <w:rsid w:val="00790EDE"/>
    <w:rsid w:val="0079118B"/>
    <w:rsid w:val="0079138E"/>
    <w:rsid w:val="007925C7"/>
    <w:rsid w:val="007929F7"/>
    <w:rsid w:val="00794E71"/>
    <w:rsid w:val="00795C0A"/>
    <w:rsid w:val="00796795"/>
    <w:rsid w:val="007A064E"/>
    <w:rsid w:val="007A0C5D"/>
    <w:rsid w:val="007A1863"/>
    <w:rsid w:val="007A23D9"/>
    <w:rsid w:val="007A2971"/>
    <w:rsid w:val="007A325B"/>
    <w:rsid w:val="007A3AB7"/>
    <w:rsid w:val="007A4008"/>
    <w:rsid w:val="007A45C2"/>
    <w:rsid w:val="007A4EE1"/>
    <w:rsid w:val="007A6DBE"/>
    <w:rsid w:val="007A7B2D"/>
    <w:rsid w:val="007B0FB2"/>
    <w:rsid w:val="007B110E"/>
    <w:rsid w:val="007B16F7"/>
    <w:rsid w:val="007B3F5E"/>
    <w:rsid w:val="007B508C"/>
    <w:rsid w:val="007B60D4"/>
    <w:rsid w:val="007B682C"/>
    <w:rsid w:val="007B7903"/>
    <w:rsid w:val="007B7D9D"/>
    <w:rsid w:val="007C1FD4"/>
    <w:rsid w:val="007C2C0B"/>
    <w:rsid w:val="007C2FC3"/>
    <w:rsid w:val="007C3B98"/>
    <w:rsid w:val="007C638C"/>
    <w:rsid w:val="007C6783"/>
    <w:rsid w:val="007C6E05"/>
    <w:rsid w:val="007C710A"/>
    <w:rsid w:val="007C7112"/>
    <w:rsid w:val="007C778E"/>
    <w:rsid w:val="007C78E3"/>
    <w:rsid w:val="007D0D21"/>
    <w:rsid w:val="007D1602"/>
    <w:rsid w:val="007D2424"/>
    <w:rsid w:val="007D2AF2"/>
    <w:rsid w:val="007D3041"/>
    <w:rsid w:val="007D40F8"/>
    <w:rsid w:val="007D50D2"/>
    <w:rsid w:val="007D7593"/>
    <w:rsid w:val="007E0655"/>
    <w:rsid w:val="007E0A7C"/>
    <w:rsid w:val="007E0CA6"/>
    <w:rsid w:val="007E1CAA"/>
    <w:rsid w:val="007E250D"/>
    <w:rsid w:val="007E2CC2"/>
    <w:rsid w:val="007E2E71"/>
    <w:rsid w:val="007E2ED5"/>
    <w:rsid w:val="007E55DD"/>
    <w:rsid w:val="007E6917"/>
    <w:rsid w:val="007F08EA"/>
    <w:rsid w:val="007F1871"/>
    <w:rsid w:val="007F52AA"/>
    <w:rsid w:val="007F5A6B"/>
    <w:rsid w:val="007F649C"/>
    <w:rsid w:val="007F6BA1"/>
    <w:rsid w:val="0080173E"/>
    <w:rsid w:val="00801AA5"/>
    <w:rsid w:val="00801D73"/>
    <w:rsid w:val="00802BF9"/>
    <w:rsid w:val="00803588"/>
    <w:rsid w:val="00803B53"/>
    <w:rsid w:val="00805756"/>
    <w:rsid w:val="008069CD"/>
    <w:rsid w:val="00807588"/>
    <w:rsid w:val="00807F30"/>
    <w:rsid w:val="00810BD4"/>
    <w:rsid w:val="00814CA0"/>
    <w:rsid w:val="00815762"/>
    <w:rsid w:val="00815CD7"/>
    <w:rsid w:val="0081647F"/>
    <w:rsid w:val="00816DF3"/>
    <w:rsid w:val="00821110"/>
    <w:rsid w:val="00821D3B"/>
    <w:rsid w:val="00822EB0"/>
    <w:rsid w:val="0082485C"/>
    <w:rsid w:val="008273FB"/>
    <w:rsid w:val="008276D5"/>
    <w:rsid w:val="00827EBC"/>
    <w:rsid w:val="0083053C"/>
    <w:rsid w:val="008316E0"/>
    <w:rsid w:val="0083405F"/>
    <w:rsid w:val="008342FE"/>
    <w:rsid w:val="0083530F"/>
    <w:rsid w:val="008357D1"/>
    <w:rsid w:val="00836406"/>
    <w:rsid w:val="00836425"/>
    <w:rsid w:val="00836DE1"/>
    <w:rsid w:val="00840829"/>
    <w:rsid w:val="008421D1"/>
    <w:rsid w:val="00842263"/>
    <w:rsid w:val="008423FA"/>
    <w:rsid w:val="00842495"/>
    <w:rsid w:val="00845006"/>
    <w:rsid w:val="008477EE"/>
    <w:rsid w:val="00850703"/>
    <w:rsid w:val="00851AFB"/>
    <w:rsid w:val="008522DC"/>
    <w:rsid w:val="0085303E"/>
    <w:rsid w:val="0085365F"/>
    <w:rsid w:val="00854172"/>
    <w:rsid w:val="008548FE"/>
    <w:rsid w:val="00855B10"/>
    <w:rsid w:val="00855DD2"/>
    <w:rsid w:val="00860EDD"/>
    <w:rsid w:val="008619AD"/>
    <w:rsid w:val="00863ADD"/>
    <w:rsid w:val="0086454D"/>
    <w:rsid w:val="008651E5"/>
    <w:rsid w:val="0086720D"/>
    <w:rsid w:val="0087016A"/>
    <w:rsid w:val="008726B7"/>
    <w:rsid w:val="008734E7"/>
    <w:rsid w:val="00874D95"/>
    <w:rsid w:val="008759EF"/>
    <w:rsid w:val="008806B4"/>
    <w:rsid w:val="008809C9"/>
    <w:rsid w:val="00880F64"/>
    <w:rsid w:val="008820BE"/>
    <w:rsid w:val="008826E6"/>
    <w:rsid w:val="00882FCC"/>
    <w:rsid w:val="008831B8"/>
    <w:rsid w:val="008846FD"/>
    <w:rsid w:val="00885404"/>
    <w:rsid w:val="0088574C"/>
    <w:rsid w:val="008859E1"/>
    <w:rsid w:val="008859E3"/>
    <w:rsid w:val="00887A5D"/>
    <w:rsid w:val="00890816"/>
    <w:rsid w:val="00890895"/>
    <w:rsid w:val="0089154C"/>
    <w:rsid w:val="0089174F"/>
    <w:rsid w:val="00892C70"/>
    <w:rsid w:val="0089426E"/>
    <w:rsid w:val="00896E61"/>
    <w:rsid w:val="008973D6"/>
    <w:rsid w:val="008A106B"/>
    <w:rsid w:val="008A4116"/>
    <w:rsid w:val="008A411C"/>
    <w:rsid w:val="008A69A3"/>
    <w:rsid w:val="008B1E5A"/>
    <w:rsid w:val="008B2747"/>
    <w:rsid w:val="008B2B80"/>
    <w:rsid w:val="008B4408"/>
    <w:rsid w:val="008B4870"/>
    <w:rsid w:val="008B48FE"/>
    <w:rsid w:val="008B51BB"/>
    <w:rsid w:val="008B52FB"/>
    <w:rsid w:val="008B7EAB"/>
    <w:rsid w:val="008C007D"/>
    <w:rsid w:val="008C0E98"/>
    <w:rsid w:val="008C2BE9"/>
    <w:rsid w:val="008C6EB3"/>
    <w:rsid w:val="008D0FFD"/>
    <w:rsid w:val="008D1147"/>
    <w:rsid w:val="008D13DB"/>
    <w:rsid w:val="008D290E"/>
    <w:rsid w:val="008D4D75"/>
    <w:rsid w:val="008D5B9D"/>
    <w:rsid w:val="008D64AC"/>
    <w:rsid w:val="008E01EC"/>
    <w:rsid w:val="008E1515"/>
    <w:rsid w:val="008E1722"/>
    <w:rsid w:val="008E2351"/>
    <w:rsid w:val="008E2C2D"/>
    <w:rsid w:val="008E472F"/>
    <w:rsid w:val="008E5DEE"/>
    <w:rsid w:val="008E5E61"/>
    <w:rsid w:val="008E6DF1"/>
    <w:rsid w:val="008F0BD8"/>
    <w:rsid w:val="008F1D1A"/>
    <w:rsid w:val="008F1E60"/>
    <w:rsid w:val="008F20AB"/>
    <w:rsid w:val="008F4070"/>
    <w:rsid w:val="008F5554"/>
    <w:rsid w:val="008F6227"/>
    <w:rsid w:val="008F656A"/>
    <w:rsid w:val="008F79C3"/>
    <w:rsid w:val="00902206"/>
    <w:rsid w:val="009037F1"/>
    <w:rsid w:val="00903D64"/>
    <w:rsid w:val="0090431C"/>
    <w:rsid w:val="00904891"/>
    <w:rsid w:val="009105DF"/>
    <w:rsid w:val="00911283"/>
    <w:rsid w:val="009112DC"/>
    <w:rsid w:val="0091145B"/>
    <w:rsid w:val="00913225"/>
    <w:rsid w:val="009132EA"/>
    <w:rsid w:val="00915BA0"/>
    <w:rsid w:val="009166FF"/>
    <w:rsid w:val="00916769"/>
    <w:rsid w:val="00917B57"/>
    <w:rsid w:val="00920794"/>
    <w:rsid w:val="0092123E"/>
    <w:rsid w:val="00921DDC"/>
    <w:rsid w:val="009238E1"/>
    <w:rsid w:val="009241E2"/>
    <w:rsid w:val="00924BD9"/>
    <w:rsid w:val="00925A45"/>
    <w:rsid w:val="00925ABF"/>
    <w:rsid w:val="00933451"/>
    <w:rsid w:val="00933E62"/>
    <w:rsid w:val="00934481"/>
    <w:rsid w:val="00934714"/>
    <w:rsid w:val="00934D2E"/>
    <w:rsid w:val="00936726"/>
    <w:rsid w:val="00940B4D"/>
    <w:rsid w:val="009421CA"/>
    <w:rsid w:val="00943306"/>
    <w:rsid w:val="009437CB"/>
    <w:rsid w:val="00945072"/>
    <w:rsid w:val="0094593C"/>
    <w:rsid w:val="0094612F"/>
    <w:rsid w:val="0094794A"/>
    <w:rsid w:val="009503E5"/>
    <w:rsid w:val="00951827"/>
    <w:rsid w:val="009522C8"/>
    <w:rsid w:val="00954565"/>
    <w:rsid w:val="009561B3"/>
    <w:rsid w:val="009614F6"/>
    <w:rsid w:val="00961CF0"/>
    <w:rsid w:val="009623EA"/>
    <w:rsid w:val="00962D06"/>
    <w:rsid w:val="009647FC"/>
    <w:rsid w:val="00964D87"/>
    <w:rsid w:val="0096557E"/>
    <w:rsid w:val="0096558D"/>
    <w:rsid w:val="0096574A"/>
    <w:rsid w:val="009659A9"/>
    <w:rsid w:val="00966295"/>
    <w:rsid w:val="0096682F"/>
    <w:rsid w:val="009669C7"/>
    <w:rsid w:val="00966A09"/>
    <w:rsid w:val="0097118F"/>
    <w:rsid w:val="00971962"/>
    <w:rsid w:val="00973756"/>
    <w:rsid w:val="00974963"/>
    <w:rsid w:val="009756ED"/>
    <w:rsid w:val="00976AFC"/>
    <w:rsid w:val="00977FB9"/>
    <w:rsid w:val="0098430C"/>
    <w:rsid w:val="00985402"/>
    <w:rsid w:val="0098571A"/>
    <w:rsid w:val="00986603"/>
    <w:rsid w:val="00986EBC"/>
    <w:rsid w:val="00986EC6"/>
    <w:rsid w:val="00990A77"/>
    <w:rsid w:val="009911E0"/>
    <w:rsid w:val="00991685"/>
    <w:rsid w:val="0099172E"/>
    <w:rsid w:val="009935B3"/>
    <w:rsid w:val="00993BB4"/>
    <w:rsid w:val="00994FCB"/>
    <w:rsid w:val="009A18DB"/>
    <w:rsid w:val="009A303C"/>
    <w:rsid w:val="009A50D8"/>
    <w:rsid w:val="009A7E29"/>
    <w:rsid w:val="009B12F4"/>
    <w:rsid w:val="009B14F2"/>
    <w:rsid w:val="009B1DE1"/>
    <w:rsid w:val="009B32DD"/>
    <w:rsid w:val="009B5271"/>
    <w:rsid w:val="009B56EF"/>
    <w:rsid w:val="009B58EC"/>
    <w:rsid w:val="009B6D89"/>
    <w:rsid w:val="009B7209"/>
    <w:rsid w:val="009B7656"/>
    <w:rsid w:val="009C0C53"/>
    <w:rsid w:val="009C1DC1"/>
    <w:rsid w:val="009C2F37"/>
    <w:rsid w:val="009C3F9B"/>
    <w:rsid w:val="009C4150"/>
    <w:rsid w:val="009C61F2"/>
    <w:rsid w:val="009C699A"/>
    <w:rsid w:val="009C6E8C"/>
    <w:rsid w:val="009C7A67"/>
    <w:rsid w:val="009D0F3C"/>
    <w:rsid w:val="009D153E"/>
    <w:rsid w:val="009D1DDE"/>
    <w:rsid w:val="009D3197"/>
    <w:rsid w:val="009D3650"/>
    <w:rsid w:val="009D6E3C"/>
    <w:rsid w:val="009D7593"/>
    <w:rsid w:val="009E1AB1"/>
    <w:rsid w:val="009E2368"/>
    <w:rsid w:val="009E415F"/>
    <w:rsid w:val="009E423D"/>
    <w:rsid w:val="009E4BEB"/>
    <w:rsid w:val="009E5854"/>
    <w:rsid w:val="009E6C2C"/>
    <w:rsid w:val="009E6F2E"/>
    <w:rsid w:val="009F01A6"/>
    <w:rsid w:val="009F0233"/>
    <w:rsid w:val="009F04F7"/>
    <w:rsid w:val="009F3797"/>
    <w:rsid w:val="009F5D29"/>
    <w:rsid w:val="009F640A"/>
    <w:rsid w:val="009F7D23"/>
    <w:rsid w:val="009F7E21"/>
    <w:rsid w:val="00A006F2"/>
    <w:rsid w:val="00A00B65"/>
    <w:rsid w:val="00A04383"/>
    <w:rsid w:val="00A05548"/>
    <w:rsid w:val="00A06DA3"/>
    <w:rsid w:val="00A071F0"/>
    <w:rsid w:val="00A074C5"/>
    <w:rsid w:val="00A109AE"/>
    <w:rsid w:val="00A11464"/>
    <w:rsid w:val="00A118DE"/>
    <w:rsid w:val="00A123E3"/>
    <w:rsid w:val="00A13F92"/>
    <w:rsid w:val="00A141BA"/>
    <w:rsid w:val="00A14A9A"/>
    <w:rsid w:val="00A14C36"/>
    <w:rsid w:val="00A1651C"/>
    <w:rsid w:val="00A16A1E"/>
    <w:rsid w:val="00A16C79"/>
    <w:rsid w:val="00A175D3"/>
    <w:rsid w:val="00A21691"/>
    <w:rsid w:val="00A216CD"/>
    <w:rsid w:val="00A21D3A"/>
    <w:rsid w:val="00A22514"/>
    <w:rsid w:val="00A251B5"/>
    <w:rsid w:val="00A25672"/>
    <w:rsid w:val="00A2672F"/>
    <w:rsid w:val="00A26EBE"/>
    <w:rsid w:val="00A33821"/>
    <w:rsid w:val="00A33A98"/>
    <w:rsid w:val="00A34E6B"/>
    <w:rsid w:val="00A350B9"/>
    <w:rsid w:val="00A3557B"/>
    <w:rsid w:val="00A36DA2"/>
    <w:rsid w:val="00A407CC"/>
    <w:rsid w:val="00A408EB"/>
    <w:rsid w:val="00A40F80"/>
    <w:rsid w:val="00A4272A"/>
    <w:rsid w:val="00A442D5"/>
    <w:rsid w:val="00A45B60"/>
    <w:rsid w:val="00A46540"/>
    <w:rsid w:val="00A47071"/>
    <w:rsid w:val="00A5071B"/>
    <w:rsid w:val="00A511F1"/>
    <w:rsid w:val="00A51E5D"/>
    <w:rsid w:val="00A52506"/>
    <w:rsid w:val="00A53B68"/>
    <w:rsid w:val="00A54399"/>
    <w:rsid w:val="00A55630"/>
    <w:rsid w:val="00A563B4"/>
    <w:rsid w:val="00A56C74"/>
    <w:rsid w:val="00A56EAD"/>
    <w:rsid w:val="00A603DC"/>
    <w:rsid w:val="00A60DE6"/>
    <w:rsid w:val="00A61C27"/>
    <w:rsid w:val="00A62F85"/>
    <w:rsid w:val="00A632C2"/>
    <w:rsid w:val="00A6362A"/>
    <w:rsid w:val="00A63934"/>
    <w:rsid w:val="00A63964"/>
    <w:rsid w:val="00A63BB6"/>
    <w:rsid w:val="00A64B37"/>
    <w:rsid w:val="00A678CD"/>
    <w:rsid w:val="00A7040A"/>
    <w:rsid w:val="00A71613"/>
    <w:rsid w:val="00A72DD3"/>
    <w:rsid w:val="00A74E45"/>
    <w:rsid w:val="00A7596B"/>
    <w:rsid w:val="00A7690D"/>
    <w:rsid w:val="00A7741A"/>
    <w:rsid w:val="00A779F4"/>
    <w:rsid w:val="00A77DDA"/>
    <w:rsid w:val="00A837D4"/>
    <w:rsid w:val="00A84324"/>
    <w:rsid w:val="00A84707"/>
    <w:rsid w:val="00A84AFC"/>
    <w:rsid w:val="00A8593D"/>
    <w:rsid w:val="00A85FB7"/>
    <w:rsid w:val="00A90F6A"/>
    <w:rsid w:val="00A9276D"/>
    <w:rsid w:val="00A939E8"/>
    <w:rsid w:val="00A93BF6"/>
    <w:rsid w:val="00A94983"/>
    <w:rsid w:val="00AA1C4C"/>
    <w:rsid w:val="00AA2414"/>
    <w:rsid w:val="00AA2E32"/>
    <w:rsid w:val="00AA3BFD"/>
    <w:rsid w:val="00AA4FA5"/>
    <w:rsid w:val="00AA5CB2"/>
    <w:rsid w:val="00AA6493"/>
    <w:rsid w:val="00AA6522"/>
    <w:rsid w:val="00AB38EF"/>
    <w:rsid w:val="00AB3DDE"/>
    <w:rsid w:val="00AB4C0B"/>
    <w:rsid w:val="00AB6207"/>
    <w:rsid w:val="00AC2BE4"/>
    <w:rsid w:val="00AC6333"/>
    <w:rsid w:val="00AC6572"/>
    <w:rsid w:val="00AD1E28"/>
    <w:rsid w:val="00AD1E95"/>
    <w:rsid w:val="00AD4AC8"/>
    <w:rsid w:val="00AD5099"/>
    <w:rsid w:val="00AD5527"/>
    <w:rsid w:val="00AD5938"/>
    <w:rsid w:val="00AD61FF"/>
    <w:rsid w:val="00AD6650"/>
    <w:rsid w:val="00AE0486"/>
    <w:rsid w:val="00AE158D"/>
    <w:rsid w:val="00AE161C"/>
    <w:rsid w:val="00AE1A21"/>
    <w:rsid w:val="00AE22BA"/>
    <w:rsid w:val="00AE3747"/>
    <w:rsid w:val="00AE47AD"/>
    <w:rsid w:val="00AE4B2E"/>
    <w:rsid w:val="00AE4D55"/>
    <w:rsid w:val="00AE5205"/>
    <w:rsid w:val="00AE52E8"/>
    <w:rsid w:val="00AE6352"/>
    <w:rsid w:val="00AE6808"/>
    <w:rsid w:val="00AE79D6"/>
    <w:rsid w:val="00AF07A6"/>
    <w:rsid w:val="00AF0C5C"/>
    <w:rsid w:val="00AF15D6"/>
    <w:rsid w:val="00AF2C00"/>
    <w:rsid w:val="00AF3ABD"/>
    <w:rsid w:val="00AF602A"/>
    <w:rsid w:val="00AF7872"/>
    <w:rsid w:val="00AF7B29"/>
    <w:rsid w:val="00B00D7F"/>
    <w:rsid w:val="00B01CB0"/>
    <w:rsid w:val="00B020D7"/>
    <w:rsid w:val="00B04910"/>
    <w:rsid w:val="00B04D83"/>
    <w:rsid w:val="00B068D6"/>
    <w:rsid w:val="00B06D90"/>
    <w:rsid w:val="00B07607"/>
    <w:rsid w:val="00B07DE9"/>
    <w:rsid w:val="00B105F7"/>
    <w:rsid w:val="00B13E82"/>
    <w:rsid w:val="00B177A2"/>
    <w:rsid w:val="00B17FC5"/>
    <w:rsid w:val="00B20218"/>
    <w:rsid w:val="00B21B9E"/>
    <w:rsid w:val="00B223F7"/>
    <w:rsid w:val="00B230BA"/>
    <w:rsid w:val="00B23F4C"/>
    <w:rsid w:val="00B2420E"/>
    <w:rsid w:val="00B245CE"/>
    <w:rsid w:val="00B2555E"/>
    <w:rsid w:val="00B260D1"/>
    <w:rsid w:val="00B3283C"/>
    <w:rsid w:val="00B3313B"/>
    <w:rsid w:val="00B331C0"/>
    <w:rsid w:val="00B33CEF"/>
    <w:rsid w:val="00B3407C"/>
    <w:rsid w:val="00B3472C"/>
    <w:rsid w:val="00B34A65"/>
    <w:rsid w:val="00B356E2"/>
    <w:rsid w:val="00B35851"/>
    <w:rsid w:val="00B35CED"/>
    <w:rsid w:val="00B37591"/>
    <w:rsid w:val="00B37B06"/>
    <w:rsid w:val="00B37F4F"/>
    <w:rsid w:val="00B40725"/>
    <w:rsid w:val="00B41274"/>
    <w:rsid w:val="00B41994"/>
    <w:rsid w:val="00B41B36"/>
    <w:rsid w:val="00B41D1A"/>
    <w:rsid w:val="00B43DDD"/>
    <w:rsid w:val="00B445DA"/>
    <w:rsid w:val="00B44BCF"/>
    <w:rsid w:val="00B45671"/>
    <w:rsid w:val="00B457B0"/>
    <w:rsid w:val="00B457F6"/>
    <w:rsid w:val="00B4600D"/>
    <w:rsid w:val="00B50114"/>
    <w:rsid w:val="00B507C3"/>
    <w:rsid w:val="00B50E30"/>
    <w:rsid w:val="00B50FE2"/>
    <w:rsid w:val="00B51166"/>
    <w:rsid w:val="00B51D8B"/>
    <w:rsid w:val="00B53179"/>
    <w:rsid w:val="00B556AE"/>
    <w:rsid w:val="00B55E40"/>
    <w:rsid w:val="00B6170E"/>
    <w:rsid w:val="00B63D23"/>
    <w:rsid w:val="00B6406E"/>
    <w:rsid w:val="00B7025F"/>
    <w:rsid w:val="00B72C4F"/>
    <w:rsid w:val="00B73C76"/>
    <w:rsid w:val="00B76268"/>
    <w:rsid w:val="00B76899"/>
    <w:rsid w:val="00B77E4F"/>
    <w:rsid w:val="00B80717"/>
    <w:rsid w:val="00B83072"/>
    <w:rsid w:val="00B83367"/>
    <w:rsid w:val="00B840E3"/>
    <w:rsid w:val="00B8483F"/>
    <w:rsid w:val="00B90F39"/>
    <w:rsid w:val="00B91B53"/>
    <w:rsid w:val="00B9379E"/>
    <w:rsid w:val="00B95A27"/>
    <w:rsid w:val="00B971F0"/>
    <w:rsid w:val="00B972AD"/>
    <w:rsid w:val="00B975E8"/>
    <w:rsid w:val="00BA031B"/>
    <w:rsid w:val="00BA03A6"/>
    <w:rsid w:val="00BA0872"/>
    <w:rsid w:val="00BA09A9"/>
    <w:rsid w:val="00BA3E66"/>
    <w:rsid w:val="00BA445B"/>
    <w:rsid w:val="00BA4FDA"/>
    <w:rsid w:val="00BA707B"/>
    <w:rsid w:val="00BA75ED"/>
    <w:rsid w:val="00BB0C5E"/>
    <w:rsid w:val="00BB2459"/>
    <w:rsid w:val="00BB3171"/>
    <w:rsid w:val="00BB31C6"/>
    <w:rsid w:val="00BB3AC1"/>
    <w:rsid w:val="00BB43D5"/>
    <w:rsid w:val="00BB7026"/>
    <w:rsid w:val="00BB78FE"/>
    <w:rsid w:val="00BC0FAC"/>
    <w:rsid w:val="00BC1B6A"/>
    <w:rsid w:val="00BC29BE"/>
    <w:rsid w:val="00BC2E76"/>
    <w:rsid w:val="00BC3197"/>
    <w:rsid w:val="00BC3524"/>
    <w:rsid w:val="00BC4F45"/>
    <w:rsid w:val="00BC641A"/>
    <w:rsid w:val="00BC6AD9"/>
    <w:rsid w:val="00BC7731"/>
    <w:rsid w:val="00BD0151"/>
    <w:rsid w:val="00BD07CD"/>
    <w:rsid w:val="00BD1B90"/>
    <w:rsid w:val="00BD1EF1"/>
    <w:rsid w:val="00BD2CF8"/>
    <w:rsid w:val="00BD60FE"/>
    <w:rsid w:val="00BD707C"/>
    <w:rsid w:val="00BD79B7"/>
    <w:rsid w:val="00BE0C23"/>
    <w:rsid w:val="00BE3245"/>
    <w:rsid w:val="00BE51CC"/>
    <w:rsid w:val="00BE66C7"/>
    <w:rsid w:val="00BE7582"/>
    <w:rsid w:val="00BF17AA"/>
    <w:rsid w:val="00BF1BF1"/>
    <w:rsid w:val="00BF23C0"/>
    <w:rsid w:val="00BF26BF"/>
    <w:rsid w:val="00BF2FC4"/>
    <w:rsid w:val="00BF3B9B"/>
    <w:rsid w:val="00BF4A93"/>
    <w:rsid w:val="00BF560D"/>
    <w:rsid w:val="00BF7E48"/>
    <w:rsid w:val="00C0010B"/>
    <w:rsid w:val="00C005A4"/>
    <w:rsid w:val="00C02A0B"/>
    <w:rsid w:val="00C02E4D"/>
    <w:rsid w:val="00C03CF5"/>
    <w:rsid w:val="00C04640"/>
    <w:rsid w:val="00C04919"/>
    <w:rsid w:val="00C04EEC"/>
    <w:rsid w:val="00C05C2D"/>
    <w:rsid w:val="00C06FE1"/>
    <w:rsid w:val="00C07333"/>
    <w:rsid w:val="00C10448"/>
    <w:rsid w:val="00C10AA1"/>
    <w:rsid w:val="00C10C7B"/>
    <w:rsid w:val="00C12694"/>
    <w:rsid w:val="00C12AF8"/>
    <w:rsid w:val="00C136D5"/>
    <w:rsid w:val="00C143B6"/>
    <w:rsid w:val="00C145A4"/>
    <w:rsid w:val="00C14A77"/>
    <w:rsid w:val="00C1507A"/>
    <w:rsid w:val="00C162E3"/>
    <w:rsid w:val="00C169CF"/>
    <w:rsid w:val="00C20864"/>
    <w:rsid w:val="00C21093"/>
    <w:rsid w:val="00C232B8"/>
    <w:rsid w:val="00C2349F"/>
    <w:rsid w:val="00C247ED"/>
    <w:rsid w:val="00C24BE4"/>
    <w:rsid w:val="00C24C46"/>
    <w:rsid w:val="00C250C7"/>
    <w:rsid w:val="00C25E2C"/>
    <w:rsid w:val="00C25E4B"/>
    <w:rsid w:val="00C25FB5"/>
    <w:rsid w:val="00C26F36"/>
    <w:rsid w:val="00C27CD0"/>
    <w:rsid w:val="00C31AA6"/>
    <w:rsid w:val="00C3280F"/>
    <w:rsid w:val="00C34AE5"/>
    <w:rsid w:val="00C3596A"/>
    <w:rsid w:val="00C359DF"/>
    <w:rsid w:val="00C42069"/>
    <w:rsid w:val="00C4253D"/>
    <w:rsid w:val="00C43848"/>
    <w:rsid w:val="00C43E89"/>
    <w:rsid w:val="00C4504B"/>
    <w:rsid w:val="00C4736D"/>
    <w:rsid w:val="00C476AD"/>
    <w:rsid w:val="00C53262"/>
    <w:rsid w:val="00C54066"/>
    <w:rsid w:val="00C54629"/>
    <w:rsid w:val="00C55421"/>
    <w:rsid w:val="00C56BBE"/>
    <w:rsid w:val="00C635E9"/>
    <w:rsid w:val="00C63B71"/>
    <w:rsid w:val="00C65322"/>
    <w:rsid w:val="00C65C3A"/>
    <w:rsid w:val="00C66210"/>
    <w:rsid w:val="00C67C43"/>
    <w:rsid w:val="00C67E4E"/>
    <w:rsid w:val="00C710C7"/>
    <w:rsid w:val="00C72E49"/>
    <w:rsid w:val="00C74ACD"/>
    <w:rsid w:val="00C74F30"/>
    <w:rsid w:val="00C76FCE"/>
    <w:rsid w:val="00C81458"/>
    <w:rsid w:val="00C81682"/>
    <w:rsid w:val="00C82C08"/>
    <w:rsid w:val="00C8316E"/>
    <w:rsid w:val="00C8466B"/>
    <w:rsid w:val="00C912EE"/>
    <w:rsid w:val="00C92B5D"/>
    <w:rsid w:val="00C92F79"/>
    <w:rsid w:val="00C93B24"/>
    <w:rsid w:val="00C93CF2"/>
    <w:rsid w:val="00C94B77"/>
    <w:rsid w:val="00C94EA8"/>
    <w:rsid w:val="00C96CFD"/>
    <w:rsid w:val="00C9716B"/>
    <w:rsid w:val="00CA0DF5"/>
    <w:rsid w:val="00CA189C"/>
    <w:rsid w:val="00CA18E6"/>
    <w:rsid w:val="00CA1A94"/>
    <w:rsid w:val="00CA2217"/>
    <w:rsid w:val="00CA320F"/>
    <w:rsid w:val="00CA34E2"/>
    <w:rsid w:val="00CA3DA5"/>
    <w:rsid w:val="00CA57A1"/>
    <w:rsid w:val="00CA5E6A"/>
    <w:rsid w:val="00CA660F"/>
    <w:rsid w:val="00CA6FFE"/>
    <w:rsid w:val="00CB0E27"/>
    <w:rsid w:val="00CB1955"/>
    <w:rsid w:val="00CB3E45"/>
    <w:rsid w:val="00CB4E16"/>
    <w:rsid w:val="00CB71A8"/>
    <w:rsid w:val="00CC0210"/>
    <w:rsid w:val="00CC0614"/>
    <w:rsid w:val="00CC2D86"/>
    <w:rsid w:val="00CC317B"/>
    <w:rsid w:val="00CC39D9"/>
    <w:rsid w:val="00CC3A96"/>
    <w:rsid w:val="00CC544F"/>
    <w:rsid w:val="00CC5941"/>
    <w:rsid w:val="00CC5FA0"/>
    <w:rsid w:val="00CD02BF"/>
    <w:rsid w:val="00CD15DD"/>
    <w:rsid w:val="00CD2E7A"/>
    <w:rsid w:val="00CD2F87"/>
    <w:rsid w:val="00CD3E47"/>
    <w:rsid w:val="00CD523A"/>
    <w:rsid w:val="00CD538D"/>
    <w:rsid w:val="00CD5E5A"/>
    <w:rsid w:val="00CD6F7F"/>
    <w:rsid w:val="00CD76B5"/>
    <w:rsid w:val="00CE1412"/>
    <w:rsid w:val="00CE1F49"/>
    <w:rsid w:val="00CE32C8"/>
    <w:rsid w:val="00CE3DC3"/>
    <w:rsid w:val="00CE4AAE"/>
    <w:rsid w:val="00CE52D2"/>
    <w:rsid w:val="00CE7DD2"/>
    <w:rsid w:val="00CE7E75"/>
    <w:rsid w:val="00CF06B0"/>
    <w:rsid w:val="00CF0A7F"/>
    <w:rsid w:val="00CF3B5D"/>
    <w:rsid w:val="00CF473D"/>
    <w:rsid w:val="00CF5583"/>
    <w:rsid w:val="00CF55D2"/>
    <w:rsid w:val="00CF77C4"/>
    <w:rsid w:val="00D00728"/>
    <w:rsid w:val="00D014F6"/>
    <w:rsid w:val="00D01C4E"/>
    <w:rsid w:val="00D03ADC"/>
    <w:rsid w:val="00D0459C"/>
    <w:rsid w:val="00D04BE9"/>
    <w:rsid w:val="00D05335"/>
    <w:rsid w:val="00D05811"/>
    <w:rsid w:val="00D06466"/>
    <w:rsid w:val="00D072CD"/>
    <w:rsid w:val="00D07CBB"/>
    <w:rsid w:val="00D14158"/>
    <w:rsid w:val="00D14E11"/>
    <w:rsid w:val="00D15DF6"/>
    <w:rsid w:val="00D16BA4"/>
    <w:rsid w:val="00D17DC8"/>
    <w:rsid w:val="00D200C6"/>
    <w:rsid w:val="00D20828"/>
    <w:rsid w:val="00D20CEC"/>
    <w:rsid w:val="00D20E53"/>
    <w:rsid w:val="00D2169E"/>
    <w:rsid w:val="00D2219A"/>
    <w:rsid w:val="00D22770"/>
    <w:rsid w:val="00D2351A"/>
    <w:rsid w:val="00D24464"/>
    <w:rsid w:val="00D26585"/>
    <w:rsid w:val="00D27FAD"/>
    <w:rsid w:val="00D30A2E"/>
    <w:rsid w:val="00D30B0D"/>
    <w:rsid w:val="00D31DCA"/>
    <w:rsid w:val="00D32EB7"/>
    <w:rsid w:val="00D33F1A"/>
    <w:rsid w:val="00D364A4"/>
    <w:rsid w:val="00D3668B"/>
    <w:rsid w:val="00D37112"/>
    <w:rsid w:val="00D371A7"/>
    <w:rsid w:val="00D374F7"/>
    <w:rsid w:val="00D40829"/>
    <w:rsid w:val="00D421FE"/>
    <w:rsid w:val="00D42DAB"/>
    <w:rsid w:val="00D4437D"/>
    <w:rsid w:val="00D44465"/>
    <w:rsid w:val="00D4487C"/>
    <w:rsid w:val="00D45014"/>
    <w:rsid w:val="00D45050"/>
    <w:rsid w:val="00D465AF"/>
    <w:rsid w:val="00D505D6"/>
    <w:rsid w:val="00D50A1F"/>
    <w:rsid w:val="00D51402"/>
    <w:rsid w:val="00D52357"/>
    <w:rsid w:val="00D5357C"/>
    <w:rsid w:val="00D54FA9"/>
    <w:rsid w:val="00D5587A"/>
    <w:rsid w:val="00D55B00"/>
    <w:rsid w:val="00D55D57"/>
    <w:rsid w:val="00D56ECD"/>
    <w:rsid w:val="00D604D3"/>
    <w:rsid w:val="00D6110E"/>
    <w:rsid w:val="00D6141C"/>
    <w:rsid w:val="00D61F02"/>
    <w:rsid w:val="00D63339"/>
    <w:rsid w:val="00D647AC"/>
    <w:rsid w:val="00D671C9"/>
    <w:rsid w:val="00D6722E"/>
    <w:rsid w:val="00D70920"/>
    <w:rsid w:val="00D71335"/>
    <w:rsid w:val="00D73B6B"/>
    <w:rsid w:val="00D74ACC"/>
    <w:rsid w:val="00D75B7E"/>
    <w:rsid w:val="00D762AE"/>
    <w:rsid w:val="00D76389"/>
    <w:rsid w:val="00D76AF3"/>
    <w:rsid w:val="00D807F8"/>
    <w:rsid w:val="00D80951"/>
    <w:rsid w:val="00D80F92"/>
    <w:rsid w:val="00D80F93"/>
    <w:rsid w:val="00D815F7"/>
    <w:rsid w:val="00D82D25"/>
    <w:rsid w:val="00D83A67"/>
    <w:rsid w:val="00D83CBE"/>
    <w:rsid w:val="00D84403"/>
    <w:rsid w:val="00D844A0"/>
    <w:rsid w:val="00D851C5"/>
    <w:rsid w:val="00D854DF"/>
    <w:rsid w:val="00D859A0"/>
    <w:rsid w:val="00D90431"/>
    <w:rsid w:val="00D904BD"/>
    <w:rsid w:val="00D91398"/>
    <w:rsid w:val="00D91595"/>
    <w:rsid w:val="00D92B29"/>
    <w:rsid w:val="00D935A1"/>
    <w:rsid w:val="00D9391A"/>
    <w:rsid w:val="00D94E7D"/>
    <w:rsid w:val="00D95999"/>
    <w:rsid w:val="00D96E6B"/>
    <w:rsid w:val="00D97D81"/>
    <w:rsid w:val="00DA008D"/>
    <w:rsid w:val="00DA04DC"/>
    <w:rsid w:val="00DA1D20"/>
    <w:rsid w:val="00DA2A7E"/>
    <w:rsid w:val="00DA428A"/>
    <w:rsid w:val="00DA51D0"/>
    <w:rsid w:val="00DA525D"/>
    <w:rsid w:val="00DA5E1A"/>
    <w:rsid w:val="00DA6080"/>
    <w:rsid w:val="00DA7BC2"/>
    <w:rsid w:val="00DA7EED"/>
    <w:rsid w:val="00DB0756"/>
    <w:rsid w:val="00DB108A"/>
    <w:rsid w:val="00DB2EB5"/>
    <w:rsid w:val="00DB3870"/>
    <w:rsid w:val="00DB4736"/>
    <w:rsid w:val="00DB47F8"/>
    <w:rsid w:val="00DC12DB"/>
    <w:rsid w:val="00DC1A06"/>
    <w:rsid w:val="00DC1D1B"/>
    <w:rsid w:val="00DC2073"/>
    <w:rsid w:val="00DC3342"/>
    <w:rsid w:val="00DC5646"/>
    <w:rsid w:val="00DC61EB"/>
    <w:rsid w:val="00DC7038"/>
    <w:rsid w:val="00DC7217"/>
    <w:rsid w:val="00DC75DB"/>
    <w:rsid w:val="00DC7A70"/>
    <w:rsid w:val="00DD12F9"/>
    <w:rsid w:val="00DD3433"/>
    <w:rsid w:val="00DD351D"/>
    <w:rsid w:val="00DD36EA"/>
    <w:rsid w:val="00DD67DD"/>
    <w:rsid w:val="00DE0389"/>
    <w:rsid w:val="00DE0C9A"/>
    <w:rsid w:val="00DE15FB"/>
    <w:rsid w:val="00DE16EF"/>
    <w:rsid w:val="00DE1CED"/>
    <w:rsid w:val="00DE30E5"/>
    <w:rsid w:val="00DE3D64"/>
    <w:rsid w:val="00DE6648"/>
    <w:rsid w:val="00DE6A2E"/>
    <w:rsid w:val="00DE7071"/>
    <w:rsid w:val="00DE70A7"/>
    <w:rsid w:val="00DE72AB"/>
    <w:rsid w:val="00DE72C5"/>
    <w:rsid w:val="00DF37E6"/>
    <w:rsid w:val="00DF4228"/>
    <w:rsid w:val="00DF48A4"/>
    <w:rsid w:val="00DF52D2"/>
    <w:rsid w:val="00DF617F"/>
    <w:rsid w:val="00DF7764"/>
    <w:rsid w:val="00E00C46"/>
    <w:rsid w:val="00E00E4D"/>
    <w:rsid w:val="00E0607A"/>
    <w:rsid w:val="00E068CF"/>
    <w:rsid w:val="00E07958"/>
    <w:rsid w:val="00E07F89"/>
    <w:rsid w:val="00E104EA"/>
    <w:rsid w:val="00E12EF0"/>
    <w:rsid w:val="00E15FCF"/>
    <w:rsid w:val="00E16EF9"/>
    <w:rsid w:val="00E20339"/>
    <w:rsid w:val="00E20EB1"/>
    <w:rsid w:val="00E21EC7"/>
    <w:rsid w:val="00E223DA"/>
    <w:rsid w:val="00E227B8"/>
    <w:rsid w:val="00E23D71"/>
    <w:rsid w:val="00E25FD5"/>
    <w:rsid w:val="00E30099"/>
    <w:rsid w:val="00E3031A"/>
    <w:rsid w:val="00E310B1"/>
    <w:rsid w:val="00E31AB8"/>
    <w:rsid w:val="00E33422"/>
    <w:rsid w:val="00E3372C"/>
    <w:rsid w:val="00E34C24"/>
    <w:rsid w:val="00E35975"/>
    <w:rsid w:val="00E3618F"/>
    <w:rsid w:val="00E37FD7"/>
    <w:rsid w:val="00E400BB"/>
    <w:rsid w:val="00E40AC8"/>
    <w:rsid w:val="00E412D5"/>
    <w:rsid w:val="00E41642"/>
    <w:rsid w:val="00E42897"/>
    <w:rsid w:val="00E4339B"/>
    <w:rsid w:val="00E4351A"/>
    <w:rsid w:val="00E44F25"/>
    <w:rsid w:val="00E45500"/>
    <w:rsid w:val="00E46498"/>
    <w:rsid w:val="00E46DCE"/>
    <w:rsid w:val="00E47DD0"/>
    <w:rsid w:val="00E508C0"/>
    <w:rsid w:val="00E51271"/>
    <w:rsid w:val="00E5289E"/>
    <w:rsid w:val="00E529DA"/>
    <w:rsid w:val="00E54BD2"/>
    <w:rsid w:val="00E54C68"/>
    <w:rsid w:val="00E55B1D"/>
    <w:rsid w:val="00E5614E"/>
    <w:rsid w:val="00E56E41"/>
    <w:rsid w:val="00E61337"/>
    <w:rsid w:val="00E619B8"/>
    <w:rsid w:val="00E62002"/>
    <w:rsid w:val="00E6237A"/>
    <w:rsid w:val="00E64324"/>
    <w:rsid w:val="00E6557D"/>
    <w:rsid w:val="00E656F1"/>
    <w:rsid w:val="00E662C5"/>
    <w:rsid w:val="00E672F6"/>
    <w:rsid w:val="00E678C3"/>
    <w:rsid w:val="00E7002C"/>
    <w:rsid w:val="00E72B0E"/>
    <w:rsid w:val="00E76532"/>
    <w:rsid w:val="00E76EB6"/>
    <w:rsid w:val="00E7780E"/>
    <w:rsid w:val="00E8014D"/>
    <w:rsid w:val="00E81189"/>
    <w:rsid w:val="00E81EAE"/>
    <w:rsid w:val="00E81F4B"/>
    <w:rsid w:val="00E84389"/>
    <w:rsid w:val="00E84C7E"/>
    <w:rsid w:val="00E862C6"/>
    <w:rsid w:val="00E86BE5"/>
    <w:rsid w:val="00E87647"/>
    <w:rsid w:val="00E91774"/>
    <w:rsid w:val="00E91E6F"/>
    <w:rsid w:val="00E92364"/>
    <w:rsid w:val="00E924A1"/>
    <w:rsid w:val="00E9272C"/>
    <w:rsid w:val="00E92830"/>
    <w:rsid w:val="00E92BFD"/>
    <w:rsid w:val="00E933AB"/>
    <w:rsid w:val="00E9579F"/>
    <w:rsid w:val="00E9785B"/>
    <w:rsid w:val="00E97E88"/>
    <w:rsid w:val="00EA08F7"/>
    <w:rsid w:val="00EA0F35"/>
    <w:rsid w:val="00EA11D5"/>
    <w:rsid w:val="00EA3989"/>
    <w:rsid w:val="00EA4793"/>
    <w:rsid w:val="00EA47D9"/>
    <w:rsid w:val="00EA4A90"/>
    <w:rsid w:val="00EA63D7"/>
    <w:rsid w:val="00EA7408"/>
    <w:rsid w:val="00EB2069"/>
    <w:rsid w:val="00EB3280"/>
    <w:rsid w:val="00EB38A1"/>
    <w:rsid w:val="00EB4524"/>
    <w:rsid w:val="00EB6FB8"/>
    <w:rsid w:val="00EB7989"/>
    <w:rsid w:val="00EC1664"/>
    <w:rsid w:val="00EC3345"/>
    <w:rsid w:val="00EC45CE"/>
    <w:rsid w:val="00EC7B98"/>
    <w:rsid w:val="00ED13CF"/>
    <w:rsid w:val="00ED15AD"/>
    <w:rsid w:val="00ED297F"/>
    <w:rsid w:val="00ED3902"/>
    <w:rsid w:val="00ED43F2"/>
    <w:rsid w:val="00ED494B"/>
    <w:rsid w:val="00ED4D85"/>
    <w:rsid w:val="00ED526A"/>
    <w:rsid w:val="00ED5A10"/>
    <w:rsid w:val="00ED6E9A"/>
    <w:rsid w:val="00EE0668"/>
    <w:rsid w:val="00EE22A3"/>
    <w:rsid w:val="00EE271B"/>
    <w:rsid w:val="00EE2D68"/>
    <w:rsid w:val="00EE308F"/>
    <w:rsid w:val="00EE4039"/>
    <w:rsid w:val="00EE4391"/>
    <w:rsid w:val="00EE44BF"/>
    <w:rsid w:val="00EE52BD"/>
    <w:rsid w:val="00EE6E63"/>
    <w:rsid w:val="00EF0B75"/>
    <w:rsid w:val="00EF1E5F"/>
    <w:rsid w:val="00EF1E83"/>
    <w:rsid w:val="00EF2E96"/>
    <w:rsid w:val="00EF35B6"/>
    <w:rsid w:val="00EF3E36"/>
    <w:rsid w:val="00EF410B"/>
    <w:rsid w:val="00EF446D"/>
    <w:rsid w:val="00EF4EEA"/>
    <w:rsid w:val="00EF6332"/>
    <w:rsid w:val="00EF6729"/>
    <w:rsid w:val="00F05863"/>
    <w:rsid w:val="00F05E33"/>
    <w:rsid w:val="00F070D0"/>
    <w:rsid w:val="00F074B1"/>
    <w:rsid w:val="00F07BCD"/>
    <w:rsid w:val="00F104BD"/>
    <w:rsid w:val="00F1082E"/>
    <w:rsid w:val="00F10AA0"/>
    <w:rsid w:val="00F13747"/>
    <w:rsid w:val="00F137D6"/>
    <w:rsid w:val="00F140EB"/>
    <w:rsid w:val="00F1439C"/>
    <w:rsid w:val="00F156B8"/>
    <w:rsid w:val="00F17933"/>
    <w:rsid w:val="00F17B00"/>
    <w:rsid w:val="00F20B6B"/>
    <w:rsid w:val="00F21E43"/>
    <w:rsid w:val="00F21EAE"/>
    <w:rsid w:val="00F23937"/>
    <w:rsid w:val="00F27A08"/>
    <w:rsid w:val="00F31019"/>
    <w:rsid w:val="00F31BB4"/>
    <w:rsid w:val="00F31BC7"/>
    <w:rsid w:val="00F32AF8"/>
    <w:rsid w:val="00F330C5"/>
    <w:rsid w:val="00F330D4"/>
    <w:rsid w:val="00F34075"/>
    <w:rsid w:val="00F34E02"/>
    <w:rsid w:val="00F363C6"/>
    <w:rsid w:val="00F3679B"/>
    <w:rsid w:val="00F41E02"/>
    <w:rsid w:val="00F4437C"/>
    <w:rsid w:val="00F451FD"/>
    <w:rsid w:val="00F50C08"/>
    <w:rsid w:val="00F50C99"/>
    <w:rsid w:val="00F53675"/>
    <w:rsid w:val="00F538E7"/>
    <w:rsid w:val="00F544B7"/>
    <w:rsid w:val="00F54E85"/>
    <w:rsid w:val="00F5568E"/>
    <w:rsid w:val="00F5753A"/>
    <w:rsid w:val="00F57DCD"/>
    <w:rsid w:val="00F604CB"/>
    <w:rsid w:val="00F62318"/>
    <w:rsid w:val="00F62474"/>
    <w:rsid w:val="00F63043"/>
    <w:rsid w:val="00F636DC"/>
    <w:rsid w:val="00F639F3"/>
    <w:rsid w:val="00F65DC9"/>
    <w:rsid w:val="00F6687A"/>
    <w:rsid w:val="00F66A5A"/>
    <w:rsid w:val="00F6798E"/>
    <w:rsid w:val="00F7016A"/>
    <w:rsid w:val="00F70DB2"/>
    <w:rsid w:val="00F71528"/>
    <w:rsid w:val="00F71D41"/>
    <w:rsid w:val="00F72E9B"/>
    <w:rsid w:val="00F74FC8"/>
    <w:rsid w:val="00F8147B"/>
    <w:rsid w:val="00F81E91"/>
    <w:rsid w:val="00F82496"/>
    <w:rsid w:val="00F8346C"/>
    <w:rsid w:val="00F87C2B"/>
    <w:rsid w:val="00F87E6E"/>
    <w:rsid w:val="00F932A7"/>
    <w:rsid w:val="00F937E3"/>
    <w:rsid w:val="00F94060"/>
    <w:rsid w:val="00F9417B"/>
    <w:rsid w:val="00F942CD"/>
    <w:rsid w:val="00F94CEA"/>
    <w:rsid w:val="00F94DE4"/>
    <w:rsid w:val="00F94EF1"/>
    <w:rsid w:val="00F94F7E"/>
    <w:rsid w:val="00F95194"/>
    <w:rsid w:val="00FA1753"/>
    <w:rsid w:val="00FA1E22"/>
    <w:rsid w:val="00FA2588"/>
    <w:rsid w:val="00FA2890"/>
    <w:rsid w:val="00FA28B3"/>
    <w:rsid w:val="00FA4047"/>
    <w:rsid w:val="00FA55C8"/>
    <w:rsid w:val="00FA6113"/>
    <w:rsid w:val="00FA753E"/>
    <w:rsid w:val="00FB1065"/>
    <w:rsid w:val="00FB24CE"/>
    <w:rsid w:val="00FB3F45"/>
    <w:rsid w:val="00FB4508"/>
    <w:rsid w:val="00FB5887"/>
    <w:rsid w:val="00FB73A8"/>
    <w:rsid w:val="00FC25C0"/>
    <w:rsid w:val="00FC2613"/>
    <w:rsid w:val="00FC3BA6"/>
    <w:rsid w:val="00FC44AA"/>
    <w:rsid w:val="00FC5DE9"/>
    <w:rsid w:val="00FD04D0"/>
    <w:rsid w:val="00FD08BA"/>
    <w:rsid w:val="00FD11D6"/>
    <w:rsid w:val="00FD1FC1"/>
    <w:rsid w:val="00FD26E4"/>
    <w:rsid w:val="00FD38AD"/>
    <w:rsid w:val="00FD44F7"/>
    <w:rsid w:val="00FD5555"/>
    <w:rsid w:val="00FD5F00"/>
    <w:rsid w:val="00FD72FC"/>
    <w:rsid w:val="00FD77AD"/>
    <w:rsid w:val="00FE0E02"/>
    <w:rsid w:val="00FE1144"/>
    <w:rsid w:val="00FE260C"/>
    <w:rsid w:val="00FE26CF"/>
    <w:rsid w:val="00FE3291"/>
    <w:rsid w:val="00FE5129"/>
    <w:rsid w:val="00FE6EA8"/>
    <w:rsid w:val="00FE7414"/>
    <w:rsid w:val="00FE7AAB"/>
    <w:rsid w:val="00FF0B48"/>
    <w:rsid w:val="00FF44A3"/>
    <w:rsid w:val="00FF4F3F"/>
    <w:rsid w:val="00FF5072"/>
    <w:rsid w:val="00FF5563"/>
    <w:rsid w:val="00FF5D42"/>
    <w:rsid w:val="00FF5D51"/>
    <w:rsid w:val="00FF7808"/>
    <w:rsid w:val="00FF793C"/>
    <w:rsid w:val="02B250DA"/>
    <w:rsid w:val="03970A41"/>
    <w:rsid w:val="08DD73A4"/>
    <w:rsid w:val="09210786"/>
    <w:rsid w:val="09F150BA"/>
    <w:rsid w:val="0BB53545"/>
    <w:rsid w:val="0E9D4E90"/>
    <w:rsid w:val="0F2F8C68"/>
    <w:rsid w:val="1328154C"/>
    <w:rsid w:val="139F52BA"/>
    <w:rsid w:val="13B2264B"/>
    <w:rsid w:val="146D79C6"/>
    <w:rsid w:val="16766474"/>
    <w:rsid w:val="1DD80D8F"/>
    <w:rsid w:val="1F3F8CBE"/>
    <w:rsid w:val="2074115B"/>
    <w:rsid w:val="20827A42"/>
    <w:rsid w:val="22E32F74"/>
    <w:rsid w:val="240A6D6E"/>
    <w:rsid w:val="241271C7"/>
    <w:rsid w:val="242E740A"/>
    <w:rsid w:val="25C7594C"/>
    <w:rsid w:val="27DB7970"/>
    <w:rsid w:val="28BA18FC"/>
    <w:rsid w:val="297653FA"/>
    <w:rsid w:val="2B8E7BE2"/>
    <w:rsid w:val="2CA62F2E"/>
    <w:rsid w:val="2DB57BEF"/>
    <w:rsid w:val="2F9F3A70"/>
    <w:rsid w:val="31527EED"/>
    <w:rsid w:val="3555547B"/>
    <w:rsid w:val="36200A61"/>
    <w:rsid w:val="36C344B8"/>
    <w:rsid w:val="37085D5E"/>
    <w:rsid w:val="375E0BAF"/>
    <w:rsid w:val="37BD6F93"/>
    <w:rsid w:val="38AA320E"/>
    <w:rsid w:val="3A8263D8"/>
    <w:rsid w:val="3AD774B7"/>
    <w:rsid w:val="3B5A0EDF"/>
    <w:rsid w:val="3ED41958"/>
    <w:rsid w:val="43BF748C"/>
    <w:rsid w:val="44193E1A"/>
    <w:rsid w:val="46896EAF"/>
    <w:rsid w:val="477E1AE8"/>
    <w:rsid w:val="4A097F8F"/>
    <w:rsid w:val="4B7F0E9E"/>
    <w:rsid w:val="4DED180A"/>
    <w:rsid w:val="50A5550E"/>
    <w:rsid w:val="524B7790"/>
    <w:rsid w:val="54F974BE"/>
    <w:rsid w:val="57ED7804"/>
    <w:rsid w:val="57EFD92C"/>
    <w:rsid w:val="587641EB"/>
    <w:rsid w:val="598A78EB"/>
    <w:rsid w:val="5A032C9A"/>
    <w:rsid w:val="5A380F0B"/>
    <w:rsid w:val="5FE40CB2"/>
    <w:rsid w:val="5FF5EC4B"/>
    <w:rsid w:val="60884B3D"/>
    <w:rsid w:val="60977546"/>
    <w:rsid w:val="614E00BF"/>
    <w:rsid w:val="6499029E"/>
    <w:rsid w:val="650B63FE"/>
    <w:rsid w:val="65E43670"/>
    <w:rsid w:val="66AC290C"/>
    <w:rsid w:val="69B2727C"/>
    <w:rsid w:val="69CB1261"/>
    <w:rsid w:val="6B6F1AEA"/>
    <w:rsid w:val="6DD74B9D"/>
    <w:rsid w:val="6DFBCD08"/>
    <w:rsid w:val="6EEE2A32"/>
    <w:rsid w:val="6F671600"/>
    <w:rsid w:val="6FDD7827"/>
    <w:rsid w:val="71D4D2A0"/>
    <w:rsid w:val="720A1363"/>
    <w:rsid w:val="74BA691F"/>
    <w:rsid w:val="74D8B0F8"/>
    <w:rsid w:val="753938CD"/>
    <w:rsid w:val="75FDA540"/>
    <w:rsid w:val="75FF2F86"/>
    <w:rsid w:val="794859DE"/>
    <w:rsid w:val="7A010931"/>
    <w:rsid w:val="7BD427A0"/>
    <w:rsid w:val="7C804BBD"/>
    <w:rsid w:val="7D79C22C"/>
    <w:rsid w:val="7F3F3E67"/>
    <w:rsid w:val="7F6D1472"/>
    <w:rsid w:val="7F7E0C4C"/>
    <w:rsid w:val="7FAF10F5"/>
    <w:rsid w:val="7FBBF40B"/>
    <w:rsid w:val="7FD19487"/>
    <w:rsid w:val="BB679970"/>
    <w:rsid w:val="BFDBDDC5"/>
    <w:rsid w:val="C9BAD826"/>
    <w:rsid w:val="D7F158F3"/>
    <w:rsid w:val="DBDF0DDE"/>
    <w:rsid w:val="DDFFF139"/>
    <w:rsid w:val="E33D528A"/>
    <w:rsid w:val="E3A39137"/>
    <w:rsid w:val="ECF74C8D"/>
    <w:rsid w:val="EF7D5941"/>
    <w:rsid w:val="F43BF78F"/>
    <w:rsid w:val="F677018C"/>
    <w:rsid w:val="FBBFF20A"/>
    <w:rsid w:val="FBF7BC10"/>
    <w:rsid w:val="FDA376F8"/>
    <w:rsid w:val="FDDD1930"/>
    <w:rsid w:val="FDF7C689"/>
    <w:rsid w:val="FDFFAFE4"/>
    <w:rsid w:val="FEF61A32"/>
    <w:rsid w:val="FEFF1C33"/>
    <w:rsid w:val="FF7F289D"/>
    <w:rsid w:val="FF7F6D39"/>
    <w:rsid w:val="FFF69954"/>
    <w:rsid w:val="FFFC6546"/>
    <w:rsid w:val="FFFFF1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7"/>
    <w:unhideWhenUsed/>
    <w:qFormat/>
    <w:uiPriority w:val="99"/>
  </w:style>
  <w:style w:type="paragraph" w:styleId="3">
    <w:name w:val="Balloon Text"/>
    <w:basedOn w:val="1"/>
    <w:link w:val="15"/>
    <w:qFormat/>
    <w:uiPriority w:val="0"/>
    <w:rPr>
      <w:sz w:val="18"/>
      <w:szCs w:val="18"/>
    </w:rPr>
  </w:style>
  <w:style w:type="paragraph" w:styleId="4">
    <w:name w:val="footer"/>
    <w:basedOn w:val="1"/>
    <w:link w:val="14"/>
    <w:qFormat/>
    <w:uiPriority w:val="99"/>
    <w:pPr>
      <w:tabs>
        <w:tab w:val="center" w:pos="4153"/>
        <w:tab w:val="right" w:pos="8306"/>
      </w:tabs>
      <w:snapToGrid w:val="0"/>
    </w:pPr>
    <w:rPr>
      <w:sz w:val="18"/>
      <w:szCs w:val="18"/>
    </w:rPr>
  </w:style>
  <w:style w:type="paragraph" w:styleId="5">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0"/>
    <w:pPr>
      <w:spacing w:beforeAutospacing="1" w:afterAutospacing="1"/>
    </w:pPr>
    <w:rPr>
      <w:rFonts w:cs="Times New Roman"/>
    </w:rPr>
  </w:style>
  <w:style w:type="paragraph" w:styleId="7">
    <w:name w:val="annotation subject"/>
    <w:basedOn w:val="2"/>
    <w:next w:val="2"/>
    <w:link w:val="18"/>
    <w:semiHidden/>
    <w:unhideWhenUsed/>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unhideWhenUsed/>
    <w:uiPriority w:val="0"/>
    <w:rPr>
      <w:color w:val="0000FF" w:themeColor="hyperlink"/>
      <w:u w:val="single"/>
      <w14:textFill>
        <w14:solidFill>
          <w14:schemeClr w14:val="hlink"/>
        </w14:solidFill>
      </w14:textFill>
    </w:rPr>
  </w:style>
  <w:style w:type="character" w:styleId="12">
    <w:name w:val="annotation reference"/>
    <w:basedOn w:val="10"/>
    <w:semiHidden/>
    <w:unhideWhenUsed/>
    <w:qFormat/>
    <w:uiPriority w:val="0"/>
    <w:rPr>
      <w:sz w:val="21"/>
      <w:szCs w:val="21"/>
    </w:rPr>
  </w:style>
  <w:style w:type="character" w:customStyle="1" w:styleId="13">
    <w:name w:val="页眉 Char"/>
    <w:link w:val="5"/>
    <w:qFormat/>
    <w:uiPriority w:val="99"/>
    <w:rPr>
      <w:rFonts w:ascii="宋体" w:hAnsi="宋体" w:eastAsia="宋体" w:cs="宋体"/>
      <w:sz w:val="18"/>
      <w:szCs w:val="18"/>
    </w:rPr>
  </w:style>
  <w:style w:type="character" w:customStyle="1" w:styleId="14">
    <w:name w:val="页脚 Char"/>
    <w:link w:val="4"/>
    <w:qFormat/>
    <w:uiPriority w:val="99"/>
    <w:rPr>
      <w:rFonts w:ascii="宋体" w:hAnsi="宋体" w:eastAsia="宋体" w:cs="宋体"/>
      <w:sz w:val="18"/>
      <w:szCs w:val="18"/>
    </w:rPr>
  </w:style>
  <w:style w:type="character" w:customStyle="1" w:styleId="15">
    <w:name w:val="批注框文本 Char"/>
    <w:link w:val="3"/>
    <w:qFormat/>
    <w:uiPriority w:val="0"/>
    <w:rPr>
      <w:rFonts w:ascii="宋体" w:hAnsi="宋体" w:eastAsia="宋体" w:cs="宋体"/>
      <w:sz w:val="18"/>
      <w:szCs w:val="18"/>
    </w:rPr>
  </w:style>
  <w:style w:type="paragraph" w:customStyle="1" w:styleId="16">
    <w:name w:val="普通(网站)1"/>
    <w:basedOn w:val="1"/>
    <w:qFormat/>
    <w:uiPriority w:val="0"/>
    <w:pPr>
      <w:spacing w:before="100" w:beforeAutospacing="1" w:after="100" w:afterAutospacing="1"/>
    </w:pPr>
  </w:style>
  <w:style w:type="character" w:customStyle="1" w:styleId="17">
    <w:name w:val="批注文字 Char"/>
    <w:basedOn w:val="10"/>
    <w:link w:val="2"/>
    <w:qFormat/>
    <w:uiPriority w:val="99"/>
    <w:rPr>
      <w:rFonts w:ascii="宋体" w:hAnsi="宋体" w:cs="宋体"/>
      <w:sz w:val="24"/>
      <w:szCs w:val="24"/>
    </w:rPr>
  </w:style>
  <w:style w:type="character" w:customStyle="1" w:styleId="18">
    <w:name w:val="批注主题 Char"/>
    <w:basedOn w:val="17"/>
    <w:link w:val="7"/>
    <w:semiHidden/>
    <w:qFormat/>
    <w:uiPriority w:val="0"/>
    <w:rPr>
      <w:rFonts w:ascii="宋体" w:hAnsi="宋体" w:cs="宋体"/>
      <w:b/>
      <w:bCs/>
      <w:sz w:val="24"/>
      <w:szCs w:val="24"/>
    </w:rPr>
  </w:style>
  <w:style w:type="paragraph" w:styleId="19">
    <w:name w:val="List Paragraph"/>
    <w:basedOn w:val="1"/>
    <w:qFormat/>
    <w:uiPriority w:val="34"/>
    <w:pPr>
      <w:ind w:firstLine="420" w:firstLineChars="200"/>
    </w:pPr>
  </w:style>
  <w:style w:type="paragraph" w:customStyle="1" w:styleId="20">
    <w:name w:val="修订1"/>
    <w:hidden/>
    <w:semiHidden/>
    <w:qFormat/>
    <w:uiPriority w:val="99"/>
    <w:rPr>
      <w:rFonts w:ascii="宋体" w:hAnsi="宋体" w:eastAsia="宋体" w:cs="宋体"/>
      <w:sz w:val="24"/>
      <w:szCs w:val="24"/>
      <w:lang w:val="en-US" w:eastAsia="zh-CN" w:bidi="ar-SA"/>
    </w:rPr>
  </w:style>
  <w:style w:type="paragraph" w:customStyle="1" w:styleId="21">
    <w:name w:val="修订2"/>
    <w:hidden/>
    <w:semiHidden/>
    <w:qFormat/>
    <w:uiPriority w:val="99"/>
    <w:rPr>
      <w:rFonts w:ascii="宋体" w:hAnsi="宋体" w:eastAsia="宋体" w:cs="宋体"/>
      <w:sz w:val="24"/>
      <w:szCs w:val="24"/>
      <w:lang w:val="en-US" w:eastAsia="zh-CN" w:bidi="ar-SA"/>
    </w:rPr>
  </w:style>
  <w:style w:type="paragraph" w:customStyle="1" w:styleId="22">
    <w:name w:val="Char Char"/>
    <w:basedOn w:val="1"/>
    <w:qFormat/>
    <w:uiPriority w:val="0"/>
    <w:pPr>
      <w:widowControl w:val="0"/>
      <w:jc w:val="both"/>
    </w:pPr>
    <w:rPr>
      <w:rFonts w:ascii="Times New Roman" w:hAnsi="Times New Roman" w:cs="Times New Roman"/>
      <w:kern w:val="2"/>
      <w:sz w:val="21"/>
      <w:szCs w:val="20"/>
    </w:rPr>
  </w:style>
  <w:style w:type="paragraph" w:customStyle="1" w:styleId="23">
    <w:name w:val="正文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24">
    <w:name w:val="正文 New New New New New New New New New New New"/>
    <w:qFormat/>
    <w:uiPriority w:val="0"/>
    <w:pPr>
      <w:autoSpaceDE w:val="0"/>
      <w:autoSpaceDN w:val="0"/>
      <w:adjustRightInd w:val="0"/>
    </w:pPr>
    <w:rPr>
      <w:rFonts w:ascii="宋体" w:hAnsi="Times New Roman" w:eastAsia="宋体" w:cs="Times New Roman"/>
      <w:lang w:val="en-US" w:eastAsia="zh-CN" w:bidi="ar-SA"/>
    </w:rPr>
  </w:style>
  <w:style w:type="paragraph" w:customStyle="1" w:styleId="25">
    <w:name w:val="修订3"/>
    <w:hidden/>
    <w:semiHidden/>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citicbank</Company>
  <Pages>38</Pages>
  <Words>39678</Words>
  <Characters>43406</Characters>
  <Lines>247</Lines>
  <Paragraphs>69</Paragraphs>
  <TotalTime>2</TotalTime>
  <ScaleCrop>false</ScaleCrop>
  <LinksUpToDate>false</LinksUpToDate>
  <CharactersWithSpaces>43766</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2024-05-26T00:10:00Z</dcterms:created>
  <dc:creator>王晓明</dc:creator>
  <cp:lastModifiedBy>ynjr_zhangguoyou</cp:lastModifiedBy>
  <cp:lastPrinted>2025-10-28T07:40:00Z</cp:lastPrinted>
  <dcterms:modified xsi:type="dcterms:W3CDTF">2025-11-13T08:56:50Z</dcterms:modified>
  <dc:title>产品说明书</dc:title>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8BF2B1701AE2498E5DCE0F67A2B84A9C_43</vt:lpwstr>
  </property>
</Properties>
</file>