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sz w:val="28"/>
          <w:szCs w:val="28"/>
        </w:rPr>
      </w:pPr>
      <w:r>
        <w:rPr>
          <w:rFonts w:hint="eastAsia"/>
          <w:sz w:val="28"/>
          <w:szCs w:val="28"/>
        </w:rPr>
        <w:t>合同编号：（              ）号</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rPr>
          <w:rStyle w:val="11"/>
        </w:rPr>
      </w:pPr>
      <w:r>
        <w:rPr>
          <w:rFonts w:hint="eastAsia"/>
          <w:sz w:val="52"/>
          <w:szCs w:val="52"/>
        </w:rPr>
        <w:t>【</w:t>
      </w:r>
      <w:r>
        <w:rPr>
          <w:rFonts w:hint="eastAsia"/>
          <w:sz w:val="52"/>
          <w:szCs w:val="52"/>
          <w:lang w:val="en-US" w:eastAsia="zh-CN"/>
        </w:rPr>
        <w:t>江苏如东农村商业银行</w:t>
      </w:r>
      <w:r>
        <w:rPr>
          <w:rFonts w:hint="eastAsia"/>
          <w:sz w:val="52"/>
          <w:szCs w:val="52"/>
        </w:rPr>
        <w:t>】</w:t>
      </w:r>
    </w:p>
    <w:p>
      <w:pPr>
        <w:jc w:val="center"/>
        <w:rPr>
          <w:sz w:val="52"/>
          <w:szCs w:val="52"/>
        </w:rPr>
      </w:pPr>
      <w:r>
        <w:rPr>
          <w:rFonts w:hint="eastAsia"/>
          <w:sz w:val="52"/>
          <w:szCs w:val="52"/>
        </w:rPr>
        <w:t>代理销售理财产品总协议</w:t>
      </w:r>
    </w:p>
    <w:p>
      <w:pPr>
        <w:jc w:val="center"/>
        <w:rPr>
          <w:rFonts w:ascii="仿宋" w:hAnsi="仿宋" w:eastAsia="仿宋" w:cs="仿宋"/>
          <w:sz w:val="28"/>
          <w:szCs w:val="28"/>
        </w:rPr>
      </w:pPr>
      <w:r>
        <w:rPr>
          <w:rFonts w:hint="eastAsia" w:ascii="仿宋" w:hAnsi="仿宋" w:eastAsia="仿宋" w:cs="仿宋"/>
          <w:sz w:val="28"/>
          <w:szCs w:val="28"/>
        </w:rPr>
        <w:t>（1.0版，2023年）</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
    <w:p/>
    <w:p>
      <w:pPr>
        <w:jc w:val="center"/>
        <w:rPr>
          <w:sz w:val="28"/>
          <w:szCs w:val="28"/>
        </w:rPr>
      </w:pPr>
    </w:p>
    <w:p>
      <w:pPr>
        <w:jc w:val="center"/>
        <w:rPr>
          <w:sz w:val="28"/>
          <w:szCs w:val="28"/>
        </w:rPr>
      </w:pPr>
      <w:r>
        <w:rPr>
          <w:rFonts w:hint="eastAsia"/>
          <w:sz w:val="28"/>
          <w:szCs w:val="28"/>
        </w:rPr>
        <w:t>理财非存款、产品有风险、投资须谨慎</w:t>
      </w:r>
    </w:p>
    <w:tbl>
      <w:tblPr>
        <w:tblStyle w:val="9"/>
        <w:tblW w:w="5000" w:type="pct"/>
        <w:tblInd w:w="0" w:type="dxa"/>
        <w:tblLayout w:type="fixed"/>
        <w:tblCellMar>
          <w:top w:w="0" w:type="dxa"/>
          <w:left w:w="108" w:type="dxa"/>
          <w:bottom w:w="0" w:type="dxa"/>
          <w:right w:w="108" w:type="dxa"/>
        </w:tblCellMar>
      </w:tblPr>
      <w:tblGrid>
        <w:gridCol w:w="1269"/>
        <w:gridCol w:w="1109"/>
        <w:gridCol w:w="1244"/>
        <w:gridCol w:w="1634"/>
        <w:gridCol w:w="1259"/>
        <w:gridCol w:w="2006"/>
      </w:tblGrid>
      <w:tr>
        <w:tblPrEx>
          <w:tblCellMar>
            <w:top w:w="0" w:type="dxa"/>
            <w:left w:w="108" w:type="dxa"/>
            <w:bottom w:w="0" w:type="dxa"/>
            <w:right w:w="108" w:type="dxa"/>
          </w:tblCellMar>
        </w:tblPrEx>
        <w:trPr>
          <w:trHeight w:val="468" w:hRule="atLeast"/>
        </w:trPr>
        <w:tc>
          <w:tcPr>
            <w:tcW w:w="5000" w:type="pct"/>
            <w:gridSpan w:val="6"/>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lang w:bidi="ar"/>
              </w:rPr>
              <w:t>信息栏</w:t>
            </w:r>
          </w:p>
        </w:tc>
      </w:tr>
      <w:tr>
        <w:tblPrEx>
          <w:tblCellMar>
            <w:top w:w="0" w:type="dxa"/>
            <w:left w:w="108" w:type="dxa"/>
            <w:bottom w:w="0" w:type="dxa"/>
            <w:right w:w="108" w:type="dxa"/>
          </w:tblCellMar>
        </w:tblPrEx>
        <w:trPr>
          <w:trHeight w:val="468" w:hRule="atLeast"/>
        </w:trPr>
        <w:tc>
          <w:tcPr>
            <w:tcW w:w="5000" w:type="pct"/>
            <w:gridSpan w:val="6"/>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cs="宋体" w:asciiTheme="minorEastAsia" w:hAnsiTheme="minorEastAsia"/>
                <w:color w:val="000000"/>
                <w:szCs w:val="21"/>
              </w:rPr>
            </w:pPr>
          </w:p>
        </w:tc>
      </w:tr>
      <w:tr>
        <w:tblPrEx>
          <w:tblCellMar>
            <w:top w:w="0" w:type="dxa"/>
            <w:left w:w="108" w:type="dxa"/>
            <w:bottom w:w="0" w:type="dxa"/>
            <w:right w:w="108" w:type="dxa"/>
          </w:tblCellMar>
        </w:tblPrEx>
        <w:trPr>
          <w:trHeight w:val="340" w:hRule="atLeast"/>
        </w:trPr>
        <w:tc>
          <w:tcPr>
            <w:tcW w:w="7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投资者信息</w:t>
            </w:r>
          </w:p>
        </w:tc>
        <w:tc>
          <w:tcPr>
            <w:tcW w:w="65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个人投资者适用</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姓名</w:t>
            </w:r>
          </w:p>
        </w:tc>
        <w:tc>
          <w:tcPr>
            <w:tcW w:w="287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34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65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证件类型</w:t>
            </w:r>
          </w:p>
        </w:tc>
        <w:tc>
          <w:tcPr>
            <w:tcW w:w="9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证件号码</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34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65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联系电话</w:t>
            </w:r>
          </w:p>
        </w:tc>
        <w:tc>
          <w:tcPr>
            <w:tcW w:w="9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电子邮箱</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34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65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联系</w:t>
            </w:r>
            <w:r>
              <w:rPr>
                <w:rFonts w:hint="eastAsia" w:cs="宋体" w:asciiTheme="minorEastAsia" w:hAnsiTheme="minorEastAsia"/>
                <w:color w:val="000000"/>
                <w:kern w:val="0"/>
                <w:sz w:val="24"/>
                <w:szCs w:val="24"/>
                <w:lang w:bidi="ar"/>
              </w:rPr>
              <w:t>地址</w:t>
            </w:r>
          </w:p>
        </w:tc>
        <w:tc>
          <w:tcPr>
            <w:tcW w:w="287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34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65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邮政编码</w:t>
            </w:r>
          </w:p>
        </w:tc>
        <w:tc>
          <w:tcPr>
            <w:tcW w:w="287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34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65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机构投资者适用</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机构名称</w:t>
            </w:r>
          </w:p>
        </w:tc>
        <w:tc>
          <w:tcPr>
            <w:tcW w:w="287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34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65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证件类型</w:t>
            </w:r>
          </w:p>
        </w:tc>
        <w:tc>
          <w:tcPr>
            <w:tcW w:w="9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证件号码</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34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65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法定代表人</w:t>
            </w:r>
          </w:p>
        </w:tc>
        <w:tc>
          <w:tcPr>
            <w:tcW w:w="287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34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65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联系电话</w:t>
            </w:r>
          </w:p>
        </w:tc>
        <w:tc>
          <w:tcPr>
            <w:tcW w:w="9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电子邮箱</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34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65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联系地址</w:t>
            </w:r>
          </w:p>
        </w:tc>
        <w:tc>
          <w:tcPr>
            <w:tcW w:w="2875" w:type="pct"/>
            <w:gridSpan w:val="3"/>
            <w:tcBorders>
              <w:top w:val="single" w:color="000000" w:sz="4" w:space="0"/>
              <w:left w:val="single" w:color="000000" w:sz="4" w:space="0"/>
              <w:bottom w:val="single" w:color="000000" w:sz="4" w:space="0"/>
              <w:right w:val="single" w:color="auto"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34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65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邮政编码</w:t>
            </w:r>
          </w:p>
        </w:tc>
        <w:tc>
          <w:tcPr>
            <w:tcW w:w="1"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340"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468" w:hRule="atLeast"/>
        </w:trPr>
        <w:tc>
          <w:tcPr>
            <w:tcW w:w="7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销售机构信息</w:t>
            </w:r>
          </w:p>
        </w:tc>
        <w:tc>
          <w:tcPr>
            <w:tcW w:w="65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销售性质</w:t>
            </w:r>
          </w:p>
        </w:tc>
        <w:tc>
          <w:tcPr>
            <w:tcW w:w="3605"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代销：代理销售机构销售</w:t>
            </w:r>
          </w:p>
        </w:tc>
      </w:tr>
      <w:tr>
        <w:tblPrEx>
          <w:tblCellMar>
            <w:top w:w="0" w:type="dxa"/>
            <w:left w:w="108" w:type="dxa"/>
            <w:bottom w:w="0" w:type="dxa"/>
            <w:right w:w="108" w:type="dxa"/>
          </w:tblCellMar>
        </w:tblPrEx>
        <w:trPr>
          <w:trHeight w:val="468"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6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cs="宋体" w:asciiTheme="minorEastAsia" w:hAnsiTheme="minorEastAsia"/>
                <w:color w:val="000000"/>
                <w:kern w:val="0"/>
                <w:szCs w:val="21"/>
                <w:lang w:bidi="ar"/>
              </w:rPr>
            </w:pPr>
          </w:p>
        </w:tc>
        <w:tc>
          <w:tcPr>
            <w:tcW w:w="3605"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34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6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机构名称</w:t>
            </w:r>
          </w:p>
        </w:tc>
        <w:tc>
          <w:tcPr>
            <w:tcW w:w="3605"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default" w:cs="宋体" w:asciiTheme="minorEastAsia" w:hAnsiTheme="minorEastAsia" w:eastAsiaTheme="minorEastAsia"/>
                <w:color w:val="000000"/>
                <w:kern w:val="0"/>
                <w:szCs w:val="21"/>
                <w:lang w:val="en-US" w:eastAsia="zh-CN" w:bidi="ar"/>
              </w:rPr>
            </w:pPr>
            <w:r>
              <w:rPr>
                <w:rFonts w:hint="eastAsia" w:cs="宋体" w:asciiTheme="minorEastAsia" w:hAnsiTheme="minorEastAsia"/>
                <w:color w:val="000000"/>
                <w:kern w:val="0"/>
                <w:szCs w:val="21"/>
                <w:lang w:val="en-US" w:eastAsia="zh-CN" w:bidi="ar"/>
              </w:rPr>
              <w:t>江苏如东农村商业银行股份有限公司</w:t>
            </w:r>
          </w:p>
        </w:tc>
      </w:tr>
      <w:tr>
        <w:tblPrEx>
          <w:tblCellMar>
            <w:top w:w="0" w:type="dxa"/>
            <w:left w:w="108" w:type="dxa"/>
            <w:bottom w:w="0" w:type="dxa"/>
            <w:right w:w="108" w:type="dxa"/>
          </w:tblCellMar>
        </w:tblPrEx>
        <w:trPr>
          <w:trHeight w:val="34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6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机构简介</w:t>
            </w:r>
          </w:p>
        </w:tc>
        <w:tc>
          <w:tcPr>
            <w:tcW w:w="3605"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180"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468" w:hRule="atLeast"/>
        </w:trPr>
        <w:tc>
          <w:tcPr>
            <w:tcW w:w="7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理财产品指定账户信息</w:t>
            </w:r>
          </w:p>
        </w:tc>
        <w:tc>
          <w:tcPr>
            <w:tcW w:w="4256" w:type="pct"/>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投资者在销售机构开立理财卡结算账户或存折结算账户（以下简称“指定账户”），用于本产品的资金划转及产品分配，账号：【】。</w:t>
            </w:r>
          </w:p>
        </w:tc>
      </w:tr>
      <w:tr>
        <w:tblPrEx>
          <w:tblCellMar>
            <w:top w:w="0" w:type="dxa"/>
            <w:left w:w="108" w:type="dxa"/>
            <w:bottom w:w="0" w:type="dxa"/>
            <w:right w:w="108" w:type="dxa"/>
          </w:tblCellMar>
        </w:tblPrEx>
        <w:trPr>
          <w:trHeight w:val="42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4256"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2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4256"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r>
    </w:tbl>
    <w:p>
      <w:r>
        <w:br w:type="page"/>
      </w:r>
    </w:p>
    <w:p>
      <w:pPr>
        <w:spacing w:line="360" w:lineRule="auto"/>
        <w:ind w:firstLine="420" w:firstLineChars="200"/>
        <w:rPr>
          <w:rFonts w:asciiTheme="minorEastAsia" w:hAnsiTheme="minorEastAsia"/>
          <w:szCs w:val="21"/>
        </w:rPr>
      </w:pPr>
      <w:r>
        <w:rPr>
          <w:rFonts w:hint="eastAsia" w:asciiTheme="minorEastAsia" w:hAnsiTheme="minorEastAsia"/>
          <w:szCs w:val="21"/>
        </w:rPr>
        <w:t>《【</w:t>
      </w:r>
      <w:r>
        <w:rPr>
          <w:rFonts w:hint="eastAsia" w:asciiTheme="minorEastAsia" w:hAnsiTheme="minorEastAsia"/>
          <w:szCs w:val="21"/>
          <w:lang w:val="en-US" w:eastAsia="zh-CN"/>
        </w:rPr>
        <w:t>江苏如东农村商业银行</w:t>
      </w:r>
      <w:r>
        <w:rPr>
          <w:rFonts w:hint="eastAsia" w:asciiTheme="minorEastAsia" w:hAnsiTheme="minorEastAsia"/>
          <w:szCs w:val="21"/>
        </w:rPr>
        <w:t>】代理销售理财产品总协议》（含客户权益须知，以下简称“本协议”）为投资者（下称“甲方”）购买销售机构（下称“乙方”）代理销售的信银理财有限责任公司（即“产品管理人”）管理的理财产品之总协议书。本协议一经签署即长期有效，除非双方经协商一致另行书面签订了新的替代协议或变更协议。在本协议有效期内，甲方在乙方及其所有分支机构或电子渠道（包括但不限于APP、网上银行、手机银行、电话银行等，下同）购买乙方代销的信银理财理财产品的，均受本协议约束，均为本协议项下的具体业务。</w:t>
      </w:r>
    </w:p>
    <w:p>
      <w:pPr>
        <w:spacing w:line="360" w:lineRule="auto"/>
        <w:ind w:firstLine="420" w:firstLineChars="200"/>
        <w:rPr>
          <w:rFonts w:asciiTheme="minorEastAsia" w:hAnsiTheme="minorEastAsia"/>
          <w:szCs w:val="21"/>
        </w:rPr>
      </w:pPr>
      <w:r>
        <w:rPr>
          <w:rFonts w:hint="eastAsia" w:asciiTheme="minorEastAsia" w:hAnsiTheme="minorEastAsia"/>
          <w:szCs w:val="21"/>
        </w:rPr>
        <w:t>甲方通过乙方购买乙方代销的任意一款信银理财理财产品的，还需另行签署（或通过乙方电子渠道确认同意）与该款理财产品相关的《理财产品投资协议书》（以下简称“投资协议书”）《理财产品说明书》（以下简称“产品说明书”）、《理财产品风险揭示书》（以下简称“风险揭示书”）、《理财业务交易申请表》（仅线下营业场所交易时需要，以下简称“交易申请表”）等其他销售文件。本协议与其他销售文件构成完整不可分割的整体，且每一款理财产品的产品说明书、风险揭示书等与本协议构成一份独立的销售文件，该理财产品的销售文件的效力和履行情况均独立于其他理财产品的销售文件。</w:t>
      </w:r>
    </w:p>
    <w:p>
      <w:pPr>
        <w:spacing w:line="360" w:lineRule="auto"/>
        <w:ind w:firstLine="420" w:firstLineChars="200"/>
        <w:rPr>
          <w:rFonts w:asciiTheme="minorEastAsia" w:hAnsiTheme="minorEastAsia"/>
          <w:szCs w:val="21"/>
        </w:rPr>
      </w:pPr>
      <w:r>
        <w:rPr>
          <w:rFonts w:hint="eastAsia" w:asciiTheme="minorEastAsia" w:hAnsiTheme="minorEastAsia"/>
          <w:szCs w:val="21"/>
        </w:rPr>
        <w:t>甲乙双方经友好协商，本着平等自愿、诚实信用的原则，达成协议如下：</w:t>
      </w:r>
    </w:p>
    <w:p>
      <w:pPr>
        <w:spacing w:line="360" w:lineRule="auto"/>
        <w:ind w:firstLine="422" w:firstLineChars="200"/>
        <w:rPr>
          <w:rFonts w:asciiTheme="minorEastAsia" w:hAnsiTheme="minorEastAsia"/>
          <w:b/>
          <w:szCs w:val="21"/>
        </w:rPr>
      </w:pPr>
      <w:r>
        <w:rPr>
          <w:rFonts w:hint="eastAsia" w:asciiTheme="minorEastAsia" w:hAnsiTheme="minorEastAsia"/>
          <w:b/>
          <w:szCs w:val="21"/>
        </w:rPr>
        <w:t>一、乙方的销售性质</w:t>
      </w:r>
    </w:p>
    <w:p>
      <w:pPr>
        <w:spacing w:line="360" w:lineRule="auto"/>
        <w:ind w:firstLine="420" w:firstLineChars="200"/>
        <w:rPr>
          <w:rFonts w:asciiTheme="minorEastAsia" w:hAnsiTheme="minorEastAsia"/>
          <w:szCs w:val="21"/>
        </w:rPr>
      </w:pPr>
      <w:r>
        <w:rPr>
          <w:rFonts w:hint="eastAsia" w:asciiTheme="minorEastAsia" w:hAnsiTheme="minorEastAsia"/>
          <w:szCs w:val="21"/>
        </w:rPr>
        <w:t>理财产品非乙方所发行的理财产品，乙方仅作为理财产品的代理销售机构，非理财产品管理人，对理财产品的业绩不承担任何保证和其他经济责任，不承担理财产品的投资、分配和风险管理责任。乙方受理的销售理财产品业务申请，以产品管理人的最终确认结果为准。</w:t>
      </w:r>
    </w:p>
    <w:p>
      <w:pPr>
        <w:spacing w:line="360" w:lineRule="auto"/>
        <w:ind w:firstLine="422" w:firstLineChars="200"/>
        <w:rPr>
          <w:rFonts w:asciiTheme="minorEastAsia" w:hAnsiTheme="minorEastAsia"/>
          <w:b/>
          <w:szCs w:val="21"/>
        </w:rPr>
      </w:pPr>
      <w:r>
        <w:rPr>
          <w:rFonts w:hint="eastAsia" w:asciiTheme="minorEastAsia" w:hAnsiTheme="minorEastAsia"/>
          <w:b/>
          <w:szCs w:val="21"/>
        </w:rPr>
        <w:t>二、理财产品风险提示</w:t>
      </w:r>
    </w:p>
    <w:p>
      <w:pPr>
        <w:spacing w:line="360" w:lineRule="auto"/>
        <w:ind w:firstLine="420" w:firstLineChars="200"/>
        <w:rPr>
          <w:rFonts w:asciiTheme="minorEastAsia" w:hAnsiTheme="minorEastAsia"/>
          <w:szCs w:val="21"/>
        </w:rPr>
      </w:pPr>
      <w:r>
        <w:rPr>
          <w:rFonts w:hint="eastAsia" w:asciiTheme="minorEastAsia" w:hAnsiTheme="minorEastAsia"/>
          <w:szCs w:val="21"/>
        </w:rPr>
        <w:t>1.投资理财产品可能面临包括但不限于信用风险、市场风险、流动性风险、提前终止风险、政策风险、信息传递风险、管理风险、延期清算风险、理财产品不成立风险、不可抗力及意外事件风险、理财本金全部损失风险、合作销售机构（代销机构）风险、操作风险、关联交易风险，具体风险由理财产品管理人在具体理财产品的产品说明书中揭示。投资者应仔细阅读并充分理解与具体理财产品相关的投资协议书、产品说明书、风险揭示书等文件，以理解理财产品关键条款和面临的主要风险。</w:t>
      </w:r>
    </w:p>
    <w:p>
      <w:pPr>
        <w:spacing w:line="360" w:lineRule="auto"/>
        <w:ind w:firstLine="420" w:firstLineChars="200"/>
        <w:rPr>
          <w:rFonts w:asciiTheme="minorEastAsia" w:hAnsiTheme="minorEastAsia"/>
          <w:szCs w:val="21"/>
        </w:rPr>
      </w:pPr>
      <w:r>
        <w:rPr>
          <w:rFonts w:hint="eastAsia" w:asciiTheme="minorEastAsia" w:hAnsiTheme="minorEastAsia"/>
          <w:szCs w:val="21"/>
        </w:rPr>
        <w:t>2.根据理财产品投资范围、风险收益特点、流动性等不同因素，</w:t>
      </w:r>
      <w:r>
        <w:rPr>
          <w:rFonts w:hint="eastAsia" w:asciiTheme="minorEastAsia" w:hAnsiTheme="minorEastAsia"/>
          <w:szCs w:val="21"/>
          <w:highlight w:val="none"/>
          <w:shd w:val="clear"/>
        </w:rPr>
        <w:t>乙方作为销售机构将理财产品分为【</w:t>
      </w:r>
      <w:r>
        <w:rPr>
          <w:rFonts w:hint="eastAsia" w:asciiTheme="minorEastAsia" w:hAnsiTheme="minorEastAsia"/>
          <w:szCs w:val="21"/>
          <w:highlight w:val="none"/>
          <w:shd w:val="clear"/>
          <w:lang w:val="en-US" w:eastAsia="zh-CN"/>
        </w:rPr>
        <w:t>5</w:t>
      </w:r>
      <w:r>
        <w:rPr>
          <w:rFonts w:hint="eastAsia" w:asciiTheme="minorEastAsia" w:hAnsiTheme="minorEastAsia"/>
          <w:szCs w:val="21"/>
          <w:highlight w:val="none"/>
          <w:shd w:val="clear"/>
        </w:rPr>
        <w:t>】个风险等级：【</w:t>
      </w:r>
      <w:r>
        <w:rPr>
          <w:rFonts w:hint="eastAsia" w:asciiTheme="minorEastAsia" w:hAnsiTheme="minorEastAsia"/>
          <w:szCs w:val="21"/>
          <w:highlight w:val="none"/>
          <w:shd w:val="clear"/>
          <w:lang w:val="en-US" w:eastAsia="zh-CN"/>
        </w:rPr>
        <w:t>低风险、中低风险、中等风险、中高风险、高风险</w:t>
      </w:r>
      <w:r>
        <w:rPr>
          <w:rFonts w:hint="eastAsia" w:asciiTheme="minorEastAsia" w:hAnsiTheme="minorEastAsia"/>
          <w:szCs w:val="21"/>
          <w:highlight w:val="none"/>
          <w:shd w:val="clear"/>
        </w:rPr>
        <w:t>】</w:t>
      </w:r>
      <w:r>
        <w:rPr>
          <w:rFonts w:hint="eastAsia" w:asciiTheme="minorEastAsia" w:hAnsiTheme="minorEastAsia"/>
          <w:szCs w:val="21"/>
          <w:highlight w:val="none"/>
          <w:shd w:val="clear"/>
          <w:lang w:val="en-US" w:eastAsia="zh-CN"/>
        </w:rPr>
        <w:t>；</w:t>
      </w:r>
      <w:r>
        <w:rPr>
          <w:rFonts w:hint="eastAsia" w:asciiTheme="minorEastAsia" w:hAnsiTheme="minorEastAsia"/>
          <w:szCs w:val="21"/>
          <w:highlight w:val="none"/>
          <w:shd w:val="clear"/>
        </w:rPr>
        <w:t>根据投资者在乙方评估的风险承受能力，乙方将投资者风险承受能力分为【</w:t>
      </w:r>
      <w:r>
        <w:rPr>
          <w:rFonts w:hint="eastAsia" w:asciiTheme="minorEastAsia" w:hAnsiTheme="minorEastAsia"/>
          <w:szCs w:val="21"/>
          <w:highlight w:val="none"/>
          <w:shd w:val="clear"/>
          <w:lang w:val="en-US" w:eastAsia="zh-CN"/>
        </w:rPr>
        <w:t>5</w:t>
      </w:r>
      <w:r>
        <w:rPr>
          <w:rFonts w:hint="eastAsia" w:asciiTheme="minorEastAsia" w:hAnsiTheme="minorEastAsia"/>
          <w:szCs w:val="21"/>
          <w:highlight w:val="none"/>
          <w:shd w:val="clear"/>
        </w:rPr>
        <w:t>】个等级：【</w:t>
      </w:r>
      <w:r>
        <w:rPr>
          <w:rFonts w:hint="eastAsia" w:asciiTheme="minorEastAsia" w:hAnsiTheme="minorEastAsia"/>
          <w:szCs w:val="21"/>
          <w:highlight w:val="none"/>
          <w:shd w:val="clear"/>
          <w:lang w:val="en-US" w:eastAsia="zh-CN"/>
        </w:rPr>
        <w:t>低风险、中低风险、中等风险、中高风险、高风险</w:t>
      </w:r>
      <w:r>
        <w:rPr>
          <w:rFonts w:hint="eastAsia" w:asciiTheme="minorEastAsia" w:hAnsiTheme="minorEastAsia"/>
          <w:szCs w:val="21"/>
          <w:highlight w:val="none"/>
          <w:shd w:val="clear"/>
        </w:rPr>
        <w:t>】。</w:t>
      </w:r>
    </w:p>
    <w:p>
      <w:pPr>
        <w:spacing w:line="360" w:lineRule="auto"/>
        <w:ind w:firstLine="420" w:firstLineChars="200"/>
        <w:rPr>
          <w:rFonts w:asciiTheme="minorEastAsia" w:hAnsiTheme="minorEastAsia"/>
          <w:szCs w:val="21"/>
        </w:rPr>
      </w:pPr>
      <w:r>
        <w:rPr>
          <w:rFonts w:hint="eastAsia" w:asciiTheme="minorEastAsia" w:hAnsiTheme="minorEastAsia"/>
          <w:szCs w:val="21"/>
        </w:rPr>
        <w:t>（1）理财产品评级以乙方披露的评级结果为准。乙方与理财产品管理人对理财产品的风险等级评估结果不一致时，乙方应采用对应较高风险的评级结果。</w:t>
      </w:r>
    </w:p>
    <w:p>
      <w:pPr>
        <w:spacing w:line="360" w:lineRule="auto"/>
        <w:ind w:firstLine="420" w:firstLineChars="200"/>
        <w:rPr>
          <w:rFonts w:asciiTheme="minorEastAsia" w:hAnsiTheme="minorEastAsia"/>
          <w:szCs w:val="21"/>
        </w:rPr>
      </w:pPr>
      <w:r>
        <w:rPr>
          <w:rFonts w:hint="eastAsia" w:asciiTheme="minorEastAsia" w:hAnsiTheme="minorEastAsia"/>
          <w:szCs w:val="21"/>
        </w:rPr>
        <w:t>（2）投资者风险承受能力等级为销售机构对投资者的风险承受能力进行评价的结果。</w:t>
      </w:r>
    </w:p>
    <w:p>
      <w:pPr>
        <w:spacing w:line="360" w:lineRule="auto"/>
        <w:ind w:firstLine="420" w:firstLineChars="200"/>
        <w:rPr>
          <w:rFonts w:asciiTheme="minorEastAsia" w:hAnsiTheme="minorEastAsia"/>
          <w:szCs w:val="21"/>
        </w:rPr>
      </w:pPr>
      <w:r>
        <w:rPr>
          <w:rFonts w:hint="eastAsia" w:asciiTheme="minorEastAsia" w:hAnsiTheme="minorEastAsia"/>
          <w:szCs w:val="21"/>
        </w:rPr>
        <w:t>1）销售机构在销售本产品时，其对投资者风险承受能力等级的划分与表述可能与产品管理人存在差异，以销售机构设置的标准为准。</w:t>
      </w:r>
    </w:p>
    <w:p>
      <w:pPr>
        <w:spacing w:line="360" w:lineRule="auto"/>
        <w:ind w:firstLine="420" w:firstLineChars="200"/>
        <w:rPr>
          <w:rFonts w:asciiTheme="minorEastAsia" w:hAnsiTheme="minorEastAsia"/>
          <w:szCs w:val="21"/>
        </w:rPr>
      </w:pPr>
      <w:r>
        <w:rPr>
          <w:rFonts w:hint="eastAsia" w:asciiTheme="minorEastAsia" w:hAnsiTheme="minorEastAsia"/>
          <w:szCs w:val="21"/>
        </w:rPr>
        <w:t>2）销售机构应以书面的方式向投资者明示其对投资者风险承受能力等级的划分与“适合投资者类型”的表述。</w:t>
      </w:r>
    </w:p>
    <w:p>
      <w:pPr>
        <w:spacing w:line="360" w:lineRule="auto"/>
        <w:ind w:firstLine="420" w:firstLineChars="200"/>
        <w:rPr>
          <w:rFonts w:asciiTheme="minorEastAsia" w:hAnsiTheme="minorEastAsia"/>
          <w:szCs w:val="21"/>
        </w:rPr>
      </w:pPr>
      <w:r>
        <w:rPr>
          <w:rFonts w:hint="eastAsia" w:asciiTheme="minorEastAsia" w:hAnsiTheme="minorEastAsia"/>
          <w:szCs w:val="21"/>
        </w:rPr>
        <w:t>（3）甲方应根据风险承受能力评估结果选择与其风险承受能力相匹配的风险等级的理财产品，不得购买高于甲方风险承受能力的理财产品。</w:t>
      </w:r>
    </w:p>
    <w:p>
      <w:pPr>
        <w:spacing w:line="360" w:lineRule="auto"/>
        <w:ind w:firstLine="420" w:firstLineChars="200"/>
        <w:rPr>
          <w:rFonts w:asciiTheme="minorEastAsia" w:hAnsiTheme="minorEastAsia"/>
          <w:szCs w:val="21"/>
        </w:rPr>
      </w:pPr>
      <w:r>
        <w:rPr>
          <w:rFonts w:hint="eastAsia" w:asciiTheme="minorEastAsia" w:hAnsiTheme="minorEastAsia"/>
          <w:szCs w:val="21"/>
        </w:rPr>
        <w:t>3.甲方购买乙方销售的理财产品前，需通过乙方的线下渠道或线上渠道（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spacing w:line="360" w:lineRule="auto"/>
        <w:ind w:firstLine="422" w:firstLineChars="200"/>
        <w:rPr>
          <w:rFonts w:asciiTheme="minorEastAsia" w:hAnsiTheme="minorEastAsia"/>
          <w:b/>
          <w:szCs w:val="21"/>
        </w:rPr>
      </w:pPr>
      <w:r>
        <w:rPr>
          <w:rFonts w:hint="eastAsia" w:asciiTheme="minorEastAsia" w:hAnsiTheme="minorEastAsia"/>
          <w:b/>
          <w:szCs w:val="21"/>
        </w:rPr>
        <w:t>三、甲方申明</w:t>
      </w:r>
    </w:p>
    <w:p>
      <w:pPr>
        <w:spacing w:line="360" w:lineRule="auto"/>
        <w:ind w:firstLine="420" w:firstLineChars="200"/>
        <w:rPr>
          <w:rFonts w:asciiTheme="minorEastAsia" w:hAnsiTheme="minorEastAsia"/>
          <w:szCs w:val="21"/>
        </w:rPr>
      </w:pPr>
      <w:r>
        <w:rPr>
          <w:rFonts w:hint="eastAsia" w:asciiTheme="minorEastAsia" w:hAnsiTheme="minorEastAsia"/>
          <w:szCs w:val="21"/>
        </w:rPr>
        <w:t>1.（个人投资者适用）甲方应具有完全民事行为能力，具备购买理财产品资格，以其本人所合法持有，并有完全处置权的资金购买理财产品，不存在使用贷款、发行债券等筹集的非自有资金投资的情况，投资行为符合法律法规及相关监管部门的规定。</w:t>
      </w:r>
    </w:p>
    <w:p>
      <w:pPr>
        <w:spacing w:line="360" w:lineRule="auto"/>
        <w:ind w:firstLine="420" w:firstLineChars="200"/>
        <w:rPr>
          <w:rFonts w:hint="eastAsia" w:asciiTheme="minorEastAsia" w:hAnsiTheme="minorEastAsia"/>
          <w:szCs w:val="21"/>
        </w:rPr>
      </w:pPr>
      <w:r>
        <w:rPr>
          <w:rFonts w:hint="eastAsia" w:asciiTheme="minorEastAsia" w:hAnsiTheme="minorEastAsia"/>
          <w:szCs w:val="21"/>
        </w:rPr>
        <w:t>（机构投资者适用）甲方系依据中国法律组建和有效存续的法人或其他组织，具有相应的风险承受能力，甲方已通过必要的行动，获得签署和履行本协议的充分授权；其签署本协议不会违反任何内部规章，或此前其签署的任何协议的约定，亦不会损害任何其他人的合法权益；甲方承诺和保证其理财本金为其依法享有处分权的资金；不存在使用贷款、发行债券等筹集的非自有资金投资的情况，投资行为符合法律法规及相关监管部门的规定。</w:t>
      </w:r>
    </w:p>
    <w:p>
      <w:pPr>
        <w:spacing w:line="360" w:lineRule="auto"/>
        <w:ind w:firstLine="420" w:firstLineChars="200"/>
        <w:rPr>
          <w:rFonts w:asciiTheme="minorEastAsia" w:hAnsiTheme="minorEastAsia"/>
          <w:szCs w:val="21"/>
        </w:rPr>
      </w:pPr>
      <w:r>
        <w:rPr>
          <w:rFonts w:hint="eastAsia" w:asciiTheme="minorEastAsia" w:hAnsiTheme="minorEastAsia"/>
          <w:szCs w:val="21"/>
        </w:rPr>
        <w:t>2.甲方知晓并理解乙方销售的理财产品由产品说明书载明的产品管理人发行与管理，乙方作为代销机构不承担产品的投资、兑付和风险管理责任。</w:t>
      </w:r>
    </w:p>
    <w:p>
      <w:pPr>
        <w:spacing w:line="360" w:lineRule="auto"/>
        <w:ind w:firstLine="420" w:firstLineChars="200"/>
        <w:rPr>
          <w:rFonts w:asciiTheme="minorEastAsia" w:hAnsiTheme="minorEastAsia"/>
          <w:szCs w:val="21"/>
        </w:rPr>
      </w:pPr>
      <w:r>
        <w:rPr>
          <w:rFonts w:hint="eastAsia" w:asciiTheme="minorEastAsia" w:hAnsiTheme="minorEastAsia"/>
          <w:szCs w:val="21"/>
        </w:rPr>
        <w:t>3.甲方通过乙方电子渠道认购理财产品的，同意以乙方留档保存的电子信息交易记录、电话录音等作为双方之间进行相关交易的证据。</w:t>
      </w:r>
    </w:p>
    <w:p>
      <w:pPr>
        <w:spacing w:line="360" w:lineRule="auto"/>
        <w:ind w:firstLine="420" w:firstLineChars="200"/>
        <w:rPr>
          <w:rFonts w:asciiTheme="minorEastAsia" w:hAnsiTheme="minorEastAsia"/>
          <w:szCs w:val="21"/>
        </w:rPr>
      </w:pPr>
      <w:r>
        <w:rPr>
          <w:rFonts w:hint="eastAsia" w:asciiTheme="minorEastAsia" w:hAnsiTheme="minorEastAsia"/>
          <w:szCs w:val="21"/>
        </w:rPr>
        <w:t>4.甲方同意通过乙方电子渠道签订产品说明书、本协议及相关销售文件。甲方通过乙方电子渠道确认同意接受产品说明书、本协议及相关销售文件的，与甲方在纸质产品说明书、本协议及相关销售文件上手写签名具有同等的法律效力。</w:t>
      </w:r>
    </w:p>
    <w:p>
      <w:pPr>
        <w:spacing w:line="360" w:lineRule="auto"/>
        <w:ind w:firstLine="420" w:firstLineChars="200"/>
        <w:rPr>
          <w:rFonts w:asciiTheme="minorEastAsia" w:hAnsiTheme="minorEastAsia"/>
          <w:szCs w:val="21"/>
        </w:rPr>
      </w:pPr>
      <w:r>
        <w:rPr>
          <w:rFonts w:hint="eastAsia" w:asciiTheme="minorEastAsia" w:hAnsiTheme="minorEastAsia"/>
          <w:szCs w:val="21"/>
        </w:rPr>
        <w:t>5.甲方确认，其应向乙方及信银理财真实提供信息，自主作出认（申）购/赎回等决定，独立对销售文件进行签字/盖章确认，自主承担投资风险。甲方拒绝向乙方及信银理财提供或者未按照要求提供必要信息的，乙方及信银理财有权告知投资者相应的后果和责任，并有权拒绝向其提供销售服务。</w:t>
      </w:r>
    </w:p>
    <w:p>
      <w:pPr>
        <w:spacing w:line="360" w:lineRule="auto"/>
        <w:ind w:firstLine="420" w:firstLineChars="200"/>
        <w:rPr>
          <w:rFonts w:asciiTheme="minorEastAsia" w:hAnsiTheme="minorEastAsia"/>
          <w:szCs w:val="21"/>
        </w:rPr>
      </w:pPr>
      <w:r>
        <w:rPr>
          <w:rFonts w:hint="eastAsia" w:asciiTheme="minorEastAsia" w:hAnsiTheme="minorEastAsia"/>
          <w:szCs w:val="21"/>
        </w:rPr>
        <w:t>6.甲方完全理解并接受本协议、产品说明书等相关销售文件的约定,甲方确认乙方已采取合理方式提请投资者注意本协议、风险揭示书、产品说明书及其他销售文件所有免除或限制其责任的条款，并对投资风险予以充分说明。投资者确认理解理财产品将涉及的所有风险，充分了解理财业务的运作规则、协议双方的权利、义务及责任，基于独立的判断作出购买决策，并将承担且有能力承担理财产品全部风险。</w:t>
      </w:r>
    </w:p>
    <w:p>
      <w:pPr>
        <w:spacing w:line="360" w:lineRule="auto"/>
        <w:ind w:firstLine="420" w:firstLineChars="200"/>
        <w:rPr>
          <w:rFonts w:asciiTheme="minorEastAsia" w:hAnsiTheme="minorEastAsia"/>
          <w:szCs w:val="21"/>
        </w:rPr>
      </w:pPr>
      <w:r>
        <w:rPr>
          <w:rFonts w:hint="eastAsia" w:asciiTheme="minorEastAsia" w:hAnsiTheme="minorEastAsia"/>
          <w:szCs w:val="21"/>
        </w:rPr>
        <w:t>7.甲方应遵守中华人民共和国反洗钱法律法规，不参与涉嫌洗钱、恐怖融资、扩散融资等违法犯罪活动。</w:t>
      </w:r>
    </w:p>
    <w:p>
      <w:pPr>
        <w:spacing w:line="360" w:lineRule="auto"/>
        <w:ind w:firstLine="420" w:firstLineChars="200"/>
        <w:rPr>
          <w:rFonts w:asciiTheme="minorEastAsia" w:hAnsiTheme="minorEastAsia"/>
          <w:b/>
          <w:szCs w:val="21"/>
        </w:rPr>
      </w:pPr>
      <w:r>
        <w:rPr>
          <w:rFonts w:hint="eastAsia" w:asciiTheme="minorEastAsia" w:hAnsiTheme="minorEastAsia"/>
          <w:szCs w:val="21"/>
        </w:rPr>
        <w:t>8.</w:t>
      </w:r>
      <w:r>
        <w:rPr>
          <w:rFonts w:hint="eastAsia" w:asciiTheme="minorEastAsia" w:hAnsiTheme="minorEastAsia"/>
          <w:b/>
          <w:szCs w:val="21"/>
        </w:rPr>
        <w:t>甲方同意并授权乙方有权根据甲方所勾选的业务申请类型，并根据业务办理需要、相关监管要求（如反洗钱工作以及非居民金融账户涉税信息尽职调查等）需要，在遵守法律法规及监管规定并基于本业务服务所必须的前提下，收集、调取、存储、使用、传输投资者的个人信息，包括投资者姓名、性别、国籍、职业、地址、联系方式、邮箱、开户留存的有效身份证件或者其他身份证明文件信息、交易记录、数据信息、金融账户、风险承受能力等级信息和其他资料，同时，甲方同意并授权乙方根据相关法律法规、监管规定和业务办理所必需可向产品管理人、产品托管人、监管机构、自律组织、理财登记备案机构、理财快速赎回服务提供方提供前述信息。</w:t>
      </w:r>
    </w:p>
    <w:p>
      <w:pPr>
        <w:spacing w:line="360" w:lineRule="auto"/>
        <w:ind w:firstLine="420" w:firstLineChars="200"/>
        <w:rPr>
          <w:rFonts w:asciiTheme="minorEastAsia" w:hAnsiTheme="minorEastAsia"/>
          <w:szCs w:val="21"/>
        </w:rPr>
      </w:pPr>
      <w:r>
        <w:rPr>
          <w:rFonts w:hint="eastAsia" w:asciiTheme="minorEastAsia" w:hAnsiTheme="minorEastAsia"/>
          <w:szCs w:val="21"/>
        </w:rPr>
        <w:t>9.甲方承诺所提供的所有资料真实、完整、合法、有效，主动配合乙方客户身份识别与尽职调查，如因甲方未按乙方规定提供必要信息，或提供的信息不真实、不准确、不完整，导致无法成功购买理财产品、获得分配资金或产生其他后果和损失的，乙方不承担责任。</w:t>
      </w:r>
    </w:p>
    <w:p>
      <w:pPr>
        <w:spacing w:line="360" w:lineRule="auto"/>
        <w:ind w:firstLine="420" w:firstLineChars="200"/>
        <w:rPr>
          <w:rFonts w:asciiTheme="minorEastAsia" w:hAnsiTheme="minorEastAsia"/>
          <w:szCs w:val="21"/>
        </w:rPr>
      </w:pPr>
      <w:r>
        <w:rPr>
          <w:rFonts w:hint="eastAsia" w:asciiTheme="minorEastAsia" w:hAnsiTheme="minorEastAsia"/>
          <w:szCs w:val="21"/>
        </w:rPr>
        <w:t>资料如有变更，甲方应及时到乙方办理变更手续。若甲方未及时办理相关变更手续，由此导致的一切后果由甲方自行承担，乙方对此不承担任何责任。</w:t>
      </w:r>
    </w:p>
    <w:p>
      <w:pPr>
        <w:spacing w:line="360" w:lineRule="auto"/>
        <w:ind w:firstLine="422" w:firstLineChars="200"/>
        <w:rPr>
          <w:rFonts w:asciiTheme="minorEastAsia" w:hAnsiTheme="minorEastAsia"/>
          <w:b/>
          <w:szCs w:val="21"/>
        </w:rPr>
      </w:pPr>
      <w:r>
        <w:rPr>
          <w:rFonts w:hint="eastAsia" w:asciiTheme="minorEastAsia" w:hAnsiTheme="minorEastAsia"/>
          <w:b/>
          <w:szCs w:val="21"/>
        </w:rPr>
        <w:t>四、双方权利和义务</w:t>
      </w:r>
    </w:p>
    <w:p>
      <w:pPr>
        <w:spacing w:line="360" w:lineRule="auto"/>
        <w:ind w:firstLine="420" w:firstLineChars="200"/>
        <w:rPr>
          <w:rFonts w:asciiTheme="minorEastAsia" w:hAnsiTheme="minorEastAsia"/>
          <w:szCs w:val="21"/>
        </w:rPr>
      </w:pPr>
      <w:r>
        <w:rPr>
          <w:rFonts w:hint="eastAsia" w:asciiTheme="minorEastAsia" w:hAnsiTheme="minorEastAsia"/>
          <w:szCs w:val="21"/>
        </w:rPr>
        <w:t>1.甲方授权乙方，将本协议约定的甲方委托资金在理财产品扣款日扣划并进行归集。</w:t>
      </w:r>
    </w:p>
    <w:p>
      <w:pPr>
        <w:spacing w:line="360" w:lineRule="auto"/>
        <w:ind w:firstLine="420" w:firstLineChars="200"/>
        <w:rPr>
          <w:rFonts w:asciiTheme="minorEastAsia" w:hAnsiTheme="minorEastAsia"/>
          <w:szCs w:val="21"/>
        </w:rPr>
      </w:pPr>
      <w:r>
        <w:rPr>
          <w:rFonts w:hint="eastAsia" w:asciiTheme="minorEastAsia" w:hAnsiTheme="minorEastAsia"/>
          <w:szCs w:val="21"/>
        </w:rPr>
        <w:t>2.在产品认购/申购期内，如因甲方原因导致投资本金不能从其账户足额划转的，甲方对相关理财产品的购买不成功，乙方对此不承担责任。</w:t>
      </w:r>
    </w:p>
    <w:p>
      <w:pPr>
        <w:spacing w:line="360" w:lineRule="auto"/>
        <w:ind w:firstLine="420" w:firstLineChars="200"/>
        <w:rPr>
          <w:rFonts w:asciiTheme="minorEastAsia" w:hAnsiTheme="minorEastAsia"/>
          <w:szCs w:val="21"/>
        </w:rPr>
      </w:pPr>
      <w:r>
        <w:rPr>
          <w:rFonts w:hint="eastAsia" w:asciiTheme="minorEastAsia" w:hAnsiTheme="minorEastAsia"/>
          <w:szCs w:val="21"/>
        </w:rPr>
        <w:t>3.在本协议有效期内，甲方应该保证指定的银行账户状态正常，因任何原因造成该银行账户销户或状态不正常，甲方有义务向乙方做出合理说明，并书面申请变更。如果由于甲方原因或司法、行政机关等有权机关对账户采取了查控措施，导致资金不能及时入账由此产生的任何损失由甲方自行承担。甲方申请销户时，应确保理财账户内已无理财份额、未完成交易及相关权益，否则乙方有权拒绝办理。</w:t>
      </w:r>
    </w:p>
    <w:p>
      <w:pPr>
        <w:spacing w:line="360" w:lineRule="auto"/>
        <w:ind w:firstLine="420" w:firstLineChars="200"/>
        <w:rPr>
          <w:rFonts w:asciiTheme="minorEastAsia" w:hAnsiTheme="minorEastAsia"/>
          <w:szCs w:val="21"/>
        </w:rPr>
      </w:pPr>
      <w:r>
        <w:rPr>
          <w:rFonts w:hint="eastAsia" w:asciiTheme="minorEastAsia" w:hAnsiTheme="minorEastAsia"/>
          <w:szCs w:val="21"/>
        </w:rPr>
        <w:t>4.咨询与投诉条款:在本协议有效期内，如甲方对本协议约定的收费标准、收费方式以及其他方面存在任何疑问，或任何相关的投诉、意见，可拨打乙方客户服务热线【</w:t>
      </w:r>
      <w:r>
        <w:rPr>
          <w:rFonts w:hint="eastAsia" w:asciiTheme="minorEastAsia" w:hAnsiTheme="minorEastAsia"/>
          <w:b/>
          <w:szCs w:val="21"/>
          <w:lang w:val="en-US" w:eastAsia="zh-CN"/>
        </w:rPr>
        <w:t>96008</w:t>
      </w:r>
      <w:r>
        <w:rPr>
          <w:rFonts w:hint="eastAsia" w:asciiTheme="minorEastAsia" w:hAnsiTheme="minorEastAsia"/>
          <w:szCs w:val="21"/>
        </w:rPr>
        <w:t>】进行咨询。</w:t>
      </w:r>
    </w:p>
    <w:p>
      <w:pPr>
        <w:spacing w:line="360" w:lineRule="auto"/>
        <w:ind w:firstLine="420" w:firstLineChars="200"/>
        <w:rPr>
          <w:rFonts w:asciiTheme="minorEastAsia" w:hAnsiTheme="minorEastAsia"/>
          <w:szCs w:val="21"/>
        </w:rPr>
      </w:pPr>
      <w:r>
        <w:rPr>
          <w:rFonts w:hint="eastAsia" w:asciiTheme="minorEastAsia" w:hAnsiTheme="minorEastAsia"/>
          <w:szCs w:val="21"/>
        </w:rPr>
        <w:t>5.</w:t>
      </w:r>
      <w:r>
        <w:rPr>
          <w:rFonts w:hint="eastAsia" w:asciiTheme="minorEastAsia" w:hAnsiTheme="minorEastAsia"/>
          <w:b/>
          <w:szCs w:val="21"/>
        </w:rPr>
        <w:t>甲方授权乙方有权查询、下载、复制、打印、使用甲方的账户信息，包括但不限于开户资料、交易流水、对账单等，用于乙方为甲方办理本协议项下业务或办理必要的公证手续使用，及作为资料</w:t>
      </w:r>
      <w:r>
        <w:rPr>
          <w:rFonts w:asciiTheme="minorEastAsia" w:hAnsiTheme="minorEastAsia"/>
          <w:b/>
          <w:szCs w:val="21"/>
        </w:rPr>
        <w:t>/证据材料向监管机关、司法机关、仲裁机构提交。</w:t>
      </w:r>
    </w:p>
    <w:p>
      <w:pPr>
        <w:spacing w:line="360" w:lineRule="auto"/>
        <w:ind w:firstLine="420" w:firstLineChars="200"/>
        <w:rPr>
          <w:rFonts w:asciiTheme="minorEastAsia" w:hAnsiTheme="minorEastAsia"/>
          <w:szCs w:val="21"/>
        </w:rPr>
      </w:pPr>
      <w:r>
        <w:rPr>
          <w:rFonts w:hint="eastAsia" w:asciiTheme="minorEastAsia" w:hAnsiTheme="minorEastAsia"/>
          <w:szCs w:val="21"/>
        </w:rPr>
        <w:t>6.乙方将加强信息安全管理，根据法律法规及监管要求，对在产品销售和运作过程中获取的甲方信息履行保密义务，除非依照法律法规之规定，或应监管机构及其他有权机关的要求，或与甲方另有约定外，不向第三方披露。乙方将在法律法规规定或相关监管要求的期限内保存甲方个人信息，期限届满后乙方会予以删除或匿名化处理。甲方依法享有对其自身个人信息进行查阅、复制、更正、补充、转移、删除、撤回同意、解释说明等权利。如违反个人信息保护相关法律法规规定及本协议的约定，乙方将依法承担相应法律责任。</w:t>
      </w:r>
    </w:p>
    <w:p>
      <w:pPr>
        <w:spacing w:line="360" w:lineRule="auto"/>
        <w:ind w:firstLine="420" w:firstLineChars="200"/>
        <w:rPr>
          <w:rFonts w:asciiTheme="minorEastAsia" w:hAnsiTheme="minorEastAsia"/>
          <w:szCs w:val="21"/>
        </w:rPr>
      </w:pPr>
      <w:r>
        <w:rPr>
          <w:rFonts w:hint="eastAsia" w:asciiTheme="minorEastAsia" w:hAnsiTheme="minorEastAsia"/>
          <w:szCs w:val="21"/>
        </w:rPr>
        <w:t>7.甲方在此确认乙方业务申请和办理的系统记录以及录音、录像等信息构成对甲方操作行为（包括但不限于认购、申购、赎回）的终局证据，甲方同意乙方上述记录行为，并且在甲方和乙方或产品管理人发生争议时可以作为合法有效的证据使用。甲方同意并授权乙方采取有效措施和技术手段记录营销推介、产品风险和关键信息提示、投资者确认和反馈等重点销售环节。</w:t>
      </w:r>
    </w:p>
    <w:p>
      <w:pPr>
        <w:spacing w:line="360" w:lineRule="auto"/>
        <w:ind w:firstLine="420" w:firstLineChars="200"/>
        <w:rPr>
          <w:rFonts w:asciiTheme="minorEastAsia" w:hAnsiTheme="minorEastAsia"/>
          <w:szCs w:val="21"/>
        </w:rPr>
      </w:pPr>
      <w:r>
        <w:rPr>
          <w:rFonts w:asciiTheme="minorEastAsia" w:hAnsiTheme="minorEastAsia"/>
          <w:szCs w:val="21"/>
        </w:rPr>
        <w:t>8</w:t>
      </w:r>
      <w:r>
        <w:rPr>
          <w:rFonts w:hint="eastAsia" w:asciiTheme="minorEastAsia" w:hAnsiTheme="minorEastAsia"/>
          <w:szCs w:val="21"/>
        </w:rPr>
        <w:t>.甲方承诺严格遵守反洗钱相关法律法规和规章制度，不参与或协助洗钱、恐怖融资、逃税活动等违法行为。乙方发现或有合理理由怀疑甲方、甲方资金或甲方交易行为涉嫌洗钱、恐怖融资、逃税等犯罪活动相关的，乙方有权提前终止本协议，并将按照反洗钱相关监管规定采取必要管控措施，造成甲方损失的，乙方不承担责任。</w:t>
      </w:r>
    </w:p>
    <w:p>
      <w:pPr>
        <w:spacing w:line="360" w:lineRule="auto"/>
        <w:ind w:firstLine="420" w:firstLineChars="200"/>
        <w:rPr>
          <w:rFonts w:asciiTheme="minorEastAsia" w:hAnsiTheme="minorEastAsia"/>
          <w:szCs w:val="21"/>
        </w:rPr>
      </w:pPr>
      <w:r>
        <w:rPr>
          <w:rFonts w:asciiTheme="minorEastAsia" w:hAnsiTheme="minorEastAsia"/>
          <w:szCs w:val="21"/>
        </w:rPr>
        <w:t>9</w:t>
      </w:r>
      <w:r>
        <w:rPr>
          <w:rFonts w:hint="eastAsia" w:asciiTheme="minorEastAsia" w:hAnsiTheme="minorEastAsia"/>
          <w:szCs w:val="21"/>
        </w:rPr>
        <w:t>.乙方有权收取/代为收取认购费、赎回费、销售服务费、托管费及投资管理费等相关费用，具体费用名目、类别、收费方式和标准在产品说明书中载明（说明书载明的后续费用，可能通过费率公告形式进行变更）。</w:t>
      </w:r>
    </w:p>
    <w:p>
      <w:pPr>
        <w:spacing w:line="360" w:lineRule="auto"/>
        <w:ind w:firstLine="420" w:firstLineChars="200"/>
        <w:rPr>
          <w:rFonts w:asciiTheme="minorEastAsia" w:hAnsiTheme="minorEastAsia"/>
          <w:szCs w:val="21"/>
        </w:rPr>
      </w:pPr>
      <w:r>
        <w:rPr>
          <w:rFonts w:asciiTheme="minorEastAsia" w:hAnsiTheme="minorEastAsia"/>
          <w:szCs w:val="21"/>
        </w:rPr>
        <w:t>10</w:t>
      </w:r>
      <w:r>
        <w:rPr>
          <w:rFonts w:hint="eastAsia" w:asciiTheme="minorEastAsia" w:hAnsiTheme="minorEastAsia"/>
          <w:szCs w:val="21"/>
        </w:rPr>
        <w:t>.理财产品收益（如有）为未扣税收益，甲方应根据国家规定自行纳税。如根据有关法律规定或税务机关要求，乙方有权代扣代缴。</w:t>
      </w:r>
    </w:p>
    <w:p>
      <w:pPr>
        <w:spacing w:line="360" w:lineRule="auto"/>
        <w:ind w:firstLine="420" w:firstLineChars="200"/>
        <w:rPr>
          <w:rFonts w:asciiTheme="minorEastAsia" w:hAnsiTheme="minorEastAsia"/>
          <w:szCs w:val="21"/>
        </w:rPr>
      </w:pPr>
      <w:r>
        <w:rPr>
          <w:rFonts w:asciiTheme="minorEastAsia" w:hAnsiTheme="minorEastAsia"/>
          <w:szCs w:val="21"/>
        </w:rPr>
        <w:t>11</w:t>
      </w:r>
      <w:r>
        <w:rPr>
          <w:rFonts w:hint="eastAsia" w:asciiTheme="minorEastAsia" w:hAnsiTheme="minorEastAsia"/>
          <w:szCs w:val="21"/>
        </w:rPr>
        <w:t>.乙方通过营业网点向甲方销售理财产品的，应当按照国家金融管理总局的相关规定实施理财产品销售专区管理，面向投资者严格有效区分理财产品与其他金融产品。乙方应当在销售专区内对每只理财产品销售过程进行录音录像，销售专区应当具有明显标识。甲方知悉并同意接受上述安排和流程。</w:t>
      </w:r>
    </w:p>
    <w:p>
      <w:pPr>
        <w:spacing w:line="360" w:lineRule="auto"/>
        <w:ind w:firstLine="420" w:firstLineChars="200"/>
        <w:rPr>
          <w:rFonts w:asciiTheme="minorEastAsia" w:hAnsiTheme="minorEastAsia"/>
          <w:szCs w:val="21"/>
        </w:rPr>
      </w:pPr>
      <w:r>
        <w:rPr>
          <w:rFonts w:asciiTheme="minorEastAsia" w:hAnsiTheme="minorEastAsia"/>
          <w:szCs w:val="21"/>
        </w:rPr>
        <w:t>12</w:t>
      </w:r>
      <w:r>
        <w:rPr>
          <w:rFonts w:hint="eastAsia" w:asciiTheme="minorEastAsia" w:hAnsiTheme="minorEastAsia"/>
          <w:szCs w:val="21"/>
        </w:rPr>
        <w:t>.乙方通过电子渠道向甲方销售理财产品的，应当积极采取有效措施和技术手段完整客观记录营销推介、产品风险和关键信息提示、甲方确认和反馈等重点销售环节，确保能够满足回溯检查和核查取证的需要。甲方同意乙方进行上述记录行为。</w:t>
      </w:r>
    </w:p>
    <w:p>
      <w:pPr>
        <w:spacing w:line="360" w:lineRule="auto"/>
        <w:ind w:firstLine="420" w:firstLineChars="200"/>
        <w:rPr>
          <w:rFonts w:asciiTheme="minorEastAsia" w:hAnsiTheme="minorEastAsia"/>
          <w:szCs w:val="21"/>
        </w:rPr>
      </w:pPr>
      <w:r>
        <w:rPr>
          <w:rFonts w:asciiTheme="minorEastAsia" w:hAnsiTheme="minorEastAsia"/>
          <w:szCs w:val="21"/>
        </w:rPr>
        <w:t>13</w:t>
      </w:r>
      <w:r>
        <w:rPr>
          <w:rFonts w:hint="eastAsia" w:asciiTheme="minorEastAsia" w:hAnsiTheme="minorEastAsia"/>
          <w:szCs w:val="21"/>
        </w:rPr>
        <w:t>.乙方销售人员均为与乙方签订劳动合同并经乙方进行了上岗资格认定的人员。甲方可要求乙方在向投资者宣传销售理财产品前进行自我介绍并告知投资者关于销售人员的信息查询和核实渠道。</w:t>
      </w:r>
    </w:p>
    <w:p>
      <w:pPr>
        <w:spacing w:line="360" w:lineRule="auto"/>
        <w:ind w:firstLine="420" w:firstLineChars="200"/>
        <w:rPr>
          <w:rFonts w:asciiTheme="minorEastAsia" w:hAnsiTheme="minorEastAsia"/>
          <w:szCs w:val="21"/>
        </w:rPr>
      </w:pPr>
      <w:r>
        <w:rPr>
          <w:rFonts w:asciiTheme="minorEastAsia" w:hAnsiTheme="minorEastAsia"/>
          <w:szCs w:val="21"/>
        </w:rPr>
        <w:t>14</w:t>
      </w:r>
      <w:r>
        <w:rPr>
          <w:rFonts w:asciiTheme="minorEastAsia" w:hAnsiTheme="minorEastAsia"/>
          <w:b/>
          <w:szCs w:val="21"/>
        </w:rPr>
        <w:t>.甲方同意，</w:t>
      </w:r>
      <w:r>
        <w:rPr>
          <w:rFonts w:hint="eastAsia" w:asciiTheme="minorEastAsia" w:hAnsiTheme="minorEastAsia"/>
          <w:b/>
          <w:szCs w:val="21"/>
        </w:rPr>
        <w:t>乙方</w:t>
      </w:r>
      <w:r>
        <w:rPr>
          <w:rFonts w:asciiTheme="minorEastAsia" w:hAnsiTheme="minorEastAsia"/>
          <w:b/>
          <w:szCs w:val="21"/>
        </w:rPr>
        <w:t>在合法合规的前提下可通过甲方预留的联系方式向甲方推送有关其理财产品的宣传、推介信息。如甲方不同意接收</w:t>
      </w:r>
      <w:r>
        <w:rPr>
          <w:rFonts w:hint="eastAsia" w:asciiTheme="minorEastAsia" w:hAnsiTheme="minorEastAsia"/>
          <w:b/>
          <w:szCs w:val="21"/>
        </w:rPr>
        <w:t>乙方</w:t>
      </w:r>
      <w:r>
        <w:rPr>
          <w:rFonts w:asciiTheme="minorEastAsia" w:hAnsiTheme="minorEastAsia"/>
          <w:b/>
          <w:szCs w:val="21"/>
        </w:rPr>
        <w:t>推送的信息，可通过</w:t>
      </w:r>
      <w:r>
        <w:rPr>
          <w:rFonts w:hint="eastAsia" w:asciiTheme="minorEastAsia" w:hAnsiTheme="minorEastAsia"/>
          <w:b/>
          <w:szCs w:val="21"/>
        </w:rPr>
        <w:t>乙方</w:t>
      </w:r>
      <w:r>
        <w:rPr>
          <w:rFonts w:asciiTheme="minorEastAsia" w:hAnsiTheme="minorEastAsia"/>
          <w:b/>
          <w:szCs w:val="21"/>
        </w:rPr>
        <w:t>客服电话【</w:t>
      </w:r>
      <w:r>
        <w:rPr>
          <w:rFonts w:hint="eastAsia" w:asciiTheme="minorEastAsia" w:hAnsiTheme="minorEastAsia"/>
          <w:b/>
          <w:szCs w:val="21"/>
          <w:lang w:val="en-US" w:eastAsia="zh-CN"/>
        </w:rPr>
        <w:t>96008</w:t>
      </w:r>
      <w:r>
        <w:rPr>
          <w:rFonts w:asciiTheme="minorEastAsia" w:hAnsiTheme="minorEastAsia"/>
          <w:b/>
          <w:szCs w:val="21"/>
        </w:rPr>
        <w:t>】、</w:t>
      </w:r>
      <w:r>
        <w:rPr>
          <w:rFonts w:hint="eastAsia" w:asciiTheme="minorEastAsia" w:hAnsiTheme="minorEastAsia"/>
          <w:b/>
          <w:szCs w:val="21"/>
        </w:rPr>
        <w:t>乙方</w:t>
      </w:r>
      <w:r>
        <w:rPr>
          <w:rFonts w:asciiTheme="minorEastAsia" w:hAnsiTheme="minorEastAsia"/>
          <w:b/>
          <w:szCs w:val="21"/>
        </w:rPr>
        <w:t>客服邮箱【</w:t>
      </w:r>
      <w:r>
        <w:rPr>
          <w:rFonts w:hint="eastAsia" w:asciiTheme="minorEastAsia" w:hAnsiTheme="minorEastAsia"/>
          <w:b/>
          <w:szCs w:val="21"/>
          <w:lang w:val="en-US" w:eastAsia="zh-CN"/>
        </w:rPr>
        <w:t>/</w:t>
      </w:r>
      <w:r>
        <w:rPr>
          <w:rFonts w:asciiTheme="minorEastAsia" w:hAnsiTheme="minorEastAsia"/>
          <w:b/>
          <w:szCs w:val="21"/>
        </w:rPr>
        <w:t>】联系</w:t>
      </w:r>
      <w:r>
        <w:rPr>
          <w:rFonts w:hint="eastAsia" w:asciiTheme="minorEastAsia" w:hAnsiTheme="minorEastAsia"/>
          <w:b/>
          <w:szCs w:val="21"/>
        </w:rPr>
        <w:t>乙方</w:t>
      </w:r>
      <w:r>
        <w:rPr>
          <w:rFonts w:asciiTheme="minorEastAsia" w:hAnsiTheme="minorEastAsia"/>
          <w:b/>
          <w:szCs w:val="21"/>
        </w:rPr>
        <w:t>要求停止推送或通过推送时提供的退订服务选择停止接受推送。</w:t>
      </w:r>
    </w:p>
    <w:p>
      <w:pPr>
        <w:spacing w:line="360" w:lineRule="auto"/>
        <w:ind w:firstLine="422" w:firstLineChars="200"/>
        <w:rPr>
          <w:rFonts w:asciiTheme="minorEastAsia" w:hAnsiTheme="minorEastAsia"/>
          <w:b/>
          <w:szCs w:val="21"/>
        </w:rPr>
      </w:pPr>
      <w:r>
        <w:rPr>
          <w:rFonts w:hint="eastAsia" w:asciiTheme="minorEastAsia" w:hAnsiTheme="minorEastAsia"/>
          <w:b/>
          <w:szCs w:val="21"/>
        </w:rPr>
        <w:t>五、违约责任</w:t>
      </w:r>
    </w:p>
    <w:p>
      <w:pPr>
        <w:spacing w:line="360" w:lineRule="auto"/>
        <w:ind w:firstLine="420" w:firstLineChars="200"/>
        <w:rPr>
          <w:rFonts w:asciiTheme="minorEastAsia" w:hAnsiTheme="minorEastAsia"/>
          <w:szCs w:val="21"/>
        </w:rPr>
      </w:pPr>
      <w:r>
        <w:rPr>
          <w:rFonts w:hint="eastAsia" w:asciiTheme="minorEastAsia" w:hAnsiTheme="minorEastAsia"/>
          <w:szCs w:val="21"/>
        </w:rPr>
        <w:t>双方因违反本协议约定而给对方造成损失的，违约方应赔偿因此给对方造成的直接损失。</w:t>
      </w:r>
    </w:p>
    <w:p>
      <w:pPr>
        <w:spacing w:line="360" w:lineRule="auto"/>
        <w:ind w:firstLine="422" w:firstLineChars="200"/>
        <w:rPr>
          <w:rFonts w:asciiTheme="minorEastAsia" w:hAnsiTheme="minorEastAsia"/>
          <w:b/>
          <w:szCs w:val="21"/>
        </w:rPr>
      </w:pPr>
      <w:r>
        <w:rPr>
          <w:rFonts w:hint="eastAsia" w:asciiTheme="minorEastAsia" w:hAnsiTheme="minorEastAsia"/>
          <w:b/>
          <w:szCs w:val="21"/>
        </w:rPr>
        <w:t>六、免责条款</w:t>
      </w:r>
    </w:p>
    <w:p>
      <w:pPr>
        <w:spacing w:line="360" w:lineRule="auto"/>
        <w:ind w:firstLine="422" w:firstLineChars="200"/>
        <w:rPr>
          <w:rFonts w:asciiTheme="minorEastAsia" w:hAnsiTheme="minorEastAsia"/>
          <w:b/>
          <w:bCs/>
          <w:szCs w:val="21"/>
        </w:rPr>
      </w:pPr>
      <w:r>
        <w:rPr>
          <w:rFonts w:hint="eastAsia" w:asciiTheme="minorEastAsia" w:hAnsiTheme="minorEastAsia"/>
          <w:b/>
          <w:bCs/>
          <w:szCs w:val="21"/>
        </w:rPr>
        <w:t>因法律法规或监管政策变化、自然灾害、意外事故、战争、系统故障、通讯故障等乙方不可控制的因素，导致乙方无法或延后履行本协议有关义务的，乙方不承担责任，但因乙方故意或重大过失造成的系统故障、通讯故障等因素除外。</w:t>
      </w:r>
    </w:p>
    <w:p>
      <w:pPr>
        <w:spacing w:line="360" w:lineRule="auto"/>
        <w:ind w:firstLine="422" w:firstLineChars="200"/>
        <w:rPr>
          <w:rFonts w:asciiTheme="minorEastAsia" w:hAnsiTheme="minorEastAsia"/>
          <w:b/>
          <w:bCs/>
          <w:szCs w:val="21"/>
        </w:rPr>
      </w:pPr>
      <w:r>
        <w:rPr>
          <w:rFonts w:hint="eastAsia" w:asciiTheme="minorEastAsia" w:hAnsiTheme="minorEastAsia"/>
          <w:b/>
          <w:bCs/>
          <w:szCs w:val="21"/>
        </w:rPr>
        <w:t>非因乙方原因（包括但不限于甲方遗失本协议、协议被盗用、交易账户被司法机关等有权部门冻结、扣划等原因）造成的损失，乙方不承担责任。</w:t>
      </w:r>
    </w:p>
    <w:p>
      <w:pPr>
        <w:spacing w:line="360" w:lineRule="auto"/>
        <w:ind w:firstLine="422" w:firstLineChars="200"/>
        <w:rPr>
          <w:rFonts w:asciiTheme="minorEastAsia" w:hAnsiTheme="minorEastAsia"/>
          <w:b/>
          <w:bCs/>
          <w:szCs w:val="21"/>
        </w:rPr>
      </w:pPr>
      <w:r>
        <w:rPr>
          <w:rFonts w:hint="eastAsia" w:asciiTheme="minorEastAsia" w:hAnsiTheme="minorEastAsia"/>
          <w:b/>
          <w:bCs/>
          <w:szCs w:val="21"/>
        </w:rPr>
        <w:t>发生前述情形时，乙方将在条件允许的情况下采取必要合理的补救措施，尽力保护甲方利益，以减少甲方损失。</w:t>
      </w:r>
    </w:p>
    <w:p>
      <w:pPr>
        <w:spacing w:line="360" w:lineRule="auto"/>
        <w:ind w:firstLine="422" w:firstLineChars="200"/>
        <w:rPr>
          <w:rFonts w:asciiTheme="minorEastAsia" w:hAnsiTheme="minorEastAsia"/>
          <w:b/>
          <w:szCs w:val="21"/>
        </w:rPr>
      </w:pPr>
      <w:r>
        <w:rPr>
          <w:rFonts w:hint="eastAsia" w:asciiTheme="minorEastAsia" w:hAnsiTheme="minorEastAsia"/>
          <w:b/>
          <w:szCs w:val="21"/>
        </w:rPr>
        <w:t>七、争议解决</w:t>
      </w:r>
    </w:p>
    <w:p>
      <w:pPr>
        <w:spacing w:line="360" w:lineRule="auto"/>
        <w:ind w:firstLine="420" w:firstLineChars="200"/>
        <w:rPr>
          <w:rFonts w:asciiTheme="minorEastAsia" w:hAnsiTheme="minorEastAsia"/>
          <w:szCs w:val="21"/>
        </w:rPr>
      </w:pPr>
      <w:r>
        <w:rPr>
          <w:rFonts w:hint="eastAsia" w:asciiTheme="minorEastAsia" w:hAnsiTheme="minorEastAsia"/>
          <w:szCs w:val="21"/>
        </w:rPr>
        <w:t>1.甲乙双方在本协议项下发生任何争议时，应本着诚实信用的原则通过协商解决。如通过协商仍不能解决争议时，双方均同意向上海仲裁委员会提起</w:t>
      </w:r>
      <w:r>
        <w:rPr>
          <w:rFonts w:asciiTheme="minorEastAsia" w:hAnsiTheme="minorEastAsia"/>
          <w:szCs w:val="21"/>
        </w:rPr>
        <w:t>仲裁</w:t>
      </w:r>
      <w:r>
        <w:rPr>
          <w:rFonts w:hint="eastAsia" w:asciiTheme="minorEastAsia" w:hAnsiTheme="minorEastAsia"/>
          <w:szCs w:val="21"/>
        </w:rPr>
        <w:t>，</w:t>
      </w:r>
      <w:r>
        <w:rPr>
          <w:rFonts w:asciiTheme="minorEastAsia" w:hAnsiTheme="minorEastAsia"/>
          <w:szCs w:val="21"/>
        </w:rPr>
        <w:t>仲裁地为上海</w:t>
      </w:r>
      <w:r>
        <w:rPr>
          <w:rFonts w:hint="eastAsia" w:asciiTheme="minorEastAsia" w:hAnsiTheme="minorEastAsia"/>
          <w:szCs w:val="21"/>
        </w:rPr>
        <w:t>。</w:t>
      </w:r>
    </w:p>
    <w:p>
      <w:pPr>
        <w:spacing w:line="360" w:lineRule="auto"/>
        <w:ind w:firstLine="420" w:firstLineChars="200"/>
        <w:rPr>
          <w:rFonts w:asciiTheme="minorEastAsia" w:hAnsiTheme="minorEastAsia"/>
          <w:szCs w:val="21"/>
        </w:rPr>
      </w:pPr>
      <w:r>
        <w:rPr>
          <w:rFonts w:hint="eastAsia" w:asciiTheme="minorEastAsia" w:hAnsiTheme="minorEastAsia"/>
          <w:szCs w:val="21"/>
        </w:rPr>
        <w:t>2.在诉讼或仲裁期间，本协议不涉及争议部分的条款仍须履行。</w:t>
      </w:r>
    </w:p>
    <w:p>
      <w:pPr>
        <w:spacing w:line="360" w:lineRule="auto"/>
        <w:ind w:firstLine="422" w:firstLineChars="200"/>
        <w:rPr>
          <w:rFonts w:asciiTheme="minorEastAsia" w:hAnsiTheme="minorEastAsia"/>
          <w:b/>
          <w:szCs w:val="21"/>
        </w:rPr>
      </w:pPr>
      <w:r>
        <w:rPr>
          <w:rFonts w:hint="eastAsia" w:asciiTheme="minorEastAsia" w:hAnsiTheme="minorEastAsia"/>
          <w:b/>
          <w:szCs w:val="21"/>
        </w:rPr>
        <w:t>八、本协议的生效与终止</w:t>
      </w:r>
    </w:p>
    <w:p>
      <w:pPr>
        <w:spacing w:line="360" w:lineRule="auto"/>
        <w:ind w:firstLine="420" w:firstLineChars="200"/>
        <w:rPr>
          <w:rFonts w:asciiTheme="minorEastAsia" w:hAnsiTheme="minorEastAsia"/>
          <w:szCs w:val="21"/>
        </w:rPr>
      </w:pPr>
      <w:r>
        <w:rPr>
          <w:rFonts w:hint="eastAsia" w:asciiTheme="minorEastAsia" w:hAnsiTheme="minorEastAsia"/>
          <w:szCs w:val="21"/>
        </w:rPr>
        <w:t>1.协议生效</w:t>
      </w:r>
    </w:p>
    <w:p>
      <w:pPr>
        <w:spacing w:line="360" w:lineRule="auto"/>
        <w:ind w:firstLine="420" w:firstLineChars="200"/>
        <w:rPr>
          <w:rFonts w:asciiTheme="minorEastAsia" w:hAnsiTheme="minorEastAsia"/>
          <w:szCs w:val="21"/>
        </w:rPr>
      </w:pPr>
      <w:r>
        <w:rPr>
          <w:rFonts w:hint="eastAsia" w:asciiTheme="minorEastAsia" w:hAnsiTheme="minorEastAsia"/>
          <w:szCs w:val="21"/>
        </w:rPr>
        <w:t>本协议通过纸质形式签署的，自甲方签署（甲方为自然人的，应签字；甲方为机构或产品的，应加盖机构或产品管理人公章且其法定代表人或授权代表签章）且甲方产品认购/申购份额经产品管理人确认后生效。</w:t>
      </w:r>
    </w:p>
    <w:p>
      <w:pPr>
        <w:spacing w:line="360" w:lineRule="auto"/>
        <w:ind w:firstLine="420" w:firstLineChars="200"/>
        <w:rPr>
          <w:rFonts w:asciiTheme="minorEastAsia" w:hAnsiTheme="minorEastAsia"/>
          <w:szCs w:val="21"/>
        </w:rPr>
      </w:pPr>
      <w:r>
        <w:rPr>
          <w:rFonts w:hint="eastAsia" w:asciiTheme="minorEastAsia" w:hAnsiTheme="minorEastAsia"/>
          <w:szCs w:val="21"/>
        </w:rPr>
        <w:t>本协议通过电子形式签署的，自甲方通过乙方电子销售渠道（网上银行、手机银行、可视柜台等）在线点击确认或勾选且甲方产品认购/申购份额经产品管理人确认后生效。</w:t>
      </w:r>
    </w:p>
    <w:p>
      <w:pPr>
        <w:spacing w:line="360" w:lineRule="auto"/>
        <w:ind w:firstLine="420" w:firstLineChars="200"/>
        <w:rPr>
          <w:rFonts w:asciiTheme="minorEastAsia" w:hAnsiTheme="minorEastAsia"/>
          <w:szCs w:val="21"/>
        </w:rPr>
      </w:pPr>
      <w:r>
        <w:rPr>
          <w:rFonts w:hint="eastAsia" w:asciiTheme="minorEastAsia" w:hAnsiTheme="minorEastAsia"/>
          <w:szCs w:val="21"/>
        </w:rPr>
        <w:t>如任一方拟终止本协议的，需以投资者购买的理财产品全部清算结束为前提。</w:t>
      </w:r>
    </w:p>
    <w:p>
      <w:pPr>
        <w:spacing w:line="360" w:lineRule="auto"/>
        <w:ind w:firstLine="420" w:firstLineChars="200"/>
        <w:rPr>
          <w:rFonts w:asciiTheme="minorEastAsia" w:hAnsiTheme="minorEastAsia"/>
          <w:szCs w:val="21"/>
        </w:rPr>
      </w:pPr>
      <w:r>
        <w:rPr>
          <w:rFonts w:hint="eastAsia" w:asciiTheme="minorEastAsia" w:hAnsiTheme="minorEastAsia"/>
          <w:szCs w:val="21"/>
        </w:rPr>
        <w:t>2.协议终止</w:t>
      </w:r>
    </w:p>
    <w:p>
      <w:pPr>
        <w:spacing w:line="360" w:lineRule="auto"/>
        <w:ind w:firstLine="420" w:firstLineChars="200"/>
        <w:rPr>
          <w:rFonts w:asciiTheme="minorEastAsia" w:hAnsiTheme="minorEastAsia"/>
          <w:szCs w:val="21"/>
        </w:rPr>
      </w:pPr>
      <w:r>
        <w:rPr>
          <w:rFonts w:hint="eastAsia" w:asciiTheme="minorEastAsia" w:hAnsiTheme="minorEastAsia"/>
          <w:szCs w:val="21"/>
        </w:rPr>
        <w:t>本协议及投资协议书、产品说明书、风险揭示书项下各方权利义务履行完毕之日，本协议自动终止。</w:t>
      </w:r>
    </w:p>
    <w:p>
      <w:pPr>
        <w:spacing w:line="360" w:lineRule="auto"/>
        <w:ind w:firstLine="422" w:firstLineChars="200"/>
        <w:rPr>
          <w:rFonts w:asciiTheme="minorEastAsia" w:hAnsiTheme="minorEastAsia"/>
          <w:b/>
          <w:szCs w:val="21"/>
        </w:rPr>
      </w:pPr>
      <w:r>
        <w:rPr>
          <w:rFonts w:hint="eastAsia" w:asciiTheme="minorEastAsia" w:hAnsiTheme="minorEastAsia"/>
          <w:b/>
          <w:szCs w:val="21"/>
        </w:rPr>
        <w:t>九、附则</w:t>
      </w:r>
    </w:p>
    <w:p>
      <w:pPr>
        <w:spacing w:line="360" w:lineRule="auto"/>
        <w:ind w:firstLine="420" w:firstLineChars="200"/>
        <w:rPr>
          <w:rFonts w:asciiTheme="minorEastAsia" w:hAnsiTheme="minorEastAsia"/>
          <w:szCs w:val="21"/>
        </w:rPr>
      </w:pPr>
      <w:r>
        <w:rPr>
          <w:rFonts w:hint="eastAsia" w:asciiTheme="minorEastAsia" w:hAnsiTheme="minorEastAsia"/>
          <w:szCs w:val="21"/>
        </w:rPr>
        <w:t>1.本协议条款与产品说明书不一致的，以产品说明书为准。</w:t>
      </w:r>
    </w:p>
    <w:p>
      <w:pPr>
        <w:spacing w:line="360" w:lineRule="auto"/>
        <w:ind w:firstLine="420" w:firstLineChars="200"/>
        <w:rPr>
          <w:rFonts w:asciiTheme="minorEastAsia" w:hAnsiTheme="minorEastAsia"/>
          <w:szCs w:val="21"/>
        </w:rPr>
      </w:pPr>
      <w:r>
        <w:rPr>
          <w:rFonts w:hint="eastAsia" w:asciiTheme="minorEastAsia" w:hAnsiTheme="minorEastAsia"/>
          <w:szCs w:val="21"/>
        </w:rPr>
        <w:t>2.如果由于任何原因使本协议下的任何条款或者内容成为无效或者依法被撤消，本协议其他条款或内容的合法性，有效性和可执行性不受影响。</w:t>
      </w:r>
    </w:p>
    <w:p>
      <w:pPr>
        <w:spacing w:line="360" w:lineRule="auto"/>
        <w:ind w:firstLine="420" w:firstLineChars="200"/>
        <w:rPr>
          <w:rFonts w:asciiTheme="minorEastAsia" w:hAnsiTheme="minorEastAsia"/>
          <w:szCs w:val="21"/>
        </w:rPr>
      </w:pPr>
      <w:r>
        <w:rPr>
          <w:rFonts w:hint="eastAsia" w:asciiTheme="minorEastAsia" w:hAnsiTheme="minorEastAsia"/>
          <w:szCs w:val="21"/>
        </w:rPr>
        <w:t>3.本协议通过纸质形式签署的，正本一式叁份，销售机构、投资者及产品管理人各执一份，且具有同等法律效力，作为投资者办理此业务的唯一凭证。</w:t>
      </w:r>
    </w:p>
    <w:p>
      <w:pPr>
        <w:spacing w:line="360" w:lineRule="auto"/>
        <w:ind w:firstLine="420" w:firstLineChars="200"/>
        <w:rPr>
          <w:rFonts w:asciiTheme="minorEastAsia" w:hAnsiTheme="minorEastAsia"/>
          <w:szCs w:val="21"/>
        </w:rPr>
      </w:pPr>
      <w:r>
        <w:rPr>
          <w:rFonts w:hint="eastAsia" w:asciiTheme="minorEastAsia" w:hAnsiTheme="minorEastAsia"/>
          <w:szCs w:val="21"/>
        </w:rPr>
        <w:t>4</w:t>
      </w:r>
      <w:r>
        <w:rPr>
          <w:rFonts w:asciiTheme="minorEastAsia" w:hAnsiTheme="minorEastAsia"/>
          <w:szCs w:val="21"/>
        </w:rPr>
        <w:t>.</w:t>
      </w:r>
      <w:r>
        <w:rPr>
          <w:rFonts w:hint="eastAsia" w:asciiTheme="minorEastAsia" w:hAnsiTheme="minorEastAsia"/>
          <w:szCs w:val="21"/>
        </w:rPr>
        <w:t>《客户权益须知》为本协议附件，是本协议不可分割的组成部分。</w:t>
      </w:r>
    </w:p>
    <w:p>
      <w:pPr>
        <w:spacing w:line="360" w:lineRule="auto"/>
        <w:rPr>
          <w:rFonts w:asciiTheme="minorEastAsia" w:hAnsiTheme="minorEastAsia"/>
          <w:szCs w:val="21"/>
        </w:rPr>
      </w:pPr>
    </w:p>
    <w:p>
      <w:pPr>
        <w:spacing w:line="360" w:lineRule="auto"/>
        <w:rPr>
          <w:rFonts w:asciiTheme="minorEastAsia" w:hAnsiTheme="minorEastAsia"/>
          <w:b/>
          <w:szCs w:val="21"/>
        </w:rPr>
      </w:pPr>
      <w:r>
        <w:rPr>
          <w:rFonts w:hint="eastAsia" w:asciiTheme="minorEastAsia" w:hAnsiTheme="minorEastAsia"/>
          <w:b/>
          <w:szCs w:val="21"/>
        </w:rPr>
        <w:t>甲方声明：</w:t>
      </w:r>
    </w:p>
    <w:p>
      <w:pPr>
        <w:spacing w:line="360" w:lineRule="auto"/>
        <w:ind w:firstLine="422" w:firstLineChars="200"/>
        <w:rPr>
          <w:rFonts w:asciiTheme="minorEastAsia" w:hAnsiTheme="minorEastAsia"/>
          <w:b/>
          <w:szCs w:val="21"/>
        </w:rPr>
      </w:pPr>
      <w:r>
        <w:rPr>
          <w:rFonts w:asciiTheme="minorEastAsia" w:hAnsiTheme="minorEastAsia"/>
          <w:b/>
          <w:szCs w:val="21"/>
        </w:rPr>
        <w:t>1.甲方已经收到</w:t>
      </w:r>
      <w:r>
        <w:rPr>
          <w:rFonts w:hint="eastAsia" w:asciiTheme="minorEastAsia" w:hAnsiTheme="minorEastAsia"/>
          <w:b/>
          <w:szCs w:val="21"/>
        </w:rPr>
        <w:t>本协议及</w:t>
      </w:r>
      <w:r>
        <w:rPr>
          <w:rFonts w:asciiTheme="minorEastAsia" w:hAnsiTheme="minorEastAsia"/>
          <w:b/>
          <w:szCs w:val="21"/>
        </w:rPr>
        <w:t>所购买乙方销售的理财产品的投资协议书、产品说明书风险揭示书等，并完全理解和接受上述文件的全部内容，清楚了解所购买理财产品的内容及可能出现的风险。甲方的投资决策完全基于甲方的独立自主判断做出，并自愿承担所认购、申购、赎回理财产品所产生的相关风险和不利后果。</w:t>
      </w:r>
    </w:p>
    <w:p>
      <w:pPr>
        <w:spacing w:line="360" w:lineRule="auto"/>
        <w:ind w:firstLine="422" w:firstLineChars="200"/>
        <w:rPr>
          <w:rFonts w:asciiTheme="minorEastAsia" w:hAnsiTheme="minorEastAsia"/>
          <w:szCs w:val="21"/>
        </w:rPr>
      </w:pPr>
      <w:r>
        <w:rPr>
          <w:rFonts w:asciiTheme="minorEastAsia" w:hAnsiTheme="minorEastAsia"/>
          <w:b/>
          <w:bCs/>
          <w:szCs w:val="21"/>
        </w:rPr>
        <w:t>2.甲方确认乙方相关业务人员对于本协议中有关增加甲方义务、限制甲方权</w:t>
      </w:r>
      <w:r>
        <w:rPr>
          <w:rFonts w:hint="eastAsia" w:asciiTheme="minorEastAsia" w:hAnsiTheme="minorEastAsia"/>
          <w:b/>
          <w:bCs/>
          <w:szCs w:val="21"/>
        </w:rPr>
        <w:t>利以及免除、限制乙方责任和乙方单方面拥有某些权利的条款以及争议解决条款已向甲方予以解释说明，甲方自愿接受上述条款的约束，双方对本协议条款的理解已完全达成一致。</w:t>
      </w:r>
      <w:r>
        <w:rPr>
          <w:rFonts w:hint="eastAsia" w:asciiTheme="minorEastAsia" w:hAnsiTheme="minorEastAsia"/>
          <w:szCs w:val="21"/>
        </w:rPr>
        <w:t>3.甲方确认乙方相关业务人员不存在代替甲方签署销售业务相关文件，或代替甲方进行风险承受能力评估、理财产品购买等操作，不存在代替甲方持有或安排他人代替甲方持有理财产品的情况。</w:t>
      </w:r>
    </w:p>
    <w:p>
      <w:pPr>
        <w:spacing w:line="360" w:lineRule="auto"/>
        <w:ind w:firstLine="420" w:firstLineChars="200"/>
        <w:rPr>
          <w:rFonts w:asciiTheme="minorEastAsia" w:hAnsiTheme="minorEastAsia"/>
          <w:szCs w:val="21"/>
        </w:rPr>
      </w:pPr>
      <w:r>
        <w:rPr>
          <w:rFonts w:hint="eastAsia" w:asciiTheme="minorEastAsia" w:hAnsiTheme="minorEastAsia"/>
          <w:szCs w:val="21"/>
        </w:rPr>
        <w:t>4.甲方在本协议上签字/盖章或在线上点击确认或勾选即表示已知晓并同意本协议。</w:t>
      </w:r>
    </w:p>
    <w:p>
      <w:r>
        <w:rPr>
          <w:rFonts w:hint="eastAsia"/>
        </w:rPr>
        <w:br w:type="page"/>
      </w:r>
    </w:p>
    <w:tbl>
      <w:tblPr>
        <w:tblStyle w:val="9"/>
        <w:tblW w:w="5479" w:type="pct"/>
        <w:tblInd w:w="-436" w:type="dxa"/>
        <w:tblLayout w:type="autofit"/>
        <w:tblCellMar>
          <w:top w:w="0" w:type="dxa"/>
          <w:left w:w="108" w:type="dxa"/>
          <w:bottom w:w="0" w:type="dxa"/>
          <w:right w:w="108" w:type="dxa"/>
        </w:tblCellMar>
      </w:tblPr>
      <w:tblGrid>
        <w:gridCol w:w="880"/>
        <w:gridCol w:w="1156"/>
        <w:gridCol w:w="7302"/>
      </w:tblGrid>
      <w:tr>
        <w:tblPrEx>
          <w:tblCellMar>
            <w:top w:w="0" w:type="dxa"/>
            <w:left w:w="108" w:type="dxa"/>
            <w:bottom w:w="0" w:type="dxa"/>
            <w:right w:w="108" w:type="dxa"/>
          </w:tblCellMar>
        </w:tblPrEx>
        <w:trPr>
          <w:trHeight w:val="43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签署栏</w:t>
            </w:r>
          </w:p>
        </w:tc>
      </w:tr>
      <w:tr>
        <w:trPr>
          <w:trHeight w:val="5165"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签署声明</w:t>
            </w:r>
          </w:p>
        </w:tc>
        <w:tc>
          <w:tcPr>
            <w:tcW w:w="4529" w:type="pct"/>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left"/>
              <w:textAlignment w:val="top"/>
              <w:rPr>
                <w:rFonts w:ascii="宋体" w:hAnsi="宋体" w:eastAsia="宋体" w:cs="宋体"/>
                <w:color w:val="000000"/>
                <w:szCs w:val="21"/>
              </w:rPr>
            </w:pPr>
            <w:r>
              <w:rPr>
                <w:rFonts w:hint="eastAsia" w:ascii="宋体" w:hAnsi="宋体" w:eastAsia="宋体" w:cs="宋体"/>
                <w:color w:val="000000"/>
                <w:kern w:val="0"/>
                <w:szCs w:val="21"/>
                <w:lang w:bidi="ar"/>
              </w:rPr>
              <w:t xml:space="preserve">1、在签署本协议以前,甲方已认真阅读理财产品销售文件(包括但不限于投资协议书、产品说明书、本协议风险揭示书等文件)的全部内容,明确一份完整理财产品销售文件的构成与内容,明确理财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 </w:t>
            </w:r>
            <w:r>
              <w:rPr>
                <w:rFonts w:hint="eastAsia" w:ascii="宋体" w:hAnsi="宋体" w:eastAsia="宋体" w:cs="宋体"/>
                <w:color w:val="000000"/>
                <w:kern w:val="0"/>
                <w:szCs w:val="21"/>
                <w:lang w:bidi="ar"/>
              </w:rPr>
              <w:br w:type="textWrapping"/>
            </w:r>
            <w:r>
              <w:rPr>
                <w:rFonts w:hint="eastAsia" w:ascii="宋体" w:hAnsi="宋体" w:eastAsia="宋体" w:cs="宋体"/>
                <w:color w:val="000000"/>
                <w:kern w:val="0"/>
                <w:szCs w:val="21"/>
                <w:lang w:bidi="ar"/>
              </w:rPr>
              <w:t>2、甲方已认真阅读并充分理解包括但不限于本协议等全套理财产品销售文件关于投资理财产品及其全部风险的有关内容,同意本次认购/申购/赎回受上述协议约束。明确理财产品作为资产管理产品应受到的法律法规及监管政策的规范与调整,同意接受理财产品的投资方案、费率、认购/申购/赎回安排与上述文件所做风险提示,愿意承担投资风险,现决定认购/申购/赎回,并授权产品管理人根据投资方案进行投资。</w:t>
            </w:r>
          </w:p>
        </w:tc>
      </w:tr>
      <w:tr>
        <w:tblPrEx>
          <w:tblCellMar>
            <w:top w:w="0" w:type="dxa"/>
            <w:left w:w="108" w:type="dxa"/>
            <w:bottom w:w="0" w:type="dxa"/>
            <w:right w:w="108" w:type="dxa"/>
          </w:tblCellMar>
        </w:tblPrEx>
        <w:trPr>
          <w:trHeight w:val="1121" w:hRule="atLeast"/>
        </w:trPr>
        <w:tc>
          <w:tcPr>
            <w:tcW w:w="47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甲方签署栏</w:t>
            </w:r>
          </w:p>
        </w:tc>
        <w:tc>
          <w:tcPr>
            <w:tcW w:w="619" w:type="pct"/>
            <w:vMerge w:val="restart"/>
            <w:tcBorders>
              <w:top w:val="single" w:color="000000" w:sz="4" w:space="0"/>
              <w:left w:val="single" w:color="000000" w:sz="4" w:space="0"/>
              <w:bottom w:val="single" w:color="000000" w:sz="4" w:space="0"/>
              <w:right w:val="nil"/>
            </w:tcBorders>
            <w:shd w:val="clear" w:color="auto" w:fill="auto"/>
            <w:vAlign w:val="center"/>
          </w:tcPr>
          <w:p>
            <w:pPr>
              <w:widowControl/>
              <w:spacing w:line="360" w:lineRule="auto"/>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个人投资者适用</w:t>
            </w:r>
          </w:p>
        </w:tc>
        <w:tc>
          <w:tcPr>
            <w:tcW w:w="3909" w:type="pct"/>
            <w:tcBorders>
              <w:top w:val="single" w:color="000000" w:sz="4" w:space="0"/>
              <w:left w:val="single" w:color="000000" w:sz="4" w:space="0"/>
              <w:bottom w:val="nil"/>
              <w:right w:val="single" w:color="000000" w:sz="4" w:space="0"/>
            </w:tcBorders>
            <w:shd w:val="clear" w:color="auto" w:fill="auto"/>
          </w:tcPr>
          <w:p>
            <w:pPr>
              <w:widowControl/>
              <w:spacing w:line="360" w:lineRule="auto"/>
              <w:jc w:val="left"/>
              <w:textAlignment w:val="top"/>
              <w:rPr>
                <w:rFonts w:ascii="宋体" w:hAnsi="宋体" w:eastAsia="宋体" w:cs="宋体"/>
                <w:color w:val="000000"/>
                <w:szCs w:val="21"/>
              </w:rPr>
            </w:pPr>
            <w:r>
              <w:rPr>
                <w:rFonts w:hint="eastAsia" w:ascii="宋体" w:hAnsi="宋体" w:eastAsia="宋体" w:cs="宋体"/>
                <w:color w:val="000000"/>
                <w:kern w:val="0"/>
                <w:szCs w:val="21"/>
                <w:lang w:bidi="ar"/>
              </w:rPr>
              <w:t>甲方(签字):</w:t>
            </w:r>
          </w:p>
        </w:tc>
      </w:tr>
      <w:tr>
        <w:tblPrEx>
          <w:tblCellMar>
            <w:top w:w="0" w:type="dxa"/>
            <w:left w:w="108" w:type="dxa"/>
            <w:bottom w:w="0" w:type="dxa"/>
            <w:right w:w="108" w:type="dxa"/>
          </w:tblCellMar>
        </w:tblPrEx>
        <w:trPr>
          <w:trHeight w:val="72" w:hRule="atLeast"/>
        </w:trPr>
        <w:tc>
          <w:tcPr>
            <w:tcW w:w="47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ascii="宋体" w:hAnsi="宋体" w:eastAsia="宋体" w:cs="宋体"/>
                <w:color w:val="000000"/>
                <w:szCs w:val="21"/>
              </w:rPr>
            </w:pPr>
          </w:p>
        </w:tc>
        <w:tc>
          <w:tcPr>
            <w:tcW w:w="619" w:type="pct"/>
            <w:vMerge w:val="continue"/>
            <w:tcBorders>
              <w:top w:val="single" w:color="000000" w:sz="4" w:space="0"/>
              <w:left w:val="single" w:color="000000" w:sz="4" w:space="0"/>
              <w:bottom w:val="single" w:color="000000" w:sz="4" w:space="0"/>
              <w:right w:val="nil"/>
            </w:tcBorders>
            <w:shd w:val="clear" w:color="auto" w:fill="auto"/>
            <w:vAlign w:val="center"/>
          </w:tcPr>
          <w:p>
            <w:pPr>
              <w:spacing w:line="360" w:lineRule="auto"/>
              <w:jc w:val="center"/>
              <w:rPr>
                <w:rFonts w:ascii="宋体" w:hAnsi="宋体" w:eastAsia="宋体" w:cs="宋体"/>
                <w:color w:val="000000"/>
                <w:szCs w:val="21"/>
              </w:rPr>
            </w:pPr>
          </w:p>
        </w:tc>
        <w:tc>
          <w:tcPr>
            <w:tcW w:w="3909" w:type="pct"/>
            <w:tcBorders>
              <w:top w:val="nil"/>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eastAsia="宋体" w:cs="宋体"/>
                <w:color w:val="000000"/>
                <w:szCs w:val="21"/>
              </w:rPr>
            </w:pPr>
            <w:r>
              <w:rPr>
                <w:rFonts w:hint="eastAsia" w:ascii="宋体" w:hAnsi="宋体" w:eastAsia="宋体" w:cs="宋体"/>
                <w:color w:val="000000"/>
                <w:kern w:val="0"/>
                <w:szCs w:val="21"/>
                <w:lang w:bidi="ar"/>
              </w:rPr>
              <w:t xml:space="preserve">                        日期:</w:t>
            </w:r>
          </w:p>
        </w:tc>
      </w:tr>
      <w:tr>
        <w:tblPrEx>
          <w:tblCellMar>
            <w:top w:w="0" w:type="dxa"/>
            <w:left w:w="108" w:type="dxa"/>
            <w:bottom w:w="0" w:type="dxa"/>
            <w:right w:w="108" w:type="dxa"/>
          </w:tblCellMar>
        </w:tblPrEx>
        <w:trPr>
          <w:trHeight w:val="1390" w:hRule="atLeast"/>
        </w:trPr>
        <w:tc>
          <w:tcPr>
            <w:tcW w:w="47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ascii="宋体" w:hAnsi="宋体" w:eastAsia="宋体" w:cs="宋体"/>
                <w:color w:val="000000"/>
                <w:szCs w:val="21"/>
              </w:rPr>
            </w:pPr>
          </w:p>
        </w:tc>
        <w:tc>
          <w:tcPr>
            <w:tcW w:w="619" w:type="pct"/>
            <w:vMerge w:val="restart"/>
            <w:tcBorders>
              <w:top w:val="single" w:color="000000" w:sz="4" w:space="0"/>
              <w:left w:val="single" w:color="000000" w:sz="4" w:space="0"/>
              <w:bottom w:val="nil"/>
              <w:right w:val="nil"/>
            </w:tcBorders>
            <w:shd w:val="clear" w:color="auto" w:fill="auto"/>
            <w:vAlign w:val="center"/>
          </w:tcPr>
          <w:p>
            <w:pPr>
              <w:widowControl/>
              <w:spacing w:line="360" w:lineRule="auto"/>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机构投资者适用</w:t>
            </w:r>
          </w:p>
        </w:tc>
        <w:tc>
          <w:tcPr>
            <w:tcW w:w="3909" w:type="pct"/>
            <w:tcBorders>
              <w:top w:val="nil"/>
              <w:left w:val="single" w:color="000000" w:sz="4" w:space="0"/>
              <w:bottom w:val="nil"/>
              <w:right w:val="single" w:color="000000" w:sz="4" w:space="0"/>
            </w:tcBorders>
            <w:shd w:val="clear" w:color="auto" w:fill="auto"/>
          </w:tcPr>
          <w:p>
            <w:pPr>
              <w:widowControl/>
              <w:spacing w:line="360" w:lineRule="auto"/>
              <w:jc w:val="left"/>
              <w:textAlignment w:val="top"/>
              <w:rPr>
                <w:rFonts w:ascii="宋体" w:hAnsi="宋体" w:eastAsia="宋体" w:cs="宋体"/>
                <w:color w:val="000000"/>
                <w:szCs w:val="21"/>
              </w:rPr>
            </w:pPr>
            <w:r>
              <w:rPr>
                <w:rFonts w:hint="eastAsia" w:ascii="宋体" w:hAnsi="宋体" w:eastAsia="宋体" w:cs="宋体"/>
                <w:color w:val="000000"/>
                <w:kern w:val="0"/>
                <w:szCs w:val="21"/>
                <w:lang w:bidi="ar"/>
              </w:rPr>
              <w:t>甲方(盖章):</w:t>
            </w:r>
          </w:p>
        </w:tc>
      </w:tr>
      <w:tr>
        <w:tblPrEx>
          <w:tblCellMar>
            <w:top w:w="0" w:type="dxa"/>
            <w:left w:w="108" w:type="dxa"/>
            <w:bottom w:w="0" w:type="dxa"/>
            <w:right w:w="108" w:type="dxa"/>
          </w:tblCellMar>
        </w:tblPrEx>
        <w:trPr>
          <w:trHeight w:val="1036" w:hRule="atLeast"/>
        </w:trPr>
        <w:tc>
          <w:tcPr>
            <w:tcW w:w="47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ascii="宋体" w:hAnsi="宋体" w:eastAsia="宋体" w:cs="宋体"/>
                <w:color w:val="000000"/>
                <w:szCs w:val="21"/>
              </w:rPr>
            </w:pPr>
          </w:p>
        </w:tc>
        <w:tc>
          <w:tcPr>
            <w:tcW w:w="619" w:type="pct"/>
            <w:vMerge w:val="continue"/>
            <w:tcBorders>
              <w:top w:val="single" w:color="000000" w:sz="4" w:space="0"/>
              <w:left w:val="single" w:color="000000" w:sz="4" w:space="0"/>
              <w:bottom w:val="nil"/>
              <w:right w:val="nil"/>
            </w:tcBorders>
            <w:shd w:val="clear" w:color="auto" w:fill="auto"/>
            <w:vAlign w:val="center"/>
          </w:tcPr>
          <w:p>
            <w:pPr>
              <w:spacing w:line="360" w:lineRule="auto"/>
              <w:jc w:val="center"/>
              <w:rPr>
                <w:rFonts w:ascii="宋体" w:hAnsi="宋体" w:eastAsia="宋体" w:cs="宋体"/>
                <w:color w:val="000000"/>
                <w:szCs w:val="21"/>
              </w:rPr>
            </w:pPr>
          </w:p>
        </w:tc>
        <w:tc>
          <w:tcPr>
            <w:tcW w:w="3909" w:type="pct"/>
            <w:tcBorders>
              <w:top w:val="nil"/>
              <w:left w:val="single" w:color="000000" w:sz="4" w:space="0"/>
              <w:bottom w:val="nil"/>
              <w:right w:val="single" w:color="000000" w:sz="4" w:space="0"/>
            </w:tcBorders>
            <w:shd w:val="clear" w:color="auto" w:fill="auto"/>
            <w:noWrap/>
          </w:tcPr>
          <w:p>
            <w:pPr>
              <w:widowControl/>
              <w:spacing w:line="360" w:lineRule="auto"/>
              <w:jc w:val="left"/>
              <w:textAlignment w:val="top"/>
              <w:rPr>
                <w:rFonts w:ascii="宋体" w:hAnsi="宋体" w:eastAsia="宋体" w:cs="宋体"/>
                <w:color w:val="000000"/>
                <w:szCs w:val="21"/>
              </w:rPr>
            </w:pPr>
            <w:r>
              <w:rPr>
                <w:rFonts w:hint="eastAsia" w:ascii="宋体" w:hAnsi="宋体" w:eastAsia="宋体" w:cs="宋体"/>
                <w:color w:val="000000"/>
                <w:kern w:val="0"/>
                <w:szCs w:val="21"/>
                <w:lang w:bidi="ar"/>
              </w:rPr>
              <w:t>甲方法定代表人或授权代理人(签字或盖章)：</w:t>
            </w:r>
          </w:p>
        </w:tc>
      </w:tr>
      <w:tr>
        <w:tblPrEx>
          <w:tblCellMar>
            <w:top w:w="0" w:type="dxa"/>
            <w:left w:w="108" w:type="dxa"/>
            <w:bottom w:w="0" w:type="dxa"/>
            <w:right w:w="108" w:type="dxa"/>
          </w:tblCellMar>
        </w:tblPrEx>
        <w:trPr>
          <w:trHeight w:val="742" w:hRule="atLeast"/>
        </w:trPr>
        <w:tc>
          <w:tcPr>
            <w:tcW w:w="47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ascii="宋体" w:hAnsi="宋体" w:eastAsia="宋体" w:cs="宋体"/>
                <w:color w:val="000000"/>
                <w:szCs w:val="21"/>
              </w:rPr>
            </w:pPr>
          </w:p>
        </w:tc>
        <w:tc>
          <w:tcPr>
            <w:tcW w:w="619" w:type="pct"/>
            <w:vMerge w:val="continue"/>
            <w:tcBorders>
              <w:top w:val="single" w:color="000000" w:sz="4" w:space="0"/>
              <w:left w:val="single" w:color="000000" w:sz="4" w:space="0"/>
              <w:bottom w:val="nil"/>
              <w:right w:val="nil"/>
            </w:tcBorders>
            <w:shd w:val="clear" w:color="auto" w:fill="auto"/>
            <w:vAlign w:val="center"/>
          </w:tcPr>
          <w:p>
            <w:pPr>
              <w:spacing w:line="360" w:lineRule="auto"/>
              <w:jc w:val="center"/>
              <w:rPr>
                <w:rFonts w:ascii="宋体" w:hAnsi="宋体" w:eastAsia="宋体" w:cs="宋体"/>
                <w:color w:val="000000"/>
                <w:szCs w:val="21"/>
              </w:rPr>
            </w:pPr>
          </w:p>
        </w:tc>
        <w:tc>
          <w:tcPr>
            <w:tcW w:w="3909" w:type="pct"/>
            <w:tcBorders>
              <w:top w:val="nil"/>
              <w:left w:val="single" w:color="000000" w:sz="4" w:space="0"/>
              <w:bottom w:val="nil"/>
              <w:right w:val="single" w:color="000000" w:sz="4" w:space="0"/>
            </w:tcBorders>
            <w:shd w:val="clear" w:color="auto" w:fill="auto"/>
            <w:noWrap/>
          </w:tcPr>
          <w:p>
            <w:pPr>
              <w:widowControl/>
              <w:spacing w:line="360" w:lineRule="auto"/>
              <w:jc w:val="center"/>
              <w:textAlignment w:val="top"/>
              <w:rPr>
                <w:rFonts w:ascii="宋体" w:hAnsi="宋体" w:eastAsia="宋体" w:cs="宋体"/>
                <w:color w:val="000000"/>
                <w:szCs w:val="21"/>
              </w:rPr>
            </w:pPr>
            <w:r>
              <w:rPr>
                <w:rFonts w:hint="eastAsia" w:ascii="宋体" w:hAnsi="宋体" w:eastAsia="宋体" w:cs="宋体"/>
                <w:color w:val="000000"/>
                <w:kern w:val="0"/>
                <w:szCs w:val="21"/>
                <w:lang w:bidi="ar"/>
              </w:rPr>
              <w:t xml:space="preserve">                       日期:</w:t>
            </w:r>
          </w:p>
        </w:tc>
      </w:tr>
      <w:tr>
        <w:trPr>
          <w:trHeight w:val="1436" w:hRule="atLeast"/>
        </w:trPr>
        <w:tc>
          <w:tcPr>
            <w:tcW w:w="471" w:type="pct"/>
            <w:vMerge w:val="restart"/>
            <w:tcBorders>
              <w:top w:val="single" w:color="000000" w:sz="4" w:space="0"/>
              <w:left w:val="single" w:color="000000" w:sz="4" w:space="0"/>
              <w:bottom w:val="single" w:color="000000" w:sz="4" w:space="0"/>
              <w:right w:val="nil"/>
            </w:tcBorders>
            <w:shd w:val="clear" w:color="auto" w:fill="auto"/>
            <w:vAlign w:val="center"/>
          </w:tcPr>
          <w:p>
            <w:pPr>
              <w:widowControl/>
              <w:spacing w:line="360" w:lineRule="auto"/>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乙方 签署 栏</w:t>
            </w:r>
          </w:p>
        </w:tc>
        <w:tc>
          <w:tcPr>
            <w:tcW w:w="4529" w:type="pct"/>
            <w:gridSpan w:val="2"/>
            <w:tcBorders>
              <w:top w:val="single" w:color="000000" w:sz="4" w:space="0"/>
              <w:left w:val="single" w:color="000000" w:sz="4" w:space="0"/>
              <w:bottom w:val="nil"/>
              <w:right w:val="single" w:color="000000" w:sz="4" w:space="0"/>
            </w:tcBorders>
            <w:shd w:val="clear" w:color="auto" w:fill="auto"/>
          </w:tcPr>
          <w:p>
            <w:pPr>
              <w:widowControl/>
              <w:spacing w:line="360" w:lineRule="auto"/>
              <w:jc w:val="left"/>
              <w:textAlignment w:val="top"/>
              <w:rPr>
                <w:rFonts w:ascii="宋体" w:hAnsi="宋体" w:eastAsia="宋体" w:cs="宋体"/>
                <w:color w:val="000000"/>
                <w:szCs w:val="21"/>
              </w:rPr>
            </w:pPr>
            <w:r>
              <w:rPr>
                <w:rFonts w:hint="eastAsia" w:ascii="宋体" w:hAnsi="宋体" w:eastAsia="宋体" w:cs="宋体"/>
                <w:color w:val="000000"/>
                <w:kern w:val="0"/>
                <w:szCs w:val="21"/>
                <w:lang w:bidi="ar"/>
              </w:rPr>
              <w:t xml:space="preserve">乙方(盖章): </w:t>
            </w:r>
            <w:r>
              <w:rPr>
                <w:rFonts w:hint="eastAsia" w:ascii="宋体" w:hAnsi="宋体" w:eastAsia="宋体" w:cs="宋体"/>
                <w:color w:val="000000"/>
                <w:kern w:val="0"/>
                <w:szCs w:val="21"/>
                <w:lang w:bidi="ar"/>
              </w:rPr>
              <w:br w:type="textWrapping"/>
            </w:r>
            <w:r>
              <w:rPr>
                <w:rFonts w:hint="eastAsia" w:ascii="宋体" w:hAnsi="宋体" w:eastAsia="宋体" w:cs="宋体"/>
                <w:color w:val="000000"/>
                <w:kern w:val="0"/>
                <w:szCs w:val="21"/>
                <w:lang w:bidi="ar"/>
              </w:rPr>
              <w:t xml:space="preserve">                                               </w:t>
            </w:r>
          </w:p>
        </w:tc>
      </w:tr>
      <w:tr>
        <w:tblPrEx>
          <w:tblCellMar>
            <w:top w:w="0" w:type="dxa"/>
            <w:left w:w="108" w:type="dxa"/>
            <w:bottom w:w="0" w:type="dxa"/>
            <w:right w:w="108" w:type="dxa"/>
          </w:tblCellMar>
        </w:tblPrEx>
        <w:trPr>
          <w:trHeight w:val="566" w:hRule="atLeast"/>
        </w:trPr>
        <w:tc>
          <w:tcPr>
            <w:tcW w:w="471" w:type="pct"/>
            <w:vMerge w:val="continue"/>
            <w:tcBorders>
              <w:top w:val="single" w:color="000000" w:sz="4" w:space="0"/>
              <w:left w:val="single" w:color="000000" w:sz="4" w:space="0"/>
              <w:bottom w:val="single" w:color="000000" w:sz="4" w:space="0"/>
              <w:right w:val="nil"/>
            </w:tcBorders>
            <w:shd w:val="clear" w:color="auto" w:fill="auto"/>
            <w:vAlign w:val="center"/>
          </w:tcPr>
          <w:p>
            <w:pPr>
              <w:spacing w:line="360" w:lineRule="auto"/>
              <w:jc w:val="center"/>
              <w:rPr>
                <w:rFonts w:ascii="宋体" w:hAnsi="宋体" w:eastAsia="宋体" w:cs="宋体"/>
                <w:color w:val="000000"/>
                <w:szCs w:val="21"/>
              </w:rPr>
            </w:pPr>
          </w:p>
        </w:tc>
        <w:tc>
          <w:tcPr>
            <w:tcW w:w="4529" w:type="pct"/>
            <w:gridSpan w:val="2"/>
            <w:tcBorders>
              <w:top w:val="nil"/>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top"/>
              <w:rPr>
                <w:rFonts w:ascii="宋体" w:hAnsi="宋体" w:eastAsia="宋体" w:cs="宋体"/>
                <w:color w:val="000000"/>
                <w:szCs w:val="21"/>
              </w:rPr>
            </w:pPr>
            <w:r>
              <w:rPr>
                <w:rFonts w:hint="eastAsia" w:ascii="宋体" w:hAnsi="宋体" w:eastAsia="宋体" w:cs="宋体"/>
                <w:color w:val="000000"/>
                <w:kern w:val="0"/>
                <w:szCs w:val="21"/>
                <w:lang w:bidi="ar"/>
              </w:rPr>
              <w:t xml:space="preserve">                              日期:</w:t>
            </w:r>
          </w:p>
        </w:tc>
      </w:tr>
      <w:tr>
        <w:tblPrEx>
          <w:tblCellMar>
            <w:top w:w="0" w:type="dxa"/>
            <w:left w:w="108" w:type="dxa"/>
            <w:bottom w:w="0" w:type="dxa"/>
            <w:right w:w="108" w:type="dxa"/>
          </w:tblCellMar>
        </w:tblPrEx>
        <w:trPr>
          <w:trHeight w:val="1076" w:hRule="atLeast"/>
        </w:trPr>
        <w:tc>
          <w:tcPr>
            <w:tcW w:w="5000" w:type="pct"/>
            <w:gridSpan w:val="3"/>
            <w:tcBorders>
              <w:top w:val="nil"/>
              <w:left w:val="nil"/>
              <w:bottom w:val="nil"/>
              <w:right w:val="nil"/>
            </w:tcBorders>
            <w:shd w:val="clear" w:color="auto" w:fill="auto"/>
          </w:tcPr>
          <w:p>
            <w:pPr>
              <w:widowControl/>
              <w:spacing w:line="360" w:lineRule="auto"/>
              <w:jc w:val="left"/>
              <w:textAlignment w:val="top"/>
              <w:rPr>
                <w:rFonts w:ascii="宋体" w:hAnsi="宋体" w:eastAsia="宋体" w:cs="宋体"/>
                <w:color w:val="000000"/>
                <w:szCs w:val="21"/>
              </w:rPr>
            </w:pPr>
            <w:r>
              <w:rPr>
                <w:rFonts w:hint="eastAsia" w:ascii="宋体" w:hAnsi="宋体" w:eastAsia="宋体" w:cs="宋体"/>
                <w:color w:val="000000"/>
                <w:kern w:val="0"/>
                <w:szCs w:val="21"/>
                <w:lang w:bidi="ar"/>
              </w:rPr>
              <w:t>(本《【</w:t>
            </w:r>
            <w:r>
              <w:rPr>
                <w:rFonts w:hint="eastAsia" w:ascii="宋体" w:hAnsi="宋体" w:eastAsia="宋体" w:cs="宋体"/>
                <w:color w:val="000000"/>
                <w:kern w:val="0"/>
                <w:szCs w:val="21"/>
                <w:lang w:eastAsia="zh-CN" w:bidi="ar"/>
              </w:rPr>
              <w:t>江苏</w:t>
            </w:r>
            <w:r>
              <w:rPr>
                <w:rFonts w:hint="eastAsia" w:ascii="宋体" w:hAnsi="宋体" w:eastAsia="宋体" w:cs="宋体"/>
                <w:color w:val="000000"/>
                <w:kern w:val="0"/>
                <w:szCs w:val="21"/>
                <w:lang w:val="en-US" w:eastAsia="zh-CN" w:bidi="ar"/>
              </w:rPr>
              <w:t>如东</w:t>
            </w:r>
            <w:r>
              <w:rPr>
                <w:rFonts w:hint="eastAsia" w:ascii="宋体" w:hAnsi="宋体" w:eastAsia="宋体" w:cs="宋体"/>
                <w:color w:val="000000"/>
                <w:kern w:val="0"/>
                <w:szCs w:val="21"/>
                <w:lang w:eastAsia="zh-CN" w:bidi="ar"/>
              </w:rPr>
              <w:t>农村商业银行</w:t>
            </w:r>
            <w:r>
              <w:rPr>
                <w:rFonts w:hint="eastAsia" w:ascii="宋体" w:hAnsi="宋体" w:eastAsia="宋体" w:cs="宋体"/>
                <w:color w:val="000000"/>
                <w:kern w:val="0"/>
                <w:szCs w:val="21"/>
                <w:lang w:bidi="ar"/>
              </w:rPr>
              <w:t>】代理销售理财产品总协议》共有三份签署文本,第一联销售机构留存,第二联投资者留存,第三联产品管理人留存。)</w:t>
            </w:r>
          </w:p>
        </w:tc>
      </w:tr>
    </w:tbl>
    <w:p>
      <w:pPr>
        <w:ind w:firstLine="420" w:firstLineChars="200"/>
        <w:rPr>
          <w:lang w:eastAsia="en-US"/>
        </w:rPr>
      </w:pPr>
    </w:p>
    <w:p>
      <w:pPr>
        <w:autoSpaceDE w:val="0"/>
        <w:autoSpaceDN w:val="0"/>
        <w:spacing w:line="240" w:lineRule="exact"/>
        <w:jc w:val="left"/>
        <w:rPr>
          <w:rFonts w:ascii="黑体" w:eastAsia="黑体"/>
          <w:b/>
          <w:bCs/>
          <w:color w:val="2F2F2F"/>
        </w:rPr>
      </w:pPr>
      <w:r>
        <w:br w:type="page"/>
      </w:r>
      <w:r>
        <w:rPr>
          <w:rFonts w:ascii="黑体" w:hAnsi="黑体" w:cs="黑体"/>
          <w:color w:val="000000"/>
          <w:szCs w:val="22"/>
          <w:u w:val="single"/>
        </w:rPr>
        <w:t>附件：</w:t>
      </w:r>
      <w:bookmarkStart w:id="0" w:name="_Hlk156990883"/>
      <w:r>
        <w:rPr>
          <w:rFonts w:ascii="黑体" w:hAnsi="黑体" w:cs="黑体"/>
          <w:color w:val="000000"/>
          <w:szCs w:val="22"/>
          <w:u w:val="single"/>
        </w:rPr>
        <w:t>客户权益须知</w:t>
      </w:r>
      <w:bookmarkEnd w:id="0"/>
      <w:r>
        <w:rPr>
          <w:rFonts w:ascii="黑体" w:hAnsi="黑体" w:cs="黑体"/>
          <w:color w:val="000000"/>
          <w:szCs w:val="22"/>
          <w:u w:val="single"/>
        </w:rPr>
        <w:t>专页</w:t>
      </w:r>
    </w:p>
    <w:p>
      <w:pPr>
        <w:spacing w:line="360" w:lineRule="auto"/>
        <w:jc w:val="center"/>
        <w:rPr>
          <w:rStyle w:val="11"/>
        </w:rPr>
      </w:pPr>
      <w:r>
        <w:rPr>
          <w:rFonts w:ascii="黑体" w:hAnsi="黑体" w:cs="黑体"/>
          <w:color w:val="2F2F2F"/>
          <w:spacing w:val="1"/>
          <w:szCs w:val="22"/>
        </w:rPr>
        <w:t>客户权益须知</w:t>
      </w:r>
    </w:p>
    <w:p>
      <w:pPr>
        <w:spacing w:line="360" w:lineRule="auto"/>
        <w:jc w:val="center"/>
        <w:rPr>
          <w:rStyle w:val="11"/>
        </w:rPr>
      </w:pPr>
    </w:p>
    <w:p>
      <w:pPr>
        <w:ind w:firstLine="480" w:firstLineChars="200"/>
        <w:rPr>
          <w:rFonts w:ascii="楷体_GB2312" w:eastAsia="楷体_GB2312"/>
          <w:bCs/>
          <w:color w:val="2F2F2F"/>
        </w:rPr>
      </w:pPr>
      <w:r>
        <w:rPr>
          <w:rFonts w:hint="eastAsia" w:ascii="楷体_GB2312" w:hAnsi="宋体" w:eastAsia="楷体_GB2312" w:cs="宋体"/>
          <w:bCs/>
          <w:color w:val="2F2F2F"/>
          <w:kern w:val="0"/>
          <w:sz w:val="24"/>
        </w:rPr>
        <w:t>尊敬的客户，您好：</w:t>
      </w:r>
    </w:p>
    <w:p>
      <w:pPr>
        <w:ind w:firstLine="480" w:firstLineChars="200"/>
        <w:rPr>
          <w:rFonts w:ascii="楷体_GB2312" w:hAnsi="宋体" w:eastAsia="楷体_GB2312" w:cs="宋体"/>
          <w:bCs/>
          <w:color w:val="2F2F2F"/>
          <w:kern w:val="0"/>
          <w:sz w:val="24"/>
        </w:rPr>
      </w:pPr>
      <w:r>
        <w:rPr>
          <w:rFonts w:hint="eastAsia" w:ascii="楷体_GB2312" w:hAnsi="宋体" w:eastAsia="楷体_GB2312" w:cs="宋体"/>
          <w:bCs/>
          <w:color w:val="2F2F2F"/>
          <w:kern w:val="0"/>
          <w:sz w:val="24"/>
        </w:rPr>
        <w:t>为便于您顺利办理理财业务，请仔细阅读以下客户权益内容，以选择适合的产品并维护自身权益。</w:t>
      </w:r>
    </w:p>
    <w:p>
      <w:pPr>
        <w:ind w:firstLine="420" w:firstLineChars="200"/>
        <w:rPr>
          <w:rFonts w:ascii="楷体_GB2312" w:eastAsia="楷体_GB2312"/>
          <w:bCs/>
          <w:color w:val="2F2F2F"/>
        </w:rPr>
      </w:pPr>
    </w:p>
    <w:p>
      <w:pPr>
        <w:ind w:firstLine="480" w:firstLineChars="200"/>
        <w:rPr>
          <w:rFonts w:ascii="黑体" w:eastAsia="黑体"/>
          <w:bCs/>
          <w:color w:val="2F2F2F"/>
        </w:rPr>
      </w:pPr>
      <w:r>
        <w:rPr>
          <w:rFonts w:hint="eastAsia" w:ascii="黑体" w:hAnsi="宋体" w:eastAsia="黑体" w:cs="宋体"/>
          <w:bCs/>
          <w:color w:val="2F2F2F"/>
          <w:kern w:val="0"/>
          <w:sz w:val="24"/>
        </w:rPr>
        <w:t>一、办理理财产品的流程</w:t>
      </w:r>
    </w:p>
    <w:p>
      <w:pPr>
        <w:ind w:firstLine="480" w:firstLineChars="200"/>
        <w:rPr>
          <w:rFonts w:ascii="楷体_GB2312" w:eastAsia="楷体_GB2312"/>
          <w:bCs/>
          <w:color w:val="2F2F2F"/>
        </w:rPr>
      </w:pPr>
      <w:r>
        <w:rPr>
          <w:rFonts w:hint="eastAsia" w:ascii="楷体_GB2312" w:hAnsi="宋体" w:eastAsia="楷体_GB2312" w:cs="宋体"/>
          <w:bCs/>
          <w:color w:val="2F2F2F"/>
          <w:kern w:val="0"/>
          <w:sz w:val="24"/>
        </w:rPr>
        <w:t>1. 您可以通过信银理财营业场所、电子直销渠道等购买理财产品，其基本流程如</w:t>
      </w:r>
    </w:p>
    <w:p>
      <w:pPr>
        <w:ind w:firstLine="480" w:firstLineChars="200"/>
        <w:rPr>
          <w:rFonts w:ascii="楷体_GB2312" w:eastAsia="楷体_GB2312"/>
          <w:bCs/>
          <w:color w:val="2F2F2F"/>
        </w:rPr>
      </w:pPr>
      <w:r>
        <w:rPr>
          <w:rFonts w:hint="eastAsia" w:ascii="楷体_GB2312" w:hAnsi="宋体" w:eastAsia="楷体_GB2312" w:cs="宋体"/>
          <w:bCs/>
          <w:color w:val="2F2F2F"/>
          <w:kern w:val="0"/>
          <w:sz w:val="24"/>
        </w:rPr>
        <w:t>下：：</w:t>
      </w:r>
    </w:p>
    <w:p>
      <w:pPr>
        <w:rPr>
          <w:rFonts w:ascii="楷体_GB2312" w:eastAsia="楷体_GB2312"/>
          <w:bCs/>
          <w:color w:val="2F2F2F"/>
        </w:rPr>
      </w:pPr>
      <w:r>
        <w:rPr>
          <w:szCs w:val="21"/>
        </w:rPr>
        <w:drawing>
          <wp:inline distT="0" distB="0" distL="114300" distR="114300">
            <wp:extent cx="6263640" cy="518795"/>
            <wp:effectExtent l="0" t="0" r="3810" b="14605"/>
            <wp:docPr id="676712864" name="图片 676712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712864" name="图片 676712864"/>
                    <pic:cNvPicPr>
                      <a:picLocks noChangeAspect="1"/>
                    </pic:cNvPicPr>
                  </pic:nvPicPr>
                  <pic:blipFill>
                    <a:blip r:embed="rId5"/>
                    <a:stretch>
                      <a:fillRect/>
                    </a:stretch>
                  </pic:blipFill>
                  <pic:spPr>
                    <a:xfrm>
                      <a:off x="0" y="0"/>
                      <a:ext cx="6263640" cy="518795"/>
                    </a:xfrm>
                    <a:prstGeom prst="rect">
                      <a:avLst/>
                    </a:prstGeom>
                    <a:noFill/>
                    <a:ln>
                      <a:noFill/>
                    </a:ln>
                  </pic:spPr>
                </pic:pic>
              </a:graphicData>
            </a:graphic>
          </wp:inline>
        </w:drawing>
      </w:r>
    </w:p>
    <w:p>
      <w:pPr>
        <w:ind w:firstLine="480" w:firstLineChars="200"/>
        <w:rPr>
          <w:rFonts w:ascii="楷体_GB2312" w:eastAsia="楷体_GB2312"/>
          <w:bCs/>
          <w:color w:val="2F2F2F"/>
        </w:rPr>
      </w:pPr>
      <w:r>
        <w:rPr>
          <w:rFonts w:hint="eastAsia" w:ascii="楷体_GB2312" w:hAnsi="宋体" w:eastAsia="楷体_GB2312" w:cs="宋体"/>
          <w:bCs/>
          <w:color w:val="2F2F2F"/>
          <w:kern w:val="0"/>
          <w:sz w:val="24"/>
        </w:rPr>
        <w:t>说明：详细操作流程请见信银理财官方网站或通过客户服务热【950950】、营业场所、互联网网站【http://www.citic-wealth.com/】、电子邮件【暂无】咨询信银理财。</w:t>
      </w:r>
    </w:p>
    <w:p>
      <w:pPr>
        <w:ind w:firstLine="480" w:firstLineChars="200"/>
        <w:rPr>
          <w:rFonts w:ascii="楷体_GB2312" w:eastAsia="楷体_GB2312"/>
          <w:bCs/>
          <w:color w:val="2F2F2F"/>
        </w:rPr>
      </w:pPr>
      <w:r>
        <w:rPr>
          <w:rFonts w:hint="eastAsia" w:ascii="楷体_GB2312" w:hAnsi="宋体" w:eastAsia="楷体_GB2312" w:cs="宋体"/>
          <w:bCs/>
          <w:color w:val="2F2F2F"/>
          <w:kern w:val="0"/>
          <w:sz w:val="24"/>
        </w:rPr>
        <w:t>特别提示：为防止您的权益受到侵害，在购买理财过程中请您务必保管好自己的银行卡/账户密码、网银 U盾等，切勿泄露或交给理财经理等任何其他人保管等，否则责任自负。</w:t>
      </w:r>
    </w:p>
    <w:p>
      <w:pPr>
        <w:ind w:firstLine="482" w:firstLineChars="200"/>
        <w:rPr>
          <w:rFonts w:ascii="楷体_GB2312" w:eastAsia="楷体_GB2312"/>
          <w:b/>
          <w:bCs/>
          <w:color w:val="2F2F2F"/>
        </w:rPr>
      </w:pPr>
      <w:r>
        <w:rPr>
          <w:rFonts w:hint="eastAsia" w:ascii="楷体_GB2312" w:hAnsi="宋体" w:eastAsia="楷体_GB2312" w:cs="宋体"/>
          <w:b/>
          <w:bCs/>
          <w:color w:val="2F2F2F"/>
          <w:kern w:val="0"/>
          <w:sz w:val="24"/>
        </w:rPr>
        <w:t>2.通过受信银理财委托进行产品销售的机构办理</w:t>
      </w:r>
    </w:p>
    <w:p>
      <w:pPr>
        <w:ind w:firstLine="482" w:firstLineChars="200"/>
        <w:rPr>
          <w:rFonts w:ascii="楷体_GB2312" w:eastAsia="楷体_GB2312"/>
          <w:b/>
          <w:bCs/>
          <w:color w:val="2F2F2F"/>
        </w:rPr>
      </w:pPr>
      <w:r>
        <w:rPr>
          <w:rFonts w:hint="eastAsia" w:ascii="楷体_GB2312" w:hAnsi="宋体" w:eastAsia="楷体_GB2312" w:cs="宋体"/>
          <w:b/>
          <w:bCs/>
          <w:color w:val="2F2F2F"/>
          <w:kern w:val="0"/>
          <w:sz w:val="24"/>
        </w:rPr>
        <w:t>以受信银理财委托进行产品销售的机构的办理流程为准。</w:t>
      </w:r>
    </w:p>
    <w:p>
      <w:pPr>
        <w:ind w:firstLine="480" w:firstLineChars="200"/>
        <w:rPr>
          <w:rFonts w:ascii="黑体" w:eastAsia="黑体"/>
          <w:bCs/>
          <w:color w:val="2F2F2F"/>
        </w:rPr>
      </w:pPr>
      <w:r>
        <w:rPr>
          <w:rFonts w:hint="eastAsia" w:ascii="黑体" w:hAnsi="宋体" w:eastAsia="黑体" w:cs="宋体"/>
          <w:bCs/>
          <w:color w:val="2F2F2F"/>
          <w:kern w:val="0"/>
          <w:sz w:val="24"/>
        </w:rPr>
        <w:t>二、信银理财客户风险测评及产品风险评级介绍</w:t>
      </w:r>
    </w:p>
    <w:p>
      <w:pPr>
        <w:ind w:firstLine="480" w:firstLineChars="200"/>
        <w:rPr>
          <w:rFonts w:ascii="楷体_GB2312" w:eastAsia="楷体_GB2312"/>
          <w:bCs/>
          <w:color w:val="2F2F2F"/>
        </w:rPr>
      </w:pPr>
      <w:r>
        <w:rPr>
          <w:rFonts w:hint="eastAsia" w:ascii="楷体_GB2312" w:hAnsi="宋体" w:eastAsia="楷体_GB2312" w:cs="宋体"/>
          <w:bCs/>
          <w:color w:val="2F2F2F"/>
          <w:kern w:val="0"/>
          <w:sz w:val="24"/>
        </w:rPr>
        <w:t>1.在信银理财营业场所、电子直销渠道购买产品的客户风险测评使用《信银理财直销客户风险评估问卷》，通过回答客户财务状况、投资经验、投资风格、风险承受能力四大模块共12道问题，以得出风险测评结果。</w:t>
      </w:r>
    </w:p>
    <w:p>
      <w:pPr>
        <w:ind w:firstLine="480" w:firstLineChars="200"/>
        <w:rPr>
          <w:rFonts w:ascii="楷体_GB2312" w:eastAsia="楷体_GB2312"/>
          <w:bCs/>
          <w:color w:val="2F2F2F"/>
        </w:rPr>
      </w:pPr>
      <w:r>
        <w:rPr>
          <w:rFonts w:hint="eastAsia" w:ascii="楷体_GB2312" w:hAnsi="宋体" w:eastAsia="楷体_GB2312" w:cs="宋体"/>
          <w:bCs/>
          <w:color w:val="2F2F2F"/>
          <w:kern w:val="0"/>
          <w:sz w:val="24"/>
        </w:rPr>
        <w:t>客户首次认购理财产品必须先进行风险测评，风险测评结果有效期为1年。如超过1年未再次进行风险测评或判断自身风险承受能力发生变化，应在我公司电子直销渠道 或营业场所重新进行风险测评。</w:t>
      </w:r>
    </w:p>
    <w:p>
      <w:pPr>
        <w:ind w:firstLine="480" w:firstLineChars="200"/>
        <w:rPr>
          <w:rFonts w:ascii="楷体_GB2312" w:eastAsia="楷体_GB2312"/>
          <w:bCs/>
          <w:color w:val="2F2F2F"/>
        </w:rPr>
      </w:pPr>
      <w:r>
        <w:rPr>
          <w:rFonts w:hint="eastAsia" w:ascii="楷体_GB2312" w:hAnsi="宋体" w:eastAsia="楷体_GB2312" w:cs="宋体"/>
          <w:bCs/>
          <w:color w:val="2F2F2F"/>
          <w:kern w:val="0"/>
          <w:sz w:val="24"/>
        </w:rPr>
        <w:t>客户风险测评结果与产品风险评级的对应关系如下：</w:t>
      </w:r>
    </w:p>
    <w:tbl>
      <w:tblPr>
        <w:tblStyle w:val="9"/>
        <w:tblW w:w="4824" w:type="dxa"/>
        <w:jc w:val="center"/>
        <w:tblLayout w:type="autofit"/>
        <w:tblCellMar>
          <w:top w:w="0" w:type="dxa"/>
          <w:left w:w="108" w:type="dxa"/>
          <w:bottom w:w="0" w:type="dxa"/>
          <w:right w:w="108" w:type="dxa"/>
        </w:tblCellMar>
      </w:tblPr>
      <w:tblGrid>
        <w:gridCol w:w="2412"/>
        <w:gridCol w:w="2412"/>
      </w:tblGrid>
      <w:tr>
        <w:tblPrEx>
          <w:tblCellMar>
            <w:top w:w="0" w:type="dxa"/>
            <w:left w:w="108" w:type="dxa"/>
            <w:bottom w:w="0" w:type="dxa"/>
            <w:right w:w="108" w:type="dxa"/>
          </w:tblCellMar>
        </w:tblPrEx>
        <w:trPr>
          <w:jc w:val="center"/>
        </w:trPr>
        <w:tc>
          <w:tcPr>
            <w:tcW w:w="2412" w:type="dxa"/>
            <w:tcBorders>
              <w:top w:val="single" w:color="auto" w:sz="4" w:space="0"/>
              <w:left w:val="single" w:color="auto" w:sz="4" w:space="0"/>
              <w:bottom w:val="single" w:color="auto" w:sz="4" w:space="0"/>
              <w:right w:val="single" w:color="auto" w:sz="4" w:space="0"/>
            </w:tcBorders>
            <w:vAlign w:val="center"/>
          </w:tcPr>
          <w:p>
            <w:pPr>
              <w:jc w:val="center"/>
              <w:rPr>
                <w:rFonts w:ascii="楷体_GB2312" w:eastAsia="楷体_GB2312"/>
                <w:b/>
                <w:bCs/>
                <w:color w:val="2F2F2F"/>
              </w:rPr>
            </w:pPr>
            <w:r>
              <w:rPr>
                <w:rFonts w:hint="eastAsia" w:ascii="楷体_GB2312" w:hAnsi="宋体" w:eastAsia="楷体_GB2312" w:cs="宋体"/>
                <w:b/>
                <w:bCs/>
                <w:color w:val="2F2F2F"/>
                <w:kern w:val="0"/>
                <w:sz w:val="24"/>
              </w:rPr>
              <w:t>产品风险等级</w:t>
            </w:r>
          </w:p>
        </w:tc>
        <w:tc>
          <w:tcPr>
            <w:tcW w:w="2412" w:type="dxa"/>
            <w:tcBorders>
              <w:top w:val="single" w:color="auto" w:sz="4" w:space="0"/>
              <w:left w:val="nil"/>
              <w:bottom w:val="single" w:color="auto" w:sz="4" w:space="0"/>
              <w:right w:val="single" w:color="auto" w:sz="4" w:space="0"/>
            </w:tcBorders>
            <w:vAlign w:val="center"/>
          </w:tcPr>
          <w:p>
            <w:pPr>
              <w:jc w:val="center"/>
              <w:rPr>
                <w:rFonts w:ascii="楷体_GB2312" w:eastAsia="楷体_GB2312"/>
                <w:b/>
                <w:bCs/>
                <w:color w:val="2F2F2F"/>
              </w:rPr>
            </w:pPr>
            <w:r>
              <w:rPr>
                <w:rFonts w:hint="eastAsia" w:ascii="楷体_GB2312" w:hAnsi="宋体" w:eastAsia="楷体_GB2312" w:cs="宋体"/>
                <w:b/>
                <w:bCs/>
                <w:color w:val="2F2F2F"/>
                <w:kern w:val="0"/>
                <w:sz w:val="24"/>
              </w:rPr>
              <w:t>适合投资者</w:t>
            </w:r>
          </w:p>
        </w:tc>
      </w:tr>
      <w:tr>
        <w:tblPrEx>
          <w:tblCellMar>
            <w:top w:w="0" w:type="dxa"/>
            <w:left w:w="108" w:type="dxa"/>
            <w:bottom w:w="0" w:type="dxa"/>
            <w:right w:w="108" w:type="dxa"/>
          </w:tblCellMar>
        </w:tblPrEx>
        <w:trPr>
          <w:jc w:val="center"/>
        </w:trPr>
        <w:tc>
          <w:tcPr>
            <w:tcW w:w="2412" w:type="dxa"/>
            <w:tcBorders>
              <w:top w:val="single" w:color="auto" w:sz="4" w:space="0"/>
              <w:left w:val="single" w:color="auto" w:sz="4" w:space="0"/>
              <w:bottom w:val="single" w:color="auto" w:sz="4" w:space="0"/>
              <w:right w:val="single" w:color="auto" w:sz="4" w:space="0"/>
            </w:tcBorders>
            <w:vAlign w:val="center"/>
          </w:tcPr>
          <w:p>
            <w:pPr>
              <w:jc w:val="center"/>
              <w:rPr>
                <w:rFonts w:ascii="楷体_GB2312" w:eastAsia="楷体_GB2312"/>
                <w:bCs/>
                <w:color w:val="2F2F2F"/>
              </w:rPr>
            </w:pPr>
            <w:r>
              <w:rPr>
                <w:rFonts w:ascii="楷体_GB2312" w:hAnsi="宋体" w:eastAsia="楷体_GB2312" w:cs="宋体"/>
                <w:bCs/>
                <w:color w:val="2F2F2F"/>
                <w:kern w:val="0"/>
                <w:sz w:val="24"/>
              </w:rPr>
              <w:t>PR1</w:t>
            </w:r>
          </w:p>
        </w:tc>
        <w:tc>
          <w:tcPr>
            <w:tcW w:w="2412" w:type="dxa"/>
            <w:tcBorders>
              <w:top w:val="single" w:color="auto" w:sz="4" w:space="0"/>
              <w:left w:val="nil"/>
              <w:bottom w:val="single" w:color="auto" w:sz="4" w:space="0"/>
              <w:right w:val="single" w:color="auto" w:sz="4" w:space="0"/>
            </w:tcBorders>
            <w:vAlign w:val="center"/>
          </w:tcPr>
          <w:p>
            <w:pPr>
              <w:jc w:val="center"/>
              <w:rPr>
                <w:rFonts w:ascii="楷体_GB2312" w:eastAsia="楷体_GB2312"/>
                <w:bCs/>
                <w:color w:val="2F2F2F"/>
              </w:rPr>
            </w:pPr>
            <w:r>
              <w:rPr>
                <w:rFonts w:hint="eastAsia" w:ascii="楷体_GB2312" w:hAnsi="宋体" w:eastAsia="楷体_GB2312" w:cs="宋体"/>
                <w:bCs/>
                <w:color w:val="2F2F2F"/>
                <w:kern w:val="0"/>
                <w:sz w:val="24"/>
              </w:rPr>
              <w:t>谨慎型及以上</w:t>
            </w:r>
          </w:p>
        </w:tc>
      </w:tr>
      <w:tr>
        <w:tblPrEx>
          <w:tblCellMar>
            <w:top w:w="0" w:type="dxa"/>
            <w:left w:w="108" w:type="dxa"/>
            <w:bottom w:w="0" w:type="dxa"/>
            <w:right w:w="108" w:type="dxa"/>
          </w:tblCellMar>
        </w:tblPrEx>
        <w:trPr>
          <w:jc w:val="center"/>
        </w:trPr>
        <w:tc>
          <w:tcPr>
            <w:tcW w:w="2412" w:type="dxa"/>
            <w:tcBorders>
              <w:top w:val="single" w:color="auto" w:sz="4" w:space="0"/>
              <w:left w:val="single" w:color="auto" w:sz="4" w:space="0"/>
              <w:bottom w:val="single" w:color="auto" w:sz="4" w:space="0"/>
              <w:right w:val="single" w:color="auto" w:sz="4" w:space="0"/>
            </w:tcBorders>
            <w:vAlign w:val="center"/>
          </w:tcPr>
          <w:p>
            <w:pPr>
              <w:jc w:val="center"/>
              <w:rPr>
                <w:rFonts w:ascii="楷体_GB2312" w:eastAsia="楷体_GB2312"/>
                <w:bCs/>
                <w:color w:val="2F2F2F"/>
              </w:rPr>
            </w:pPr>
            <w:r>
              <w:rPr>
                <w:rFonts w:ascii="楷体_GB2312" w:hAnsi="宋体" w:eastAsia="楷体_GB2312" w:cs="宋体"/>
                <w:bCs/>
                <w:color w:val="2F2F2F"/>
                <w:kern w:val="0"/>
                <w:sz w:val="24"/>
              </w:rPr>
              <w:t>PR2</w:t>
            </w:r>
          </w:p>
        </w:tc>
        <w:tc>
          <w:tcPr>
            <w:tcW w:w="2412" w:type="dxa"/>
            <w:tcBorders>
              <w:top w:val="single" w:color="auto" w:sz="4" w:space="0"/>
              <w:left w:val="nil"/>
              <w:bottom w:val="single" w:color="auto" w:sz="4" w:space="0"/>
              <w:right w:val="single" w:color="auto" w:sz="4" w:space="0"/>
            </w:tcBorders>
            <w:vAlign w:val="center"/>
          </w:tcPr>
          <w:p>
            <w:pPr>
              <w:jc w:val="center"/>
              <w:rPr>
                <w:rFonts w:ascii="楷体_GB2312" w:eastAsia="楷体_GB2312"/>
                <w:bCs/>
                <w:color w:val="2F2F2F"/>
              </w:rPr>
            </w:pPr>
            <w:r>
              <w:rPr>
                <w:rFonts w:hint="eastAsia" w:ascii="楷体_GB2312" w:hAnsi="宋体" w:eastAsia="楷体_GB2312" w:cs="宋体"/>
                <w:bCs/>
                <w:color w:val="2F2F2F"/>
                <w:kern w:val="0"/>
                <w:sz w:val="24"/>
              </w:rPr>
              <w:t>稳健型及以上</w:t>
            </w:r>
          </w:p>
        </w:tc>
      </w:tr>
      <w:tr>
        <w:tblPrEx>
          <w:tblCellMar>
            <w:top w:w="0" w:type="dxa"/>
            <w:left w:w="108" w:type="dxa"/>
            <w:bottom w:w="0" w:type="dxa"/>
            <w:right w:w="108" w:type="dxa"/>
          </w:tblCellMar>
        </w:tblPrEx>
        <w:trPr>
          <w:jc w:val="center"/>
        </w:trPr>
        <w:tc>
          <w:tcPr>
            <w:tcW w:w="2412" w:type="dxa"/>
            <w:tcBorders>
              <w:top w:val="single" w:color="auto" w:sz="4" w:space="0"/>
              <w:left w:val="single" w:color="auto" w:sz="4" w:space="0"/>
              <w:bottom w:val="single" w:color="auto" w:sz="4" w:space="0"/>
              <w:right w:val="single" w:color="auto" w:sz="4" w:space="0"/>
            </w:tcBorders>
            <w:vAlign w:val="center"/>
          </w:tcPr>
          <w:p>
            <w:pPr>
              <w:jc w:val="center"/>
              <w:rPr>
                <w:rFonts w:ascii="楷体_GB2312" w:eastAsia="楷体_GB2312"/>
                <w:bCs/>
                <w:color w:val="2F2F2F"/>
              </w:rPr>
            </w:pPr>
            <w:r>
              <w:rPr>
                <w:rFonts w:ascii="楷体_GB2312" w:hAnsi="宋体" w:eastAsia="楷体_GB2312" w:cs="宋体"/>
                <w:bCs/>
                <w:color w:val="2F2F2F"/>
                <w:kern w:val="0"/>
                <w:sz w:val="24"/>
              </w:rPr>
              <w:t>PR3</w:t>
            </w:r>
          </w:p>
        </w:tc>
        <w:tc>
          <w:tcPr>
            <w:tcW w:w="2412" w:type="dxa"/>
            <w:tcBorders>
              <w:top w:val="single" w:color="auto" w:sz="4" w:space="0"/>
              <w:left w:val="nil"/>
              <w:bottom w:val="single" w:color="auto" w:sz="4" w:space="0"/>
              <w:right w:val="single" w:color="auto" w:sz="4" w:space="0"/>
            </w:tcBorders>
            <w:vAlign w:val="center"/>
          </w:tcPr>
          <w:p>
            <w:pPr>
              <w:jc w:val="center"/>
              <w:rPr>
                <w:rFonts w:ascii="楷体_GB2312" w:eastAsia="楷体_GB2312"/>
                <w:bCs/>
                <w:color w:val="2F2F2F"/>
              </w:rPr>
            </w:pPr>
            <w:r>
              <w:rPr>
                <w:rFonts w:hint="eastAsia" w:ascii="楷体_GB2312" w:hAnsi="宋体" w:eastAsia="楷体_GB2312" w:cs="宋体"/>
                <w:bCs/>
                <w:color w:val="2F2F2F"/>
                <w:kern w:val="0"/>
                <w:sz w:val="24"/>
              </w:rPr>
              <w:t>平衡型及以上</w:t>
            </w:r>
          </w:p>
        </w:tc>
      </w:tr>
      <w:tr>
        <w:tblPrEx>
          <w:tblCellMar>
            <w:top w:w="0" w:type="dxa"/>
            <w:left w:w="108" w:type="dxa"/>
            <w:bottom w:w="0" w:type="dxa"/>
            <w:right w:w="108" w:type="dxa"/>
          </w:tblCellMar>
        </w:tblPrEx>
        <w:trPr>
          <w:jc w:val="center"/>
        </w:trPr>
        <w:tc>
          <w:tcPr>
            <w:tcW w:w="2412" w:type="dxa"/>
            <w:tcBorders>
              <w:top w:val="single" w:color="auto" w:sz="4" w:space="0"/>
              <w:left w:val="single" w:color="auto" w:sz="4" w:space="0"/>
              <w:bottom w:val="single" w:color="auto" w:sz="4" w:space="0"/>
              <w:right w:val="single" w:color="auto" w:sz="4" w:space="0"/>
            </w:tcBorders>
            <w:vAlign w:val="center"/>
          </w:tcPr>
          <w:p>
            <w:pPr>
              <w:jc w:val="center"/>
              <w:rPr>
                <w:rFonts w:ascii="楷体_GB2312" w:eastAsia="楷体_GB2312"/>
                <w:bCs/>
                <w:color w:val="2F2F2F"/>
              </w:rPr>
            </w:pPr>
            <w:r>
              <w:rPr>
                <w:rFonts w:ascii="楷体_GB2312" w:hAnsi="宋体" w:eastAsia="楷体_GB2312" w:cs="宋体"/>
                <w:bCs/>
                <w:color w:val="2F2F2F"/>
                <w:kern w:val="0"/>
                <w:sz w:val="24"/>
              </w:rPr>
              <w:t>PR4</w:t>
            </w:r>
          </w:p>
        </w:tc>
        <w:tc>
          <w:tcPr>
            <w:tcW w:w="2412" w:type="dxa"/>
            <w:tcBorders>
              <w:top w:val="single" w:color="auto" w:sz="4" w:space="0"/>
              <w:left w:val="nil"/>
              <w:bottom w:val="single" w:color="auto" w:sz="4" w:space="0"/>
              <w:right w:val="single" w:color="auto" w:sz="4" w:space="0"/>
            </w:tcBorders>
            <w:vAlign w:val="center"/>
          </w:tcPr>
          <w:p>
            <w:pPr>
              <w:jc w:val="center"/>
              <w:rPr>
                <w:rFonts w:ascii="楷体_GB2312" w:eastAsia="楷体_GB2312"/>
                <w:bCs/>
                <w:color w:val="2F2F2F"/>
              </w:rPr>
            </w:pPr>
            <w:r>
              <w:rPr>
                <w:rFonts w:hint="eastAsia" w:ascii="楷体_GB2312" w:hAnsi="宋体" w:eastAsia="楷体_GB2312" w:cs="宋体"/>
                <w:bCs/>
                <w:color w:val="2F2F2F"/>
                <w:kern w:val="0"/>
                <w:sz w:val="24"/>
              </w:rPr>
              <w:t>进取型及以上</w:t>
            </w:r>
          </w:p>
        </w:tc>
      </w:tr>
      <w:tr>
        <w:tblPrEx>
          <w:tblCellMar>
            <w:top w:w="0" w:type="dxa"/>
            <w:left w:w="108" w:type="dxa"/>
            <w:bottom w:w="0" w:type="dxa"/>
            <w:right w:w="108" w:type="dxa"/>
          </w:tblCellMar>
        </w:tblPrEx>
        <w:trPr>
          <w:jc w:val="center"/>
        </w:trPr>
        <w:tc>
          <w:tcPr>
            <w:tcW w:w="2412" w:type="dxa"/>
            <w:tcBorders>
              <w:top w:val="single" w:color="auto" w:sz="4" w:space="0"/>
              <w:left w:val="single" w:color="auto" w:sz="4" w:space="0"/>
              <w:bottom w:val="single" w:color="auto" w:sz="4" w:space="0"/>
              <w:right w:val="single" w:color="auto" w:sz="4" w:space="0"/>
            </w:tcBorders>
            <w:vAlign w:val="center"/>
          </w:tcPr>
          <w:p>
            <w:pPr>
              <w:jc w:val="center"/>
              <w:rPr>
                <w:rFonts w:ascii="楷体_GB2312" w:eastAsia="楷体_GB2312"/>
                <w:bCs/>
                <w:color w:val="2F2F2F"/>
              </w:rPr>
            </w:pPr>
            <w:r>
              <w:rPr>
                <w:rFonts w:ascii="楷体_GB2312" w:hAnsi="宋体" w:eastAsia="楷体_GB2312" w:cs="宋体"/>
                <w:bCs/>
                <w:color w:val="2F2F2F"/>
                <w:kern w:val="0"/>
                <w:sz w:val="24"/>
              </w:rPr>
              <w:t>PR5</w:t>
            </w:r>
          </w:p>
        </w:tc>
        <w:tc>
          <w:tcPr>
            <w:tcW w:w="2412" w:type="dxa"/>
            <w:tcBorders>
              <w:top w:val="single" w:color="auto" w:sz="4" w:space="0"/>
              <w:left w:val="nil"/>
              <w:bottom w:val="single" w:color="auto" w:sz="4" w:space="0"/>
              <w:right w:val="single" w:color="auto" w:sz="4" w:space="0"/>
            </w:tcBorders>
            <w:vAlign w:val="center"/>
          </w:tcPr>
          <w:p>
            <w:pPr>
              <w:jc w:val="center"/>
              <w:rPr>
                <w:rFonts w:ascii="楷体_GB2312" w:eastAsia="楷体_GB2312"/>
                <w:bCs/>
                <w:color w:val="2F2F2F"/>
              </w:rPr>
            </w:pPr>
            <w:r>
              <w:rPr>
                <w:rFonts w:hint="eastAsia" w:ascii="楷体_GB2312" w:hAnsi="宋体" w:eastAsia="楷体_GB2312" w:cs="宋体"/>
                <w:bCs/>
                <w:color w:val="2F2F2F"/>
                <w:kern w:val="0"/>
                <w:sz w:val="24"/>
              </w:rPr>
              <w:t>激进型及以上</w:t>
            </w:r>
          </w:p>
        </w:tc>
      </w:tr>
    </w:tbl>
    <w:p>
      <w:pPr>
        <w:ind w:firstLine="482" w:firstLineChars="200"/>
        <w:rPr>
          <w:rFonts w:ascii="楷体_GB2312" w:eastAsia="楷体_GB2312"/>
          <w:b/>
          <w:bCs/>
          <w:color w:val="2F2F2F"/>
        </w:rPr>
      </w:pPr>
      <w:r>
        <w:rPr>
          <w:rFonts w:hint="eastAsia" w:ascii="楷体_GB2312" w:hAnsi="宋体" w:eastAsia="楷体_GB2312" w:cs="宋体"/>
          <w:b/>
          <w:bCs/>
          <w:color w:val="2F2F2F"/>
          <w:kern w:val="0"/>
          <w:sz w:val="24"/>
        </w:rPr>
        <w:t>2.通过受信银理财委托进行产品销售的机构办理</w:t>
      </w:r>
    </w:p>
    <w:p>
      <w:pPr>
        <w:ind w:firstLine="482" w:firstLineChars="200"/>
        <w:rPr>
          <w:rFonts w:ascii="黑体" w:eastAsia="黑体"/>
          <w:b/>
          <w:bCs/>
          <w:color w:val="2F2F2F"/>
        </w:rPr>
      </w:pPr>
      <w:r>
        <w:rPr>
          <w:rFonts w:hint="eastAsia" w:ascii="楷体_GB2312" w:hAnsi="宋体" w:eastAsia="楷体_GB2312" w:cs="宋体"/>
          <w:b/>
          <w:bCs/>
          <w:color w:val="2F2F2F"/>
          <w:kern w:val="0"/>
          <w:sz w:val="24"/>
        </w:rPr>
        <w:t>以受信银理财委托进行产品销售的机构的风险测评结果、产品风险评级以及二者的对应关系为准</w:t>
      </w:r>
      <w:r>
        <w:rPr>
          <w:rFonts w:hint="eastAsia" w:ascii="黑体" w:hAnsi="宋体" w:eastAsia="黑体" w:cs="宋体"/>
          <w:b/>
          <w:bCs/>
          <w:color w:val="2F2F2F"/>
          <w:kern w:val="0"/>
          <w:sz w:val="24"/>
        </w:rPr>
        <w:t>。</w:t>
      </w:r>
    </w:p>
    <w:p>
      <w:pPr>
        <w:ind w:firstLine="480" w:firstLineChars="200"/>
        <w:rPr>
          <w:rFonts w:ascii="黑体" w:eastAsia="黑体"/>
          <w:bCs/>
          <w:color w:val="2F2F2F"/>
        </w:rPr>
      </w:pPr>
      <w:r>
        <w:rPr>
          <w:rFonts w:hint="eastAsia" w:ascii="黑体" w:hAnsi="宋体" w:eastAsia="黑体" w:cs="宋体"/>
          <w:bCs/>
          <w:color w:val="2F2F2F"/>
          <w:kern w:val="0"/>
          <w:sz w:val="24"/>
        </w:rPr>
        <w:t>三、理财信息披露</w:t>
      </w:r>
    </w:p>
    <w:p>
      <w:pPr>
        <w:ind w:firstLine="480" w:firstLineChars="200"/>
        <w:rPr>
          <w:rFonts w:ascii="楷体_GB2312" w:eastAsia="楷体_GB2312"/>
          <w:bCs/>
          <w:color w:val="2F2F2F"/>
        </w:rPr>
      </w:pPr>
      <w:r>
        <w:rPr>
          <w:rFonts w:hint="eastAsia" w:ascii="楷体_GB2312" w:hAnsi="宋体" w:eastAsia="楷体_GB2312" w:cs="宋体"/>
          <w:bCs/>
          <w:color w:val="2F2F2F"/>
          <w:kern w:val="0"/>
          <w:sz w:val="24"/>
        </w:rPr>
        <w:t>信银理财将根据不同的产品类别，在相应的理财产品说明书中明确说明该产品信息披露的平台、渠道、发布时间、频率等。一般来讲，信银理财网站【http://www.citic-wealth.com/】是信银理财正式信息发布渠道，其他渠道如短信、电话等为辅助方式，投资者应定期通过包括信银理财网站在内的各信息平台和渠道获知有关理财产品相关信息。</w:t>
      </w:r>
    </w:p>
    <w:p>
      <w:pPr>
        <w:ind w:firstLine="482" w:firstLineChars="200"/>
        <w:rPr>
          <w:rFonts w:ascii="楷体_GB2312" w:eastAsia="楷体_GB2312"/>
          <w:b/>
          <w:bCs/>
          <w:color w:val="2F2F2F"/>
        </w:rPr>
      </w:pPr>
      <w:r>
        <w:rPr>
          <w:rFonts w:hint="eastAsia" w:ascii="楷体_GB2312" w:hAnsi="宋体" w:eastAsia="楷体_GB2312" w:cs="宋体"/>
          <w:b/>
          <w:bCs/>
          <w:color w:val="2F2F2F"/>
          <w:kern w:val="0"/>
          <w:sz w:val="24"/>
        </w:rPr>
        <w:t>投资者通过受信银理财委托进行产品销售的机构（代销机构）购买理财产品的，还可按照代销机构公布的信息披露渠道和方式获取相关信息。</w:t>
      </w:r>
    </w:p>
    <w:p>
      <w:pPr>
        <w:ind w:firstLine="420" w:firstLineChars="200"/>
        <w:rPr>
          <w:rFonts w:ascii="楷体_GB2312" w:eastAsia="楷体_GB2312"/>
          <w:bCs/>
          <w:color w:val="2F2F2F"/>
        </w:rPr>
      </w:pPr>
    </w:p>
    <w:p>
      <w:pPr>
        <w:ind w:firstLine="480" w:firstLineChars="200"/>
        <w:rPr>
          <w:rFonts w:ascii="黑体" w:eastAsia="黑体"/>
          <w:bCs/>
          <w:color w:val="2F2F2F"/>
        </w:rPr>
      </w:pPr>
      <w:r>
        <w:rPr>
          <w:rFonts w:hint="eastAsia" w:ascii="黑体" w:hAnsi="宋体" w:eastAsia="黑体" w:cs="宋体"/>
          <w:bCs/>
          <w:color w:val="2F2F2F"/>
          <w:kern w:val="0"/>
          <w:sz w:val="24"/>
        </w:rPr>
        <w:t>四、客户咨询、</w:t>
      </w:r>
      <w:r>
        <w:rPr>
          <w:rFonts w:ascii="黑体" w:hAnsi="宋体" w:eastAsia="黑体" w:cs="宋体"/>
          <w:bCs/>
          <w:color w:val="2F2F2F"/>
          <w:kern w:val="0"/>
          <w:sz w:val="24"/>
        </w:rPr>
        <w:t>投诉</w:t>
      </w:r>
      <w:r>
        <w:rPr>
          <w:rFonts w:hint="eastAsia" w:ascii="黑体" w:hAnsi="宋体" w:eastAsia="黑体" w:cs="宋体"/>
          <w:bCs/>
          <w:color w:val="2F2F2F"/>
          <w:kern w:val="0"/>
          <w:sz w:val="24"/>
        </w:rPr>
        <w:t>渠道及信银理财联系方式</w:t>
      </w:r>
    </w:p>
    <w:p>
      <w:pPr>
        <w:ind w:firstLine="480" w:firstLineChars="200"/>
        <w:rPr>
          <w:rFonts w:ascii="楷体_GB2312" w:eastAsia="楷体_GB2312"/>
          <w:bCs/>
          <w:color w:val="2F2F2F"/>
        </w:rPr>
      </w:pPr>
      <w:r>
        <w:rPr>
          <w:rFonts w:hint="eastAsia" w:ascii="楷体_GB2312" w:hAnsi="宋体" w:eastAsia="楷体_GB2312" w:cs="宋体"/>
          <w:bCs/>
          <w:color w:val="2F2F2F"/>
          <w:kern w:val="0"/>
          <w:sz w:val="24"/>
        </w:rPr>
        <w:t>信银理财个人理财业务客户投诉渠道包括但不限于：客户服务热线【950950】、营业场所、互联网网站【http://www.citic-wealth.com/】、电子邮件【暂无】、意见簿、意见箱、信函、传真等。信银理财将安排专人及时收集个人理财业务客户投诉，并在收到客户投诉的第一时间内与客户取得联系，及时处理并进行反馈。</w:t>
      </w:r>
    </w:p>
    <w:p>
      <w:pPr>
        <w:ind w:firstLine="482" w:firstLineChars="200"/>
        <w:rPr>
          <w:rFonts w:ascii="楷体_GB2312" w:eastAsia="楷体_GB2312"/>
          <w:b/>
          <w:bCs/>
          <w:color w:val="2F2F2F"/>
        </w:rPr>
      </w:pPr>
      <w:r>
        <w:rPr>
          <w:rFonts w:hint="eastAsia" w:ascii="楷体_GB2312" w:hAnsi="宋体" w:eastAsia="楷体_GB2312" w:cs="宋体"/>
          <w:b/>
          <w:bCs/>
          <w:color w:val="2F2F2F"/>
          <w:kern w:val="0"/>
          <w:sz w:val="24"/>
        </w:rPr>
        <w:t>投资者通过受信银理财委托进行产品销售的机构（代销机构）购买理财产品的，还可按照代销机构公布的投诉渠道和方式进行投诉。</w:t>
      </w:r>
    </w:p>
    <w:p/>
    <w:p>
      <w:pPr>
        <w:spacing w:line="300" w:lineRule="exact"/>
        <w:ind w:left="-2" w:leftChars="-1" w:right="31" w:rightChars="15"/>
      </w:pPr>
    </w:p>
    <w:p>
      <w:pPr>
        <w:widowControl/>
        <w:jc w:val="left"/>
      </w:pPr>
    </w:p>
    <w:p>
      <w:pPr>
        <w:rPr>
          <w:rFonts w:hint="eastAsia" w:ascii="Times New Roman" w:hAnsi="Times New Roman" w:eastAsia="黑体" w:cs="Times New Roman"/>
          <w:sz w:val="22"/>
        </w:rPr>
      </w:pPr>
      <w:r>
        <w:rPr>
          <w:rFonts w:hint="eastAsia" w:ascii="Times New Roman" w:hAnsi="Times New Roman" w:eastAsia="黑体" w:cs="Times New Roman"/>
          <w:sz w:val="22"/>
        </w:rPr>
        <w:br w:type="page"/>
      </w:r>
    </w:p>
    <w:p>
      <w:pPr>
        <w:shd w:val="clear" w:color="auto" w:fill="FFFFFF"/>
        <w:spacing w:line="300" w:lineRule="exact"/>
        <w:jc w:val="center"/>
        <w:outlineLvl w:val="1"/>
        <w:rPr>
          <w:rFonts w:ascii="Times New Roman" w:hAnsi="Times New Roman" w:eastAsia="黑体" w:cs="Times New Roman"/>
          <w:sz w:val="22"/>
        </w:rPr>
      </w:pPr>
      <w:bookmarkStart w:id="1" w:name="_GoBack"/>
      <w:bookmarkEnd w:id="1"/>
      <w:r>
        <w:rPr>
          <w:rFonts w:hint="eastAsia" w:ascii="Times New Roman" w:hAnsi="Times New Roman" w:eastAsia="黑体" w:cs="Times New Roman"/>
          <w:sz w:val="22"/>
        </w:rPr>
        <w:t>信银理财理财产品投资协议书</w:t>
      </w:r>
    </w:p>
    <w:p>
      <w:pPr>
        <w:spacing w:line="300" w:lineRule="exact"/>
        <w:ind w:firstLine="480"/>
        <w:rPr>
          <w:rFonts w:ascii="Times New Roman" w:hAnsi="Times New Roman" w:eastAsia="楷体_GB2312" w:cs="Times New Roman"/>
          <w:sz w:val="20"/>
          <w:szCs w:val="20"/>
        </w:rPr>
      </w:pPr>
    </w:p>
    <w:p>
      <w:pPr>
        <w:spacing w:line="300" w:lineRule="exact"/>
        <w:ind w:firstLine="480"/>
        <w:rPr>
          <w:rFonts w:ascii="Times New Roman" w:hAnsi="Times New Roman" w:eastAsia="楷体_GB2312" w:cs="Times New Roman"/>
          <w:b/>
          <w:sz w:val="20"/>
          <w:szCs w:val="20"/>
        </w:rPr>
      </w:pPr>
      <w:r>
        <w:rPr>
          <w:rFonts w:hint="eastAsia" w:ascii="Times New Roman" w:hAnsi="Times New Roman" w:eastAsia="楷体_GB2312" w:cs="Times New Roman"/>
          <w:b/>
          <w:sz w:val="20"/>
          <w:szCs w:val="20"/>
        </w:rPr>
        <w:t>甲方：投资者（投资者信息详见签署页）</w:t>
      </w:r>
    </w:p>
    <w:p>
      <w:pPr>
        <w:spacing w:line="300" w:lineRule="exact"/>
        <w:ind w:firstLine="480"/>
        <w:rPr>
          <w:rFonts w:ascii="Times New Roman" w:hAnsi="Times New Roman" w:eastAsia="楷体_GB2312" w:cs="Times New Roman"/>
          <w:b/>
          <w:sz w:val="20"/>
          <w:szCs w:val="20"/>
        </w:rPr>
      </w:pPr>
      <w:r>
        <w:rPr>
          <w:rFonts w:hint="eastAsia" w:ascii="Times New Roman" w:hAnsi="Times New Roman" w:eastAsia="楷体_GB2312" w:cs="Times New Roman"/>
          <w:b/>
          <w:sz w:val="20"/>
          <w:szCs w:val="20"/>
        </w:rPr>
        <w:t>乙方：信银理财有限责任公司</w:t>
      </w:r>
    </w:p>
    <w:p>
      <w:pPr>
        <w:spacing w:line="300" w:lineRule="exact"/>
        <w:ind w:firstLine="480"/>
        <w:rPr>
          <w:rFonts w:ascii="Times New Roman" w:hAnsi="Times New Roman" w:eastAsia="楷体_GB2312" w:cs="Times New Roman"/>
          <w:sz w:val="20"/>
          <w:szCs w:val="20"/>
        </w:rPr>
      </w:pPr>
    </w:p>
    <w:p>
      <w:pPr>
        <w:spacing w:line="300" w:lineRule="exact"/>
        <w:ind w:firstLine="480"/>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经甲方和乙方平等协商，就甲方认购</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申购乙方发行的理财产品（以下简称</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理财产品</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），达成本协议如下：</w:t>
      </w:r>
    </w:p>
    <w:p>
      <w:pPr>
        <w:spacing w:line="300" w:lineRule="exact"/>
        <w:ind w:firstLine="480"/>
        <w:rPr>
          <w:rFonts w:ascii="Times New Roman" w:hAnsi="Times New Roman" w:eastAsia="楷体_GB2312" w:cs="Times New Roman"/>
          <w:b/>
          <w:bCs/>
          <w:sz w:val="20"/>
          <w:szCs w:val="20"/>
        </w:rPr>
      </w:pPr>
    </w:p>
    <w:p>
      <w:pPr>
        <w:spacing w:line="300" w:lineRule="exact"/>
        <w:ind w:firstLine="480"/>
        <w:rPr>
          <w:rFonts w:ascii="Times New Roman" w:hAnsi="Times New Roman" w:eastAsia="楷体_GB2312" w:cs="Times New Roman"/>
          <w:sz w:val="20"/>
          <w:szCs w:val="20"/>
        </w:rPr>
      </w:pPr>
      <w:r>
        <w:rPr>
          <w:rFonts w:hint="eastAsia" w:ascii="Times New Roman" w:hAnsi="Times New Roman" w:eastAsia="楷体_GB2312" w:cs="Times New Roman"/>
          <w:b/>
          <w:bCs/>
          <w:sz w:val="20"/>
          <w:szCs w:val="20"/>
        </w:rPr>
        <w:t>一、适用范围</w:t>
      </w:r>
    </w:p>
    <w:p>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甲方在认购</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申购乙方发行的理财产品之前应签署本协议。本协议生效后，甲方认购</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申购乙方发行的理财产品的，均适用本协议。</w:t>
      </w:r>
    </w:p>
    <w:p>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本协议为规范甲乙双方在理财业务中权利与义务的法律文件，与甲方认购</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申购理财产品对应的《信银理财理财产品产品说明书》《信银理财理财产品风险揭示书》等相关文件与本协议共同构成理财产品合同的有效组成部分，与本协议具有同等法律效力。甲方认购</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申购乙方多支理财产品时，不同理财产品对应的《信银理财理财产品产品说明书》《信银理财理财产品风险揭示书》组成的理财产品合同互相独立。</w:t>
      </w:r>
    </w:p>
    <w:p>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本协议不作为甲方认购</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申购或持有理财产品的凭证。</w:t>
      </w:r>
    </w:p>
    <w:p>
      <w:pPr>
        <w:spacing w:line="300" w:lineRule="exact"/>
        <w:ind w:firstLine="482"/>
        <w:rPr>
          <w:rFonts w:ascii="Times New Roman" w:hAnsi="Times New Roman" w:eastAsia="楷体_GB2312" w:cs="Times New Roman"/>
          <w:sz w:val="20"/>
          <w:szCs w:val="20"/>
        </w:rPr>
      </w:pPr>
    </w:p>
    <w:p>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二、风险提示</w:t>
      </w:r>
    </w:p>
    <w:p>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本产品为</w:t>
      </w:r>
      <w:r>
        <w:rPr>
          <w:rFonts w:ascii="Times New Roman" w:hAnsi="Times New Roman" w:eastAsia="楷体_GB2312" w:cs="Times New Roman"/>
          <w:b/>
          <w:bCs/>
          <w:sz w:val="20"/>
          <w:szCs w:val="20"/>
        </w:rPr>
        <w:t>【固定收益类】</w:t>
      </w:r>
      <w:r>
        <w:rPr>
          <w:rFonts w:hint="eastAsia" w:ascii="Times New Roman" w:hAnsi="Times New Roman" w:eastAsia="楷体_GB2312" w:cs="Times New Roman"/>
          <w:b/>
          <w:bCs/>
          <w:sz w:val="20"/>
          <w:szCs w:val="20"/>
        </w:rPr>
        <w:t>产品</w:t>
      </w:r>
      <w:r>
        <w:rPr>
          <w:rFonts w:ascii="Times New Roman" w:hAnsi="Times New Roman" w:eastAsia="楷体_GB2312" w:cs="Times New Roman"/>
          <w:b/>
          <w:bCs/>
          <w:sz w:val="20"/>
          <w:szCs w:val="20"/>
        </w:rPr>
        <w:t>，</w:t>
      </w:r>
      <w:r>
        <w:rPr>
          <w:rFonts w:hint="eastAsia" w:ascii="Times New Roman" w:hAnsi="Times New Roman" w:eastAsia="楷体_GB2312" w:cs="Times New Roman"/>
          <w:b/>
          <w:bCs/>
          <w:sz w:val="20"/>
          <w:szCs w:val="20"/>
        </w:rPr>
        <w:t>具体投资对象</w:t>
      </w:r>
      <w:r>
        <w:rPr>
          <w:rFonts w:ascii="Times New Roman" w:hAnsi="Times New Roman" w:eastAsia="楷体_GB2312" w:cs="Times New Roman"/>
          <w:b/>
          <w:bCs/>
          <w:sz w:val="20"/>
          <w:szCs w:val="20"/>
        </w:rPr>
        <w:t>投资比例如下：</w:t>
      </w:r>
    </w:p>
    <w:tbl>
      <w:tblPr>
        <w:tblStyle w:val="9"/>
        <w:tblW w:w="3503" w:type="pct"/>
        <w:tblInd w:w="127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23"/>
        <w:gridCol w:w="17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37" w:type="pct"/>
            <w:vAlign w:val="center"/>
          </w:tcPr>
          <w:p>
            <w:pPr>
              <w:ind w:right="25" w:rightChars="12"/>
              <w:jc w:val="center"/>
              <w:rPr>
                <w:rFonts w:ascii="楷体" w:hAnsi="楷体" w:eastAsia="楷体"/>
                <w:b/>
                <w:bCs/>
                <w:color w:val="000000"/>
                <w:sz w:val="20"/>
                <w:szCs w:val="20"/>
              </w:rPr>
            </w:pPr>
            <w:r>
              <w:rPr>
                <w:rFonts w:hint="eastAsia" w:ascii="楷体" w:hAnsi="楷体" w:eastAsia="楷体"/>
                <w:b/>
                <w:bCs/>
                <w:color w:val="000000"/>
                <w:sz w:val="20"/>
                <w:szCs w:val="20"/>
              </w:rPr>
              <w:t>资产种类</w:t>
            </w:r>
          </w:p>
        </w:tc>
        <w:tc>
          <w:tcPr>
            <w:tcW w:w="1463" w:type="pct"/>
            <w:vAlign w:val="center"/>
          </w:tcPr>
          <w:p>
            <w:pPr>
              <w:ind w:right="25" w:rightChars="12"/>
              <w:jc w:val="center"/>
              <w:rPr>
                <w:rFonts w:ascii="楷体" w:hAnsi="楷体" w:eastAsia="楷体"/>
                <w:b/>
                <w:bCs/>
                <w:color w:val="000000"/>
                <w:sz w:val="20"/>
                <w:szCs w:val="20"/>
              </w:rPr>
            </w:pPr>
            <w:r>
              <w:rPr>
                <w:rFonts w:hint="eastAsia" w:ascii="楷体" w:hAnsi="楷体" w:eastAsia="楷体"/>
                <w:b/>
                <w:bCs/>
                <w:color w:val="000000"/>
                <w:sz w:val="20"/>
                <w:szCs w:val="20"/>
              </w:rPr>
              <w:t>投资比例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37" w:type="pct"/>
            <w:vAlign w:val="center"/>
          </w:tcPr>
          <w:p>
            <w:pPr>
              <w:ind w:right="25" w:rightChars="12"/>
              <w:jc w:val="center"/>
              <w:rPr>
                <w:rFonts w:ascii="楷体" w:hAnsi="楷体" w:eastAsia="楷体"/>
                <w:color w:val="000000"/>
                <w:sz w:val="20"/>
                <w:szCs w:val="20"/>
              </w:rPr>
            </w:pPr>
            <w:r>
              <w:rPr>
                <w:rFonts w:hint="eastAsia" w:ascii="楷体" w:hAnsi="楷体" w:eastAsia="楷体"/>
                <w:color w:val="000000"/>
                <w:sz w:val="20"/>
                <w:szCs w:val="20"/>
              </w:rPr>
              <w:t>债权类资产</w:t>
            </w:r>
          </w:p>
        </w:tc>
        <w:tc>
          <w:tcPr>
            <w:tcW w:w="1463" w:type="pct"/>
            <w:vAlign w:val="center"/>
          </w:tcPr>
          <w:p>
            <w:pPr>
              <w:ind w:right="25" w:rightChars="12"/>
              <w:jc w:val="center"/>
              <w:rPr>
                <w:rFonts w:ascii="楷体" w:hAnsi="楷体" w:eastAsia="楷体"/>
                <w:color w:val="000000"/>
                <w:sz w:val="20"/>
                <w:szCs w:val="20"/>
              </w:rPr>
            </w:pPr>
            <w:r>
              <w:rPr>
                <w:rFonts w:hint="eastAsia" w:ascii="楷体" w:hAnsi="楷体" w:eastAsia="楷体"/>
                <w:sz w:val="20"/>
                <w:szCs w:val="20"/>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37" w:type="pct"/>
            <w:vAlign w:val="center"/>
          </w:tcPr>
          <w:p>
            <w:pPr>
              <w:ind w:right="25" w:rightChars="12"/>
              <w:jc w:val="center"/>
              <w:rPr>
                <w:rFonts w:ascii="楷体" w:hAnsi="楷体" w:eastAsia="楷体"/>
                <w:color w:val="000000"/>
                <w:sz w:val="20"/>
                <w:szCs w:val="20"/>
              </w:rPr>
            </w:pPr>
            <w:r>
              <w:rPr>
                <w:rFonts w:hint="eastAsia" w:ascii="楷体" w:hAnsi="楷体" w:eastAsia="楷体"/>
                <w:color w:val="000000"/>
                <w:sz w:val="20"/>
                <w:szCs w:val="20"/>
              </w:rPr>
              <w:t>其中</w:t>
            </w:r>
            <w:r>
              <w:rPr>
                <w:rFonts w:ascii="楷体" w:hAnsi="楷体" w:eastAsia="楷体"/>
                <w:color w:val="000000"/>
                <w:sz w:val="20"/>
                <w:szCs w:val="20"/>
              </w:rPr>
              <w:t>，非标准化债权类资产</w:t>
            </w:r>
          </w:p>
        </w:tc>
        <w:tc>
          <w:tcPr>
            <w:tcW w:w="1463" w:type="pct"/>
            <w:vAlign w:val="center"/>
          </w:tcPr>
          <w:p>
            <w:pPr>
              <w:ind w:right="25" w:rightChars="12"/>
              <w:jc w:val="center"/>
              <w:rPr>
                <w:rFonts w:ascii="楷体" w:hAnsi="楷体" w:eastAsia="楷体"/>
                <w:color w:val="000000"/>
                <w:sz w:val="20"/>
                <w:szCs w:val="20"/>
              </w:rPr>
            </w:pPr>
            <w:r>
              <w:rPr>
                <w:rFonts w:hint="eastAsia" w:ascii="楷体" w:hAnsi="楷体" w:eastAsia="楷体"/>
                <w:sz w:val="20"/>
                <w:szCs w:val="20"/>
              </w:rPr>
              <w:t>【0%</w:t>
            </w:r>
            <w:r>
              <w:rPr>
                <w:rFonts w:ascii="楷体" w:hAnsi="楷体" w:eastAsia="楷体"/>
                <w:sz w:val="20"/>
                <w:szCs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37" w:type="pct"/>
            <w:vAlign w:val="center"/>
          </w:tcPr>
          <w:p>
            <w:pPr>
              <w:ind w:right="25" w:rightChars="12"/>
              <w:jc w:val="center"/>
              <w:rPr>
                <w:rFonts w:ascii="楷体" w:hAnsi="楷体" w:eastAsia="楷体"/>
                <w:color w:val="000000"/>
                <w:sz w:val="20"/>
                <w:szCs w:val="20"/>
              </w:rPr>
            </w:pPr>
            <w:r>
              <w:rPr>
                <w:rFonts w:hint="eastAsia" w:ascii="楷体" w:hAnsi="楷体" w:eastAsia="楷体"/>
                <w:color w:val="000000"/>
                <w:sz w:val="20"/>
                <w:szCs w:val="20"/>
              </w:rPr>
              <w:t>权益类资产</w:t>
            </w:r>
          </w:p>
        </w:tc>
        <w:tc>
          <w:tcPr>
            <w:tcW w:w="1463" w:type="pct"/>
            <w:vAlign w:val="center"/>
          </w:tcPr>
          <w:p>
            <w:pPr>
              <w:ind w:right="25" w:rightChars="12"/>
              <w:jc w:val="center"/>
              <w:rPr>
                <w:rFonts w:ascii="楷体" w:hAnsi="楷体" w:eastAsia="楷体"/>
                <w:color w:val="000000"/>
                <w:sz w:val="20"/>
                <w:szCs w:val="20"/>
              </w:rPr>
            </w:pPr>
            <w:r>
              <w:rPr>
                <w:rFonts w:hint="eastAsia" w:ascii="楷体" w:hAnsi="楷体" w:eastAsia="楷体"/>
                <w:sz w:val="20"/>
                <w:szCs w:val="20"/>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37" w:type="pct"/>
            <w:vAlign w:val="center"/>
          </w:tcPr>
          <w:p>
            <w:pPr>
              <w:ind w:right="25" w:rightChars="12"/>
              <w:jc w:val="center"/>
              <w:rPr>
                <w:rFonts w:ascii="楷体" w:hAnsi="楷体" w:eastAsia="楷体"/>
                <w:color w:val="000000"/>
                <w:sz w:val="20"/>
                <w:szCs w:val="20"/>
              </w:rPr>
            </w:pPr>
            <w:r>
              <w:rPr>
                <w:rFonts w:hint="eastAsia" w:ascii="楷体" w:hAnsi="楷体" w:eastAsia="楷体"/>
                <w:color w:val="000000"/>
                <w:sz w:val="20"/>
                <w:szCs w:val="20"/>
              </w:rPr>
              <w:t>商品</w:t>
            </w:r>
            <w:r>
              <w:rPr>
                <w:rFonts w:ascii="楷体" w:hAnsi="楷体" w:eastAsia="楷体"/>
                <w:color w:val="000000"/>
                <w:sz w:val="20"/>
                <w:szCs w:val="20"/>
              </w:rPr>
              <w:t>及</w:t>
            </w:r>
            <w:r>
              <w:rPr>
                <w:rFonts w:hint="eastAsia" w:ascii="楷体" w:hAnsi="楷体" w:eastAsia="楷体"/>
                <w:color w:val="000000"/>
                <w:sz w:val="20"/>
                <w:szCs w:val="20"/>
              </w:rPr>
              <w:t>金融</w:t>
            </w:r>
            <w:r>
              <w:rPr>
                <w:rFonts w:ascii="楷体" w:hAnsi="楷体" w:eastAsia="楷体"/>
                <w:color w:val="000000"/>
                <w:sz w:val="20"/>
                <w:szCs w:val="20"/>
              </w:rPr>
              <w:t>衍生品类</w:t>
            </w:r>
            <w:r>
              <w:rPr>
                <w:rFonts w:hint="eastAsia" w:ascii="楷体" w:hAnsi="楷体" w:eastAsia="楷体"/>
                <w:color w:val="000000"/>
                <w:sz w:val="20"/>
                <w:szCs w:val="20"/>
              </w:rPr>
              <w:t>资产：持仓合约价值</w:t>
            </w:r>
          </w:p>
        </w:tc>
        <w:tc>
          <w:tcPr>
            <w:tcW w:w="1463" w:type="pct"/>
            <w:vAlign w:val="center"/>
          </w:tcPr>
          <w:p>
            <w:pPr>
              <w:ind w:right="25" w:rightChars="12"/>
              <w:jc w:val="center"/>
              <w:rPr>
                <w:rFonts w:ascii="楷体" w:hAnsi="楷体" w:eastAsia="楷体"/>
                <w:color w:val="000000"/>
                <w:sz w:val="20"/>
                <w:szCs w:val="20"/>
              </w:rPr>
            </w:pPr>
            <w:r>
              <w:rPr>
                <w:rFonts w:hint="eastAsia" w:ascii="楷体" w:hAnsi="楷体" w:eastAsia="楷体"/>
                <w:sz w:val="20"/>
                <w:szCs w:val="20"/>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 w:hRule="atLeast"/>
        </w:trPr>
        <w:tc>
          <w:tcPr>
            <w:tcW w:w="3537" w:type="pct"/>
            <w:vAlign w:val="center"/>
          </w:tcPr>
          <w:p>
            <w:pPr>
              <w:ind w:right="25" w:rightChars="12"/>
              <w:jc w:val="center"/>
              <w:rPr>
                <w:rFonts w:ascii="楷体" w:hAnsi="楷体" w:eastAsia="楷体"/>
                <w:color w:val="000000"/>
                <w:sz w:val="20"/>
                <w:szCs w:val="20"/>
              </w:rPr>
            </w:pPr>
            <w:r>
              <w:rPr>
                <w:rFonts w:hint="eastAsia" w:ascii="楷体" w:hAnsi="楷体" w:eastAsia="楷体"/>
                <w:color w:val="000000"/>
                <w:sz w:val="20"/>
                <w:szCs w:val="20"/>
              </w:rPr>
              <w:t>商品</w:t>
            </w:r>
            <w:r>
              <w:rPr>
                <w:rFonts w:ascii="楷体" w:hAnsi="楷体" w:eastAsia="楷体"/>
                <w:color w:val="000000"/>
                <w:sz w:val="20"/>
                <w:szCs w:val="20"/>
              </w:rPr>
              <w:t>及</w:t>
            </w:r>
            <w:r>
              <w:rPr>
                <w:rFonts w:hint="eastAsia" w:ascii="楷体" w:hAnsi="楷体" w:eastAsia="楷体"/>
                <w:color w:val="000000"/>
                <w:sz w:val="20"/>
                <w:szCs w:val="20"/>
              </w:rPr>
              <w:t>金融</w:t>
            </w:r>
            <w:r>
              <w:rPr>
                <w:rFonts w:ascii="楷体" w:hAnsi="楷体" w:eastAsia="楷体"/>
                <w:color w:val="000000"/>
                <w:sz w:val="20"/>
                <w:szCs w:val="20"/>
              </w:rPr>
              <w:t>衍生品类</w:t>
            </w:r>
            <w:r>
              <w:rPr>
                <w:rFonts w:hint="eastAsia" w:ascii="楷体" w:hAnsi="楷体" w:eastAsia="楷体"/>
                <w:color w:val="000000"/>
                <w:sz w:val="20"/>
                <w:szCs w:val="20"/>
              </w:rPr>
              <w:t>资产：衍生品账户权益</w:t>
            </w:r>
          </w:p>
        </w:tc>
        <w:tc>
          <w:tcPr>
            <w:tcW w:w="1463" w:type="pct"/>
            <w:vAlign w:val="center"/>
          </w:tcPr>
          <w:p>
            <w:pPr>
              <w:ind w:right="25" w:rightChars="12"/>
              <w:jc w:val="center"/>
              <w:rPr>
                <w:rFonts w:ascii="楷体" w:hAnsi="楷体" w:eastAsia="楷体"/>
                <w:color w:val="000000"/>
                <w:sz w:val="20"/>
                <w:szCs w:val="20"/>
              </w:rPr>
            </w:pPr>
            <w:r>
              <w:rPr>
                <w:rFonts w:hint="eastAsia" w:ascii="楷体" w:hAnsi="楷体" w:eastAsia="楷体"/>
                <w:sz w:val="20"/>
                <w:szCs w:val="20"/>
              </w:rPr>
              <w:t>【0%】</w:t>
            </w:r>
          </w:p>
        </w:tc>
      </w:tr>
    </w:tbl>
    <w:p>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投资者投资本产品可能面临的特定风险主要包括（但不限于）</w:t>
      </w:r>
    </w:p>
    <w:p>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（1）投资债权类资产的风险</w:t>
      </w:r>
    </w:p>
    <w:p>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1）投资标准化债权类资产的风险</w:t>
      </w:r>
    </w:p>
    <w:p>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00" w:lineRule="exact"/>
        <w:ind w:firstLine="480"/>
        <w:rPr>
          <w:rFonts w:ascii="Times New Roman" w:hAnsi="Times New Roman" w:eastAsia="楷体_GB2312" w:cs="Times New Roman"/>
          <w:b/>
          <w:bCs/>
          <w:sz w:val="20"/>
          <w:szCs w:val="20"/>
        </w:rPr>
      </w:pPr>
      <w:r>
        <w:rPr>
          <w:rFonts w:ascii="Times New Roman" w:hAnsi="Times New Roman" w:eastAsia="楷体_GB2312" w:cs="Times New Roman"/>
          <w:b/>
          <w:bCs/>
          <w:sz w:val="20"/>
          <w:szCs w:val="20"/>
        </w:rPr>
        <w:t>2</w:t>
      </w:r>
      <w:r>
        <w:rPr>
          <w:rFonts w:hint="eastAsia" w:ascii="Times New Roman" w:hAnsi="Times New Roman" w:eastAsia="楷体_GB2312" w:cs="Times New Roman"/>
          <w:b/>
          <w:bCs/>
          <w:sz w:val="20"/>
          <w:szCs w:val="20"/>
        </w:rPr>
        <w:t>）投资非标准化债权类资产的风险</w:t>
      </w:r>
    </w:p>
    <w:p>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w:t>
      </w:r>
      <w:r>
        <w:rPr>
          <w:rFonts w:ascii="Times New Roman" w:hAnsi="Times New Roman" w:eastAsia="楷体_GB2312" w:cs="Times New Roman"/>
          <w:b/>
          <w:bCs/>
          <w:sz w:val="20"/>
          <w:szCs w:val="20"/>
        </w:rPr>
        <w:t>2</w:t>
      </w:r>
      <w:r>
        <w:rPr>
          <w:rFonts w:hint="eastAsia" w:ascii="Times New Roman" w:hAnsi="Times New Roman" w:eastAsia="楷体_GB2312" w:cs="Times New Roman"/>
          <w:b/>
          <w:bCs/>
          <w:sz w:val="20"/>
          <w:szCs w:val="20"/>
        </w:rPr>
        <w:t>）投资权益类资产的风险</w:t>
      </w:r>
    </w:p>
    <w:p>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1）投资普通股票可能面临的风险</w:t>
      </w:r>
    </w:p>
    <w:p>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 xml:space="preserve">本产品投资普通股票时可能面临以下风险：国家政策、经济周期、利率、汇率、股票发行人经营情况等因素可能发生变化导致的市场风险；因市场、技术、竞争、管理、财务等导致公司盈利发生变化，其股票价格可能下跌，影响投资者收益；股票定向增发等可能的流通和转让限制导致的流动性风险等。 </w:t>
      </w:r>
    </w:p>
    <w:p>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2）投资优先股可能面临的风险</w:t>
      </w:r>
    </w:p>
    <w:p>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本产品投资优先股时可能面临的以下风险：国家政策、经济周期、利率、汇率、股票发行人经营情况等因素可能发生变化导致的市场风险；因公司基本面改变导致影响优先股的股利支付、在触发事件发生时优先股可能被强制转换为普通股的信用风险；向特定对象发行的优先股只能挂牌转让等优先股可能的流通和转让限制导致的流动性风险等。</w:t>
      </w:r>
    </w:p>
    <w:p>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w:t>
      </w:r>
      <w:r>
        <w:rPr>
          <w:rFonts w:ascii="Times New Roman" w:hAnsi="Times New Roman" w:eastAsia="楷体_GB2312" w:cs="Times New Roman"/>
          <w:b/>
          <w:bCs/>
          <w:sz w:val="20"/>
          <w:szCs w:val="20"/>
        </w:rPr>
        <w:t>3</w:t>
      </w:r>
      <w:r>
        <w:rPr>
          <w:rFonts w:hint="eastAsia" w:ascii="Times New Roman" w:hAnsi="Times New Roman" w:eastAsia="楷体_GB2312" w:cs="Times New Roman"/>
          <w:b/>
          <w:bCs/>
          <w:sz w:val="20"/>
          <w:szCs w:val="20"/>
        </w:rPr>
        <w:t>）投资商品及金融衍生品类资产的风险</w:t>
      </w:r>
    </w:p>
    <w:p>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本产品投资商品及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spacing w:line="300" w:lineRule="exact"/>
        <w:ind w:firstLine="480"/>
        <w:rPr>
          <w:rFonts w:ascii="Times New Roman" w:hAnsi="Times New Roman" w:eastAsia="楷体_GB2312" w:cs="Times New Roman"/>
          <w:b/>
          <w:bCs/>
          <w:sz w:val="20"/>
          <w:szCs w:val="20"/>
        </w:rPr>
      </w:pPr>
    </w:p>
    <w:p>
      <w:pPr>
        <w:spacing w:line="300" w:lineRule="exact"/>
        <w:ind w:firstLine="480"/>
        <w:rPr>
          <w:rFonts w:ascii="Times New Roman" w:hAnsi="Times New Roman" w:eastAsia="楷体_GB2312" w:cs="Times New Roman"/>
          <w:b/>
          <w:bCs/>
          <w:i/>
          <w:szCs w:val="20"/>
          <w:u w:val="single"/>
        </w:rPr>
      </w:pPr>
      <w:r>
        <w:rPr>
          <w:rFonts w:hint="eastAsia" w:ascii="Times New Roman" w:hAnsi="Times New Roman" w:eastAsia="楷体_GB2312" w:cs="Times New Roman"/>
          <w:b/>
          <w:bCs/>
          <w:i/>
          <w:szCs w:val="20"/>
          <w:u w:val="single"/>
        </w:rPr>
        <w:t>注：以上特定风险仅为列举性质，未能详尽列明投资本产品可能面临的全部风险和可能导致投资者投资本金及收益损失的所有因素。</w:t>
      </w:r>
    </w:p>
    <w:p>
      <w:pPr>
        <w:spacing w:line="300" w:lineRule="exact"/>
        <w:ind w:firstLine="480"/>
        <w:rPr>
          <w:rFonts w:ascii="Times New Roman" w:hAnsi="Times New Roman" w:eastAsia="楷体_GB2312" w:cs="Times New Roman"/>
          <w:b/>
          <w:bCs/>
          <w:sz w:val="20"/>
          <w:szCs w:val="20"/>
        </w:rPr>
      </w:pPr>
    </w:p>
    <w:p>
      <w:pPr>
        <w:spacing w:line="300" w:lineRule="exact"/>
        <w:ind w:firstLine="482"/>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理财非存款、产品有风险、投资须谨慎，理财产品过往业绩不代表其未来表现，不等于理财产品实际收益。投资者投资理财产品的，请关注产品各类</w:t>
      </w:r>
      <w:r>
        <w:rPr>
          <w:rFonts w:ascii="Times New Roman" w:hAnsi="Times New Roman" w:eastAsia="楷体_GB2312" w:cs="Times New Roman"/>
          <w:b/>
          <w:bCs/>
          <w:sz w:val="20"/>
          <w:szCs w:val="20"/>
        </w:rPr>
        <w:t>投资对象</w:t>
      </w:r>
      <w:r>
        <w:rPr>
          <w:rFonts w:hint="eastAsia" w:ascii="Times New Roman" w:hAnsi="Times New Roman" w:eastAsia="楷体_GB2312" w:cs="Times New Roman"/>
          <w:b/>
          <w:bCs/>
          <w:sz w:val="20"/>
          <w:szCs w:val="20"/>
        </w:rPr>
        <w:t>的</w:t>
      </w:r>
      <w:r>
        <w:rPr>
          <w:rFonts w:ascii="Times New Roman" w:hAnsi="Times New Roman" w:eastAsia="楷体_GB2312" w:cs="Times New Roman"/>
          <w:b/>
          <w:bCs/>
          <w:sz w:val="20"/>
          <w:szCs w:val="20"/>
        </w:rPr>
        <w:t>投资比例及相应</w:t>
      </w:r>
      <w:r>
        <w:rPr>
          <w:rFonts w:hint="eastAsia" w:ascii="Times New Roman" w:hAnsi="Times New Roman" w:eastAsia="楷体_GB2312" w:cs="Times New Roman"/>
          <w:b/>
          <w:bCs/>
          <w:sz w:val="20"/>
          <w:szCs w:val="20"/>
        </w:rPr>
        <w:t>投资</w:t>
      </w:r>
      <w:r>
        <w:rPr>
          <w:rFonts w:ascii="Times New Roman" w:hAnsi="Times New Roman" w:eastAsia="楷体_GB2312" w:cs="Times New Roman"/>
          <w:b/>
          <w:bCs/>
          <w:sz w:val="20"/>
          <w:szCs w:val="20"/>
        </w:rPr>
        <w:t>风险</w:t>
      </w:r>
      <w:r>
        <w:rPr>
          <w:rFonts w:hint="eastAsia" w:ascii="Times New Roman" w:hAnsi="Times New Roman" w:eastAsia="楷体_GB2312" w:cs="Times New Roman"/>
          <w:b/>
          <w:bCs/>
          <w:sz w:val="20"/>
          <w:szCs w:val="20"/>
        </w:rPr>
        <w:t>，基于所投资的不同理财产品可能面临包括但不限于信用风险、市场风险、流动性风险、提前终止风险、政策风险、信息传递风险、管理风险、延期清算风险、理财产品不成立风险、不可抗力及意外事件风险、理财本金全部损失风险、合作销售机构（代销机构）风险、操作风险、关联交易风险等风险，具体风险请甲方仔细阅读认购</w:t>
      </w:r>
      <w:r>
        <w:rPr>
          <w:rFonts w:ascii="Times New Roman" w:hAnsi="Times New Roman" w:eastAsia="楷体_GB2312" w:cs="Times New Roman"/>
          <w:b/>
          <w:bCs/>
          <w:sz w:val="20"/>
          <w:szCs w:val="20"/>
        </w:rPr>
        <w:t>/</w:t>
      </w:r>
      <w:r>
        <w:rPr>
          <w:rFonts w:hint="eastAsia" w:ascii="Times New Roman" w:hAnsi="Times New Roman" w:eastAsia="楷体_GB2312" w:cs="Times New Roman"/>
          <w:b/>
          <w:bCs/>
          <w:sz w:val="20"/>
          <w:szCs w:val="20"/>
        </w:rPr>
        <w:t>申购的理财产品的《信银理财理财产品产品说明书》和《信银理财理财产品风险揭示书》中的相应条款。</w:t>
      </w:r>
    </w:p>
    <w:p>
      <w:pPr>
        <w:spacing w:line="300" w:lineRule="exact"/>
        <w:ind w:firstLine="482"/>
        <w:rPr>
          <w:rFonts w:ascii="Times New Roman" w:hAnsi="Times New Roman" w:eastAsia="楷体_GB2312" w:cs="Times New Roman"/>
          <w:sz w:val="20"/>
          <w:szCs w:val="20"/>
        </w:rPr>
      </w:pPr>
    </w:p>
    <w:p>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三、投资条款</w:t>
      </w:r>
    </w:p>
    <w:p>
      <w:pPr>
        <w:spacing w:line="300" w:lineRule="exact"/>
        <w:ind w:firstLine="482"/>
        <w:rPr>
          <w:rFonts w:ascii="Times New Roman" w:hAnsi="Times New Roman" w:eastAsia="楷体_GB2312" w:cs="Times New Roman"/>
          <w:bCs/>
          <w:sz w:val="20"/>
          <w:szCs w:val="20"/>
        </w:rPr>
      </w:pPr>
      <w:r>
        <w:rPr>
          <w:rFonts w:hint="eastAsia" w:ascii="Times New Roman" w:hAnsi="Times New Roman" w:eastAsia="楷体_GB2312" w:cs="Times New Roman"/>
          <w:bCs/>
          <w:sz w:val="20"/>
          <w:szCs w:val="20"/>
        </w:rPr>
        <w:t>甲方认购</w:t>
      </w:r>
      <w:r>
        <w:rPr>
          <w:rFonts w:ascii="Times New Roman" w:hAnsi="Times New Roman" w:eastAsia="楷体_GB2312" w:cs="Times New Roman"/>
          <w:bCs/>
          <w:sz w:val="20"/>
          <w:szCs w:val="20"/>
        </w:rPr>
        <w:t>/</w:t>
      </w:r>
      <w:r>
        <w:rPr>
          <w:rFonts w:hint="eastAsia" w:ascii="Times New Roman" w:hAnsi="Times New Roman" w:eastAsia="楷体_GB2312" w:cs="Times New Roman"/>
          <w:bCs/>
          <w:sz w:val="20"/>
          <w:szCs w:val="20"/>
        </w:rPr>
        <w:t>申购理财产品的具体认购</w:t>
      </w:r>
      <w:r>
        <w:rPr>
          <w:rFonts w:ascii="Times New Roman" w:hAnsi="Times New Roman" w:eastAsia="楷体_GB2312" w:cs="Times New Roman"/>
          <w:bCs/>
          <w:sz w:val="20"/>
          <w:szCs w:val="20"/>
        </w:rPr>
        <w:t>/</w:t>
      </w:r>
      <w:r>
        <w:rPr>
          <w:rFonts w:hint="eastAsia" w:ascii="Times New Roman" w:hAnsi="Times New Roman" w:eastAsia="楷体_GB2312" w:cs="Times New Roman"/>
          <w:bCs/>
          <w:sz w:val="20"/>
          <w:szCs w:val="20"/>
        </w:rPr>
        <w:t>申购条件、流程、金额、份额、费用以及其他投资条款，由甲方实际认购</w:t>
      </w:r>
      <w:r>
        <w:rPr>
          <w:rFonts w:ascii="Times New Roman" w:hAnsi="Times New Roman" w:eastAsia="楷体_GB2312" w:cs="Times New Roman"/>
          <w:bCs/>
          <w:sz w:val="20"/>
          <w:szCs w:val="20"/>
        </w:rPr>
        <w:t>/</w:t>
      </w:r>
      <w:r>
        <w:rPr>
          <w:rFonts w:hint="eastAsia" w:ascii="Times New Roman" w:hAnsi="Times New Roman" w:eastAsia="楷体_GB2312" w:cs="Times New Roman"/>
          <w:bCs/>
          <w:sz w:val="20"/>
          <w:szCs w:val="20"/>
        </w:rPr>
        <w:t>申购的理财产品的《信银理财理财产品产品说明书》具体约定。</w:t>
      </w:r>
    </w:p>
    <w:p>
      <w:pPr>
        <w:spacing w:line="300" w:lineRule="exact"/>
        <w:ind w:firstLine="482"/>
        <w:rPr>
          <w:rFonts w:ascii="Times New Roman" w:hAnsi="Times New Roman" w:eastAsia="楷体_GB2312" w:cs="Times New Roman"/>
          <w:b/>
          <w:bCs/>
          <w:sz w:val="20"/>
          <w:szCs w:val="20"/>
        </w:rPr>
      </w:pPr>
    </w:p>
    <w:p>
      <w:pPr>
        <w:spacing w:line="300" w:lineRule="exact"/>
        <w:ind w:firstLine="480"/>
        <w:rPr>
          <w:rFonts w:ascii="Times New Roman" w:hAnsi="Times New Roman" w:eastAsia="楷体_GB2312" w:cs="Times New Roman"/>
          <w:sz w:val="20"/>
          <w:szCs w:val="20"/>
        </w:rPr>
      </w:pPr>
      <w:r>
        <w:rPr>
          <w:rFonts w:hint="eastAsia" w:ascii="Times New Roman" w:hAnsi="Times New Roman" w:eastAsia="楷体_GB2312" w:cs="Times New Roman"/>
          <w:b/>
          <w:bCs/>
          <w:sz w:val="20"/>
          <w:szCs w:val="20"/>
        </w:rPr>
        <w:t>四、甲方的权利与义务</w:t>
      </w:r>
    </w:p>
    <w:p>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（一）甲方具有完全民事行为能力，有完全适当的资格与能力订立并履行理财产品销售文件，不存在法律、行政法规有关规定禁止或限制投资理财产品的情形（适用于个人投资者）；</w:t>
      </w:r>
    </w:p>
    <w:p>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甲方确认签署和履行理财产品销售文件系其真实意思表示，已经按照其章程或者其它内部管理文件的要求取得合法、有效的授权且不会违反对其有约束力的任何合同和其他法律文件；甲方已经取得签订和履行理财产品销售文件所需的一切有关批准、许可、备案或者登记（适用于机构投资者）</w:t>
      </w:r>
    </w:p>
    <w:p>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（二）甲方保证以真实身份投资本理财产品，保证提供给产品管理人</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代销机构的信息和资料均真实、准确、完整、合法。如甲方的信息和</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或资料发生变更，应当及时书面告知产品管理人或代销机构；</w:t>
      </w:r>
    </w:p>
    <w:p>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（三）甲方声明熟悉理财产品类型特征及不同销售渠道的法律法规规定；</w:t>
      </w:r>
    </w:p>
    <w:p>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（四）甲方承诺：如委托他人购买本产品，代理人须出具具有法律效力的授权委托书；</w:t>
      </w:r>
    </w:p>
    <w:p>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（五）甲方保证理财投资资金来源和用途合法，保证可向产品管理人</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代销机构提供合法筹集的证明文件；</w:t>
      </w:r>
    </w:p>
    <w:p>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（六）甲方不得利用理财业务及理财产品销售文件项下理财产品从事违法活动；</w:t>
      </w:r>
    </w:p>
    <w:p>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（七）甲方保证遵守国家反洗钱法律、法规及相关政策要求，不从事涉及洗钱、恐怖融资、逃税、逃废债务、套取现金等违法违规活动，积极配合管理人</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代销机构开展投资者身份识别、交易记录保存、投资者身份及交易背景尽职调查、大额和可疑交易报告等各项反洗钱工作，并按要求提供相关证明材料；</w:t>
      </w:r>
    </w:p>
    <w:p>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（八）甲方不属于联合国、欧盟或美国等制裁名单，及中国政府部门或有权机关发布的涉恐及反洗钱相关风险名单内的企业或个人；不位于被联合国、欧盟或美国等制裁的国家和地区；</w:t>
      </w:r>
    </w:p>
    <w:p>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（九）甲方保证不使用贷款、发行债券等筹集的非自有资金投资理财产品，保证投资本理财产品不存在违反监管要求的产品嵌套，以及以投资本理财产品规避投资范围、杠杆约束等监管要求等违规行为。</w:t>
      </w:r>
    </w:p>
    <w:p>
      <w:pPr>
        <w:spacing w:line="300" w:lineRule="exact"/>
        <w:ind w:firstLine="482"/>
        <w:rPr>
          <w:rFonts w:ascii="Times New Roman" w:hAnsi="Times New Roman" w:eastAsia="楷体_GB2312" w:cs="Times New Roman"/>
          <w:sz w:val="20"/>
          <w:szCs w:val="20"/>
        </w:rPr>
      </w:pPr>
    </w:p>
    <w:p>
      <w:pPr>
        <w:spacing w:line="300" w:lineRule="exact"/>
        <w:ind w:firstLine="480"/>
        <w:rPr>
          <w:rFonts w:ascii="Times New Roman" w:hAnsi="Times New Roman" w:eastAsia="楷体_GB2312" w:cs="Times New Roman"/>
          <w:sz w:val="20"/>
          <w:szCs w:val="20"/>
        </w:rPr>
      </w:pPr>
      <w:r>
        <w:rPr>
          <w:rFonts w:hint="eastAsia" w:ascii="Times New Roman" w:hAnsi="Times New Roman" w:eastAsia="楷体_GB2312" w:cs="Times New Roman"/>
          <w:b/>
          <w:bCs/>
          <w:sz w:val="20"/>
          <w:szCs w:val="20"/>
        </w:rPr>
        <w:t>五、乙方的权利与义务</w:t>
      </w:r>
    </w:p>
    <w:p>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（一）乙方具有开办理财业务的经营资质，保证以诚实守信、勤勉尽职的原则管理和运用理财资金；</w:t>
      </w:r>
    </w:p>
    <w:p>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（二）乙方具有完全适当的资格和能力订立与履行理财产品合同。</w:t>
      </w:r>
    </w:p>
    <w:p>
      <w:pPr>
        <w:spacing w:line="300" w:lineRule="exact"/>
        <w:ind w:firstLine="482"/>
        <w:rPr>
          <w:rFonts w:ascii="Times New Roman" w:hAnsi="Times New Roman" w:eastAsia="楷体_GB2312" w:cs="Times New Roman"/>
          <w:sz w:val="20"/>
          <w:szCs w:val="20"/>
        </w:rPr>
      </w:pPr>
    </w:p>
    <w:p>
      <w:pPr>
        <w:spacing w:line="300" w:lineRule="exact"/>
        <w:ind w:firstLine="480"/>
        <w:rPr>
          <w:rFonts w:ascii="Times New Roman" w:hAnsi="Times New Roman" w:eastAsia="楷体_GB2312" w:cs="Times New Roman"/>
          <w:b/>
          <w:sz w:val="20"/>
          <w:szCs w:val="20"/>
        </w:rPr>
      </w:pPr>
      <w:r>
        <w:rPr>
          <w:rFonts w:hint="eastAsia" w:ascii="Times New Roman" w:hAnsi="Times New Roman" w:eastAsia="楷体_GB2312" w:cs="Times New Roman"/>
          <w:b/>
          <w:bCs/>
          <w:sz w:val="20"/>
          <w:szCs w:val="20"/>
        </w:rPr>
        <w:t>六、违约责任</w:t>
      </w:r>
    </w:p>
    <w:p>
      <w:pPr>
        <w:spacing w:line="300" w:lineRule="exact"/>
        <w:ind w:firstLine="482"/>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双方因违反本协议约定而给对方造成损失的，违约方应赔偿因此给对方造成的直接损失。</w:t>
      </w:r>
    </w:p>
    <w:p>
      <w:pPr>
        <w:spacing w:line="300" w:lineRule="exact"/>
        <w:ind w:firstLine="482"/>
        <w:rPr>
          <w:rFonts w:ascii="Times New Roman" w:hAnsi="Times New Roman" w:eastAsia="楷体_GB2312" w:cs="Times New Roman"/>
          <w:b/>
          <w:bCs/>
          <w:sz w:val="20"/>
          <w:szCs w:val="20"/>
        </w:rPr>
      </w:pPr>
    </w:p>
    <w:p>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七、免责内容</w:t>
      </w:r>
    </w:p>
    <w:p>
      <w:pPr>
        <w:spacing w:line="300" w:lineRule="exact"/>
        <w:ind w:firstLine="482"/>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因法律法规或监管政策变化、自然灾害、意外事故、战争、系统故障、通讯故障等信银理财客观不能预见、不能避免、不能克服的不可抗力事件或意外事件，导致信银理财无法或延后履行本协议及《信银理财理财产品产品说明书》有关义务的，信银理财不承担责任，但因信银理财故意或重大过失造成的系统故障、通讯故障的除外。前述约定不免除因信银理财过错导致依法应由产品管理人承担的责任。乙方应在条件允许的情况下，采取必要的补救措施以减少不可抗力造成的损失</w:t>
      </w:r>
      <w:r>
        <w:rPr>
          <w:rFonts w:ascii="Times New Roman" w:hAnsi="Times New Roman" w:eastAsia="楷体_GB2312" w:cs="Times New Roman"/>
          <w:b/>
          <w:bCs/>
          <w:sz w:val="20"/>
          <w:szCs w:val="20"/>
        </w:rPr>
        <w:t>。</w:t>
      </w:r>
    </w:p>
    <w:p>
      <w:pPr>
        <w:spacing w:line="300" w:lineRule="exact"/>
        <w:ind w:firstLine="482"/>
        <w:rPr>
          <w:rFonts w:ascii="Times New Roman" w:hAnsi="Times New Roman" w:eastAsia="楷体_GB2312" w:cs="Times New Roman"/>
          <w:b/>
          <w:bCs/>
          <w:sz w:val="20"/>
          <w:szCs w:val="20"/>
        </w:rPr>
      </w:pPr>
    </w:p>
    <w:p>
      <w:pPr>
        <w:spacing w:line="300" w:lineRule="exact"/>
        <w:ind w:firstLine="480"/>
        <w:rPr>
          <w:rFonts w:ascii="Times New Roman" w:hAnsi="Times New Roman" w:eastAsia="楷体_GB2312" w:cs="Times New Roman"/>
          <w:b/>
          <w:sz w:val="20"/>
          <w:szCs w:val="20"/>
        </w:rPr>
      </w:pPr>
      <w:r>
        <w:rPr>
          <w:rFonts w:hint="eastAsia" w:ascii="Times New Roman" w:hAnsi="Times New Roman" w:eastAsia="楷体_GB2312" w:cs="Times New Roman"/>
          <w:b/>
          <w:bCs/>
          <w:sz w:val="20"/>
          <w:szCs w:val="20"/>
        </w:rPr>
        <w:t>八、争议解决</w:t>
      </w:r>
    </w:p>
    <w:p>
      <w:pPr>
        <w:spacing w:line="300" w:lineRule="exact"/>
        <w:ind w:firstLine="482"/>
        <w:rPr>
          <w:rFonts w:ascii="Times New Roman" w:hAnsi="Times New Roman" w:eastAsia="楷体_GB2312" w:cs="Times New Roman"/>
          <w:b/>
          <w:bCs/>
          <w:sz w:val="20"/>
          <w:szCs w:val="20"/>
        </w:rPr>
      </w:pPr>
      <w:r>
        <w:rPr>
          <w:rFonts w:hint="eastAsia" w:ascii="Times New Roman" w:hAnsi="Times New Roman" w:eastAsia="楷体_GB2312" w:cs="Times New Roman"/>
          <w:b/>
          <w:sz w:val="20"/>
          <w:szCs w:val="20"/>
        </w:rPr>
        <w:t>（一）本协议及其他理财产品合同适用中华人民共和国法律（为履行理财产品合同之目的，不包括中国香港特别行政区、澳门特别行政区及台湾地区法律）。</w:t>
      </w:r>
    </w:p>
    <w:p>
      <w:pPr>
        <w:spacing w:line="300" w:lineRule="exact"/>
        <w:ind w:firstLine="482"/>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（二）凡因</w:t>
      </w:r>
      <w:r>
        <w:rPr>
          <w:rFonts w:hint="eastAsia" w:ascii="Times New Roman" w:hAnsi="Times New Roman" w:eastAsia="楷体_GB2312" w:cs="Times New Roman"/>
          <w:b/>
          <w:sz w:val="20"/>
          <w:szCs w:val="20"/>
        </w:rPr>
        <w:t>本协议/</w:t>
      </w:r>
      <w:r>
        <w:rPr>
          <w:rFonts w:hint="eastAsia" w:ascii="Times New Roman" w:hAnsi="Times New Roman" w:eastAsia="楷体_GB2312" w:cs="Times New Roman"/>
          <w:b/>
          <w:bCs/>
          <w:sz w:val="20"/>
          <w:szCs w:val="20"/>
        </w:rPr>
        <w:t>理财产品合同引起的或与本协议/理财产品合同有关的任何争议，甲乙双方应本着诚实信用的原则通过协商解决。如通过协商仍不能解决争议时，双方应将该等争议提交上海仲裁委员会仲裁，仲裁地在上海。仲裁裁决是终局性的，对双方均有约束力。除非仲裁裁决另有规定，双方为仲裁而实际支付的费用（包括但不限于仲裁费和律师费）由败诉方承担。</w:t>
      </w:r>
    </w:p>
    <w:p>
      <w:pPr>
        <w:spacing w:line="300" w:lineRule="exact"/>
        <w:ind w:firstLine="482"/>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（三）在协商或仲裁期间，对于本协议/理财产品合同不涉及争议部分的条款，双方仍须履行。</w:t>
      </w:r>
    </w:p>
    <w:p>
      <w:pPr>
        <w:spacing w:line="300" w:lineRule="exact"/>
        <w:ind w:firstLine="482"/>
        <w:rPr>
          <w:rFonts w:ascii="Times New Roman" w:hAnsi="Times New Roman" w:eastAsia="楷体_GB2312" w:cs="Times New Roman"/>
          <w:b/>
          <w:sz w:val="20"/>
          <w:szCs w:val="20"/>
        </w:rPr>
      </w:pPr>
    </w:p>
    <w:p>
      <w:pPr>
        <w:spacing w:line="300" w:lineRule="exact"/>
        <w:ind w:firstLine="480"/>
        <w:rPr>
          <w:rFonts w:ascii="Times New Roman" w:hAnsi="Times New Roman" w:eastAsia="楷体_GB2312" w:cs="Times New Roman"/>
          <w:b/>
          <w:sz w:val="20"/>
          <w:szCs w:val="20"/>
        </w:rPr>
      </w:pPr>
      <w:r>
        <w:rPr>
          <w:rFonts w:hint="eastAsia" w:ascii="Times New Roman" w:hAnsi="Times New Roman" w:eastAsia="楷体_GB2312" w:cs="Times New Roman"/>
          <w:b/>
          <w:sz w:val="20"/>
          <w:szCs w:val="20"/>
        </w:rPr>
        <w:t>九、附则</w:t>
      </w:r>
    </w:p>
    <w:p>
      <w:pPr>
        <w:spacing w:line="300" w:lineRule="exact"/>
        <w:ind w:firstLine="482"/>
        <w:rPr>
          <w:rFonts w:ascii="Times New Roman" w:hAnsi="Times New Roman" w:eastAsia="楷体_GB2312" w:cs="Times New Roman"/>
          <w:b/>
          <w:sz w:val="20"/>
          <w:szCs w:val="20"/>
        </w:rPr>
      </w:pPr>
      <w:r>
        <w:rPr>
          <w:rFonts w:hint="eastAsia" w:ascii="Times New Roman" w:hAnsi="Times New Roman" w:eastAsia="楷体_GB2312" w:cs="Times New Roman"/>
          <w:b/>
          <w:sz w:val="20"/>
          <w:szCs w:val="20"/>
        </w:rPr>
        <w:t>（一）本协议通过纸质形式签署的，自甲方签署（甲方为自然人的，应签字；甲方为机构或产品的，应加盖机构或产品管理人公章且其法定代表人或授权代表签章）且甲方产品认购</w:t>
      </w:r>
      <w:r>
        <w:rPr>
          <w:rFonts w:ascii="Times New Roman" w:hAnsi="Times New Roman" w:eastAsia="楷体_GB2312" w:cs="Times New Roman"/>
          <w:b/>
          <w:sz w:val="20"/>
          <w:szCs w:val="20"/>
        </w:rPr>
        <w:t>/</w:t>
      </w:r>
      <w:r>
        <w:rPr>
          <w:rFonts w:hint="eastAsia" w:ascii="Times New Roman" w:hAnsi="Times New Roman" w:eastAsia="楷体_GB2312" w:cs="Times New Roman"/>
          <w:b/>
          <w:sz w:val="20"/>
          <w:szCs w:val="20"/>
        </w:rPr>
        <w:t>申购份额经乙方确认后生效。本协议通过电子形式签署的，自甲方通过乙方产品的各电子销售渠道（包括直销和代销）在线点击确认或勾选且甲方产品认购</w:t>
      </w:r>
      <w:r>
        <w:rPr>
          <w:rFonts w:ascii="Times New Roman" w:hAnsi="Times New Roman" w:eastAsia="楷体_GB2312" w:cs="Times New Roman"/>
          <w:b/>
          <w:sz w:val="20"/>
          <w:szCs w:val="20"/>
        </w:rPr>
        <w:t>/</w:t>
      </w:r>
      <w:r>
        <w:rPr>
          <w:rFonts w:hint="eastAsia" w:ascii="Times New Roman" w:hAnsi="Times New Roman" w:eastAsia="楷体_GB2312" w:cs="Times New Roman"/>
          <w:b/>
          <w:sz w:val="20"/>
          <w:szCs w:val="20"/>
        </w:rPr>
        <w:t>申购份额经乙方确认后生效。甲方知悉并确认，乙方对于甲方认购</w:t>
      </w:r>
      <w:r>
        <w:rPr>
          <w:rFonts w:ascii="Times New Roman" w:hAnsi="Times New Roman" w:eastAsia="楷体_GB2312" w:cs="Times New Roman"/>
          <w:b/>
          <w:sz w:val="20"/>
          <w:szCs w:val="20"/>
        </w:rPr>
        <w:t>/</w:t>
      </w:r>
      <w:r>
        <w:rPr>
          <w:rFonts w:hint="eastAsia" w:ascii="Times New Roman" w:hAnsi="Times New Roman" w:eastAsia="楷体_GB2312" w:cs="Times New Roman"/>
          <w:b/>
          <w:sz w:val="20"/>
          <w:szCs w:val="20"/>
        </w:rPr>
        <w:t>申购份额的确认即视为乙方对于本协议的签署和认可，甲方不得以乙方未在本协议上盖章为由主张本协议无效。</w:t>
      </w:r>
    </w:p>
    <w:p>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（二）本协议条款与《信银理财理财产品产品说明书》条款不一致的，以《信银理财理财产品产品说明书》的约定为准。</w:t>
      </w:r>
    </w:p>
    <w:p>
      <w:pPr>
        <w:spacing w:line="300" w:lineRule="exact"/>
        <w:ind w:firstLine="482"/>
        <w:rPr>
          <w:rFonts w:ascii="Times New Roman" w:hAnsi="Times New Roman" w:eastAsia="楷体_GB2312" w:cs="Times New Roman"/>
          <w:b/>
          <w:sz w:val="20"/>
          <w:szCs w:val="20"/>
        </w:rPr>
      </w:pPr>
      <w:r>
        <w:rPr>
          <w:rFonts w:hint="eastAsia" w:ascii="Times New Roman" w:hAnsi="Times New Roman" w:eastAsia="楷体_GB2312" w:cs="Times New Roman"/>
          <w:b/>
          <w:sz w:val="20"/>
          <w:szCs w:val="20"/>
        </w:rPr>
        <w:t>（三）如果由于任何原因使本协议下的任何条款或者内容成为无效或者依法被撤销，本协议其他条款或内容的合法性，有效性和可执行性不受影响。</w:t>
      </w:r>
    </w:p>
    <w:p>
      <w:pPr>
        <w:spacing w:line="300" w:lineRule="exact"/>
        <w:rPr>
          <w:rFonts w:ascii="Times New Roman" w:hAnsi="Times New Roman" w:eastAsia="楷体_GB2312" w:cs="Times New Roman"/>
          <w:sz w:val="20"/>
          <w:szCs w:val="20"/>
        </w:rPr>
      </w:pPr>
    </w:p>
    <w:p>
      <w:pPr>
        <w:spacing w:line="300" w:lineRule="exact"/>
        <w:rPr>
          <w:rFonts w:ascii="Times New Roman" w:hAnsi="Times New Roman" w:eastAsia="楷体_GB2312" w:cs="Times New Roman"/>
          <w:b/>
          <w:sz w:val="20"/>
          <w:szCs w:val="20"/>
        </w:rPr>
      </w:pPr>
    </w:p>
    <w:p>
      <w:pPr>
        <w:spacing w:line="300" w:lineRule="exact"/>
        <w:rPr>
          <w:rFonts w:ascii="Times New Roman" w:hAnsi="Times New Roman" w:eastAsia="楷体_GB2312" w:cs="Times New Roman"/>
          <w:b/>
          <w:sz w:val="20"/>
          <w:szCs w:val="20"/>
        </w:rPr>
      </w:pPr>
    </w:p>
    <w:p>
      <w:pPr>
        <w:spacing w:line="300" w:lineRule="exact"/>
        <w:rPr>
          <w:rFonts w:ascii="Times New Roman" w:hAnsi="Times New Roman" w:eastAsia="楷体_GB2312" w:cs="Times New Roman"/>
          <w:b/>
          <w:sz w:val="20"/>
          <w:szCs w:val="20"/>
        </w:rPr>
      </w:pPr>
    </w:p>
    <w:p>
      <w:pPr>
        <w:spacing w:line="300" w:lineRule="exact"/>
        <w:rPr>
          <w:rFonts w:ascii="Times New Roman" w:hAnsi="Times New Roman" w:eastAsia="楷体_GB2312" w:cs="Times New Roman"/>
          <w:sz w:val="20"/>
          <w:szCs w:val="20"/>
        </w:rPr>
      </w:pPr>
      <w:r>
        <w:rPr>
          <w:rFonts w:ascii="Times New Roman" w:hAnsi="Times New Roman" w:eastAsia="楷体_GB2312" w:cs="Times New Roman"/>
          <w:b/>
          <w:sz w:val="20"/>
          <w:szCs w:val="20"/>
        </w:rPr>
        <w:t>甲方</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个人投资者（签字）</w:t>
      </w:r>
      <w:r>
        <w:rPr>
          <w:rFonts w:ascii="Times New Roman" w:hAnsi="Times New Roman" w:eastAsia="楷体_GB2312" w:cs="Times New Roman"/>
          <w:sz w:val="20"/>
          <w:szCs w:val="20"/>
        </w:rPr>
        <w:t xml:space="preserve">:               </w:t>
      </w:r>
    </w:p>
    <w:p>
      <w:pPr>
        <w:spacing w:line="300" w:lineRule="exact"/>
        <w:ind w:firstLine="600" w:firstLineChars="300"/>
        <w:rPr>
          <w:rFonts w:ascii="Times New Roman" w:hAnsi="Times New Roman" w:eastAsia="楷体_GB2312" w:cs="Times New Roman"/>
          <w:sz w:val="20"/>
          <w:szCs w:val="20"/>
        </w:rPr>
      </w:pPr>
    </w:p>
    <w:p>
      <w:pPr>
        <w:spacing w:line="300" w:lineRule="exact"/>
        <w:ind w:firstLine="600" w:firstLineChars="300"/>
        <w:rPr>
          <w:rFonts w:ascii="Times New Roman" w:hAnsi="Times New Roman" w:eastAsia="楷体_GB2312" w:cs="Times New Roman"/>
          <w:sz w:val="20"/>
          <w:szCs w:val="20"/>
        </w:rPr>
      </w:pPr>
    </w:p>
    <w:p>
      <w:pPr>
        <w:spacing w:line="300" w:lineRule="exact"/>
        <w:ind w:firstLine="600" w:firstLineChars="300"/>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机构投资者（公章）</w:t>
      </w:r>
      <w:r>
        <w:rPr>
          <w:rFonts w:ascii="Times New Roman" w:hAnsi="Times New Roman" w:eastAsia="楷体_GB2312" w:cs="Times New Roman"/>
          <w:sz w:val="20"/>
          <w:szCs w:val="20"/>
        </w:rPr>
        <w:t xml:space="preserve">:               </w:t>
      </w:r>
    </w:p>
    <w:p>
      <w:pPr>
        <w:spacing w:line="300" w:lineRule="exact"/>
        <w:ind w:firstLine="600" w:firstLineChars="300"/>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法定代表人</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负责人</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授权代表（签字</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盖章）：</w:t>
      </w:r>
    </w:p>
    <w:p>
      <w:pPr>
        <w:spacing w:line="300" w:lineRule="exact"/>
        <w:ind w:firstLine="600" w:firstLineChars="300"/>
        <w:rPr>
          <w:rFonts w:ascii="Times New Roman" w:hAnsi="Times New Roman" w:eastAsia="楷体_GB2312" w:cs="Times New Roman"/>
          <w:sz w:val="20"/>
          <w:szCs w:val="20"/>
        </w:rPr>
      </w:pPr>
    </w:p>
    <w:p>
      <w:pPr>
        <w:spacing w:line="300" w:lineRule="exact"/>
        <w:ind w:firstLine="600" w:firstLineChars="300"/>
        <w:rPr>
          <w:rFonts w:ascii="Times New Roman" w:hAnsi="Times New Roman" w:eastAsia="楷体_GB2312" w:cs="Times New Roman"/>
          <w:sz w:val="20"/>
          <w:szCs w:val="20"/>
        </w:rPr>
      </w:pPr>
    </w:p>
    <w:p>
      <w:pPr>
        <w:spacing w:line="300" w:lineRule="exact"/>
        <w:ind w:firstLine="600" w:firstLineChars="300"/>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证件类别（个人投资者）：</w:t>
      </w:r>
      <w:r>
        <w:rPr>
          <w:rFonts w:ascii="Times New Roman" w:hAnsi="Times New Roman" w:eastAsia="楷体_GB2312" w:cs="Times New Roman"/>
          <w:sz w:val="20"/>
          <w:szCs w:val="20"/>
        </w:rPr>
        <w:t xml:space="preserve">             </w:t>
      </w:r>
    </w:p>
    <w:p>
      <w:pPr>
        <w:spacing w:line="300" w:lineRule="exact"/>
        <w:ind w:firstLine="600" w:firstLineChars="300"/>
        <w:rPr>
          <w:rFonts w:ascii="Times New Roman" w:hAnsi="Times New Roman" w:eastAsia="楷体_GB2312" w:cs="Times New Roman"/>
          <w:sz w:val="20"/>
          <w:szCs w:val="20"/>
        </w:rPr>
      </w:pPr>
    </w:p>
    <w:p>
      <w:pPr>
        <w:spacing w:line="300" w:lineRule="exact"/>
        <w:ind w:firstLine="600" w:firstLineChars="300"/>
        <w:rPr>
          <w:rFonts w:ascii="Times New Roman" w:hAnsi="Times New Roman" w:eastAsia="楷体_GB2312" w:cs="Times New Roman"/>
          <w:sz w:val="20"/>
          <w:szCs w:val="20"/>
        </w:rPr>
      </w:pPr>
    </w:p>
    <w:p>
      <w:pPr>
        <w:spacing w:line="300" w:lineRule="exact"/>
        <w:ind w:firstLine="600" w:firstLineChars="300"/>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证件号（个人投资者）：</w:t>
      </w:r>
      <w:r>
        <w:rPr>
          <w:rFonts w:ascii="Times New Roman" w:hAnsi="Times New Roman" w:eastAsia="楷体_GB2312" w:cs="Times New Roman"/>
          <w:sz w:val="20"/>
          <w:szCs w:val="20"/>
        </w:rPr>
        <w:t xml:space="preserve">                </w:t>
      </w:r>
    </w:p>
    <w:p>
      <w:pPr>
        <w:spacing w:line="300" w:lineRule="exact"/>
        <w:ind w:firstLine="600" w:firstLineChars="300"/>
        <w:rPr>
          <w:rFonts w:ascii="Times New Roman" w:hAnsi="Times New Roman" w:eastAsia="楷体_GB2312" w:cs="Times New Roman"/>
          <w:sz w:val="20"/>
          <w:szCs w:val="20"/>
        </w:rPr>
      </w:pPr>
      <w:r>
        <w:rPr>
          <w:rFonts w:ascii="Times New Roman" w:hAnsi="Times New Roman" w:eastAsia="楷体_GB2312" w:cs="Times New Roman"/>
          <w:sz w:val="20"/>
          <w:szCs w:val="20"/>
        </w:rPr>
        <w:t xml:space="preserve">             </w:t>
      </w:r>
    </w:p>
    <w:p>
      <w:pPr>
        <w:spacing w:line="300" w:lineRule="exact"/>
        <w:ind w:firstLine="600" w:firstLineChars="300"/>
        <w:rPr>
          <w:rFonts w:ascii="Times New Roman" w:hAnsi="Times New Roman" w:eastAsia="楷体_GB2312" w:cs="Times New Roman"/>
          <w:sz w:val="20"/>
          <w:szCs w:val="20"/>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lmYjU4NTM2NDZkOGZhNTg2MmNmMDQyZGE2MzhlMzAifQ=="/>
    <w:docVar w:name="KSO_WPS_MARK_KEY" w:val="655900dd-092c-4caf-8cdb-e6e23dfe6c0a"/>
  </w:docVars>
  <w:rsids>
    <w:rsidRoot w:val="00A2169D"/>
    <w:rsid w:val="0006714A"/>
    <w:rsid w:val="000A4479"/>
    <w:rsid w:val="000C28C2"/>
    <w:rsid w:val="000D2086"/>
    <w:rsid w:val="000E06F1"/>
    <w:rsid w:val="00114D73"/>
    <w:rsid w:val="00141F4E"/>
    <w:rsid w:val="001528C9"/>
    <w:rsid w:val="001F2D5E"/>
    <w:rsid w:val="00263487"/>
    <w:rsid w:val="002A6D19"/>
    <w:rsid w:val="002B4AE5"/>
    <w:rsid w:val="002F5BCC"/>
    <w:rsid w:val="00313118"/>
    <w:rsid w:val="003248CB"/>
    <w:rsid w:val="00367469"/>
    <w:rsid w:val="005439F9"/>
    <w:rsid w:val="00592FEF"/>
    <w:rsid w:val="00597367"/>
    <w:rsid w:val="00631FAE"/>
    <w:rsid w:val="006325B0"/>
    <w:rsid w:val="00633D9E"/>
    <w:rsid w:val="00696EC3"/>
    <w:rsid w:val="006B2611"/>
    <w:rsid w:val="006C2C97"/>
    <w:rsid w:val="006E2E5B"/>
    <w:rsid w:val="00725092"/>
    <w:rsid w:val="00765340"/>
    <w:rsid w:val="007856C8"/>
    <w:rsid w:val="007C2B21"/>
    <w:rsid w:val="00822D91"/>
    <w:rsid w:val="008513DD"/>
    <w:rsid w:val="008601FB"/>
    <w:rsid w:val="00916C07"/>
    <w:rsid w:val="00A16D6F"/>
    <w:rsid w:val="00A2169D"/>
    <w:rsid w:val="00AC1D44"/>
    <w:rsid w:val="00AC7669"/>
    <w:rsid w:val="00AF37BD"/>
    <w:rsid w:val="00B60846"/>
    <w:rsid w:val="00B96AE2"/>
    <w:rsid w:val="00BA6D18"/>
    <w:rsid w:val="00C00F93"/>
    <w:rsid w:val="00C0667A"/>
    <w:rsid w:val="00C440D2"/>
    <w:rsid w:val="00C715C6"/>
    <w:rsid w:val="00C83BCA"/>
    <w:rsid w:val="00CE28A2"/>
    <w:rsid w:val="00D23A8B"/>
    <w:rsid w:val="00D355A4"/>
    <w:rsid w:val="00D36F55"/>
    <w:rsid w:val="00D62C8D"/>
    <w:rsid w:val="00E066CB"/>
    <w:rsid w:val="00E123C0"/>
    <w:rsid w:val="00E32D6A"/>
    <w:rsid w:val="00E34FE4"/>
    <w:rsid w:val="00ED21A0"/>
    <w:rsid w:val="00EE11AA"/>
    <w:rsid w:val="00EF111F"/>
    <w:rsid w:val="00F164CF"/>
    <w:rsid w:val="00F26D52"/>
    <w:rsid w:val="00F35CB8"/>
    <w:rsid w:val="00F720E8"/>
    <w:rsid w:val="00F74ECC"/>
    <w:rsid w:val="00FC4427"/>
    <w:rsid w:val="02C56773"/>
    <w:rsid w:val="040E4892"/>
    <w:rsid w:val="06086E79"/>
    <w:rsid w:val="06203A56"/>
    <w:rsid w:val="148B6D72"/>
    <w:rsid w:val="1A0A4462"/>
    <w:rsid w:val="1A6A4CEB"/>
    <w:rsid w:val="293E3FFB"/>
    <w:rsid w:val="2CA105B3"/>
    <w:rsid w:val="355B7D16"/>
    <w:rsid w:val="3BBF5492"/>
    <w:rsid w:val="41305188"/>
    <w:rsid w:val="48712660"/>
    <w:rsid w:val="4A686E5C"/>
    <w:rsid w:val="4F580F02"/>
    <w:rsid w:val="5B993B58"/>
    <w:rsid w:val="67433291"/>
    <w:rsid w:val="67C16FCD"/>
    <w:rsid w:val="6A7937A6"/>
    <w:rsid w:val="6DFD3F7F"/>
    <w:rsid w:val="78412EB3"/>
    <w:rsid w:val="7B2D18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50" w:beforeLines="50" w:after="50" w:afterLines="50" w:line="288" w:lineRule="auto"/>
      <w:ind w:firstLine="883" w:firstLineChars="200"/>
      <w:outlineLvl w:val="0"/>
    </w:pPr>
    <w:rPr>
      <w:rFonts w:ascii="Times New Roman" w:hAnsi="Times New Roman" w:eastAsia="仿宋_GB2312"/>
      <w:b/>
      <w:kern w:val="44"/>
      <w:sz w:val="32"/>
      <w:szCs w:val="22"/>
    </w:rPr>
  </w:style>
  <w:style w:type="paragraph" w:styleId="3">
    <w:name w:val="heading 2"/>
    <w:basedOn w:val="1"/>
    <w:next w:val="1"/>
    <w:semiHidden/>
    <w:unhideWhenUsed/>
    <w:qFormat/>
    <w:uiPriority w:val="0"/>
    <w:pPr>
      <w:keepNext/>
      <w:keepLines/>
      <w:spacing w:before="480" w:after="120"/>
      <w:jc w:val="left"/>
      <w:outlineLvl w:val="1"/>
    </w:pPr>
    <w:rPr>
      <w:rFonts w:ascii="Times New Roman" w:hAnsi="Times New Roman" w:eastAsia="黑体"/>
      <w:bCs/>
      <w:sz w:val="28"/>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3"/>
    <w:qFormat/>
    <w:uiPriority w:val="0"/>
    <w:pPr>
      <w:jc w:val="left"/>
    </w:pPr>
  </w:style>
  <w:style w:type="paragraph" w:styleId="5">
    <w:name w:val="Balloon Text"/>
    <w:basedOn w:val="1"/>
    <w:link w:val="15"/>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annotation subject"/>
    <w:basedOn w:val="4"/>
    <w:next w:val="4"/>
    <w:link w:val="14"/>
    <w:qFormat/>
    <w:uiPriority w:val="0"/>
    <w:rPr>
      <w:b/>
      <w:bCs/>
    </w:rPr>
  </w:style>
  <w:style w:type="character" w:styleId="11">
    <w:name w:val="annotation reference"/>
    <w:basedOn w:val="10"/>
    <w:qFormat/>
    <w:uiPriority w:val="0"/>
    <w:rPr>
      <w:sz w:val="21"/>
      <w:szCs w:val="21"/>
    </w:rPr>
  </w:style>
  <w:style w:type="character" w:customStyle="1" w:styleId="12">
    <w:name w:val="font11"/>
    <w:basedOn w:val="10"/>
    <w:qFormat/>
    <w:uiPriority w:val="0"/>
    <w:rPr>
      <w:rFonts w:hint="eastAsia" w:ascii="宋体" w:hAnsi="宋体" w:eastAsia="宋体" w:cs="宋体"/>
      <w:color w:val="000000"/>
      <w:sz w:val="18"/>
      <w:szCs w:val="18"/>
      <w:u w:val="none"/>
    </w:rPr>
  </w:style>
  <w:style w:type="character" w:customStyle="1" w:styleId="13">
    <w:name w:val="批注文字 Char"/>
    <w:basedOn w:val="10"/>
    <w:link w:val="4"/>
    <w:qFormat/>
    <w:uiPriority w:val="0"/>
    <w:rPr>
      <w:rFonts w:asciiTheme="minorHAnsi" w:hAnsiTheme="minorHAnsi" w:eastAsiaTheme="minorEastAsia" w:cstheme="minorBidi"/>
      <w:kern w:val="2"/>
      <w:sz w:val="21"/>
      <w:szCs w:val="24"/>
    </w:rPr>
  </w:style>
  <w:style w:type="character" w:customStyle="1" w:styleId="14">
    <w:name w:val="批注主题 Char"/>
    <w:basedOn w:val="13"/>
    <w:link w:val="8"/>
    <w:qFormat/>
    <w:uiPriority w:val="0"/>
    <w:rPr>
      <w:rFonts w:asciiTheme="minorHAnsi" w:hAnsiTheme="minorHAnsi" w:eastAsiaTheme="minorEastAsia" w:cstheme="minorBidi"/>
      <w:b/>
      <w:bCs/>
      <w:kern w:val="2"/>
      <w:sz w:val="21"/>
      <w:szCs w:val="24"/>
    </w:rPr>
  </w:style>
  <w:style w:type="character" w:customStyle="1" w:styleId="15">
    <w:name w:val="批注框文本 Char"/>
    <w:basedOn w:val="10"/>
    <w:link w:val="5"/>
    <w:qFormat/>
    <w:uiPriority w:val="0"/>
    <w:rPr>
      <w:rFonts w:asciiTheme="minorHAnsi" w:hAnsiTheme="minorHAnsi" w:eastAsiaTheme="minorEastAsia" w:cstheme="minorBidi"/>
      <w:kern w:val="2"/>
      <w:sz w:val="18"/>
      <w:szCs w:val="18"/>
    </w:rPr>
  </w:style>
  <w:style w:type="paragraph" w:customStyle="1" w:styleId="16">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6335</Words>
  <Characters>6393</Characters>
  <Lines>62</Lines>
  <Paragraphs>17</Paragraphs>
  <TotalTime>0</TotalTime>
  <ScaleCrop>false</ScaleCrop>
  <LinksUpToDate>false</LinksUpToDate>
  <CharactersWithSpaces>6408</CharactersWithSpaces>
  <Application>WPS Office_11.8.2.12089_F1E327BC-269C-435d-A152-05C5408002CA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2024-01-25T01:37:00Z</dcterms:created>
  <dc:creator>zcb</dc:creator>
  <cp:lastModifiedBy>顾瑞琪</cp:lastModifiedBy>
  <dcterms:modified xsi:type="dcterms:W3CDTF">2025-11-14T08:12:28Z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2052-11.8.2.12089</vt:lpwstr>
  </property>
  <property fmtid="{D5CDD505-2E9C-101B-9397-08002B2CF9AE}" pid="3" name="ICV">
    <vt:lpwstr>B366F7542A994CC0BB4000747710DC8B</vt:lpwstr>
  </property>
  <property fmtid="{D5CDD505-2E9C-101B-9397-08002B2CF9AE}" pid="4" name="KSOTemplateDocerSaveRecord">
    <vt:lpwstr>eyJoZGlkIjoiMDcyNDgwZjBkOWY5YWRjYTA4Zjk3MDE4M2EzN2U2MGUiLCJ1c2VySWQiOiIxMDA2MjU0MSJ9</vt:lpwstr>
  </property>
</Properties>
</file>