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FDC4E3">
      <w:pPr>
        <w:shd w:val="clear" w:color="auto" w:fill="FFFFFF"/>
        <w:spacing w:line="300" w:lineRule="exact"/>
        <w:jc w:val="center"/>
        <w:outlineLvl w:val="1"/>
        <w:rPr>
          <w:rFonts w:ascii="Times New Roman" w:hAnsi="Times New Roman" w:eastAsia="黑体" w:cs="Times New Roman"/>
          <w:sz w:val="22"/>
        </w:rPr>
      </w:pPr>
      <w:bookmarkStart w:id="0" w:name="_GoBack"/>
      <w:bookmarkEnd w:id="0"/>
      <w:r>
        <w:rPr>
          <w:rFonts w:hint="eastAsia" w:ascii="Times New Roman" w:hAnsi="Times New Roman" w:eastAsia="黑体" w:cs="Times New Roman"/>
          <w:sz w:val="22"/>
        </w:rPr>
        <w:t>信银理财理财产品投资协议书</w:t>
      </w:r>
    </w:p>
    <w:p w14:paraId="21CB3519">
      <w:pPr>
        <w:spacing w:line="300" w:lineRule="exact"/>
        <w:ind w:firstLine="480"/>
        <w:rPr>
          <w:rFonts w:ascii="Times New Roman" w:hAnsi="Times New Roman" w:eastAsia="楷体_GB2312" w:cs="Times New Roman"/>
          <w:sz w:val="20"/>
          <w:szCs w:val="20"/>
        </w:rPr>
      </w:pPr>
    </w:p>
    <w:p w14:paraId="3D270852">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甲方：投资者（投资者信息详见签署页）</w:t>
      </w:r>
    </w:p>
    <w:p w14:paraId="0D7D5D7D">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乙方：信银理财有限责任公司</w:t>
      </w:r>
    </w:p>
    <w:p w14:paraId="412A7EAC">
      <w:pPr>
        <w:spacing w:line="300" w:lineRule="exact"/>
        <w:ind w:firstLine="480"/>
        <w:rPr>
          <w:rFonts w:ascii="Times New Roman" w:hAnsi="Times New Roman" w:eastAsia="楷体_GB2312" w:cs="Times New Roman"/>
          <w:sz w:val="20"/>
          <w:szCs w:val="20"/>
        </w:rPr>
      </w:pPr>
    </w:p>
    <w:p w14:paraId="6CD57B25">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经甲方和乙方平等协商，就甲方认购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申购乙方发行的理财产品（以下简称</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理财产品</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），达成本协议如下：</w:t>
      </w:r>
    </w:p>
    <w:p w14:paraId="22832313">
      <w:pPr>
        <w:spacing w:line="300" w:lineRule="exact"/>
        <w:ind w:firstLine="480"/>
        <w:rPr>
          <w:rFonts w:ascii="Times New Roman" w:hAnsi="Times New Roman" w:eastAsia="楷体_GB2312" w:cs="Times New Roman"/>
          <w:b/>
          <w:bCs/>
          <w:sz w:val="20"/>
          <w:szCs w:val="20"/>
        </w:rPr>
      </w:pPr>
    </w:p>
    <w:p w14:paraId="1E300DFE">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一、适用范围</w:t>
      </w:r>
    </w:p>
    <w:p w14:paraId="0D2C01F2">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甲方在认购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申购乙方发行的理财产品之前应签署本协议。本协议生效后，甲方认购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申购乙方发行的理财产品的，均适用本协议。</w:t>
      </w:r>
    </w:p>
    <w:p w14:paraId="771958BC">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本协议为规范甲乙双方在理财业务中权利与义务的法律文件，与甲方认购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申购理财产品对应的《信银理财理财产品产品说明书》《信银理财理财产品风险揭示书》等相关文件与本协议共同构成理财产品合同的有效组成部分，与本协议具有同等法律效力。甲方认购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申购乙方多支理财产品时，不同理财产品对应的《信银理财理财产品产品说明书》《信银理财理财产品风险揭示书》组成的理财产品合同互相独立。</w:t>
      </w:r>
    </w:p>
    <w:p w14:paraId="0E1C46F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本协议不作为甲方认购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申购或持有理财产品的凭证。</w:t>
      </w:r>
    </w:p>
    <w:p w14:paraId="0207684D">
      <w:pPr>
        <w:spacing w:line="300" w:lineRule="exact"/>
        <w:ind w:firstLine="482"/>
        <w:rPr>
          <w:rFonts w:ascii="Times New Roman" w:hAnsi="Times New Roman" w:eastAsia="楷体_GB2312" w:cs="Times New Roman"/>
          <w:sz w:val="20"/>
          <w:szCs w:val="20"/>
        </w:rPr>
      </w:pPr>
    </w:p>
    <w:p w14:paraId="2EB53CEB">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二、风险提示</w:t>
      </w:r>
    </w:p>
    <w:p w14:paraId="2AEC00B1">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本产品为</w:t>
      </w:r>
      <w:r>
        <w:rPr>
          <w:rFonts w:ascii="Times New Roman" w:hAnsi="Times New Roman" w:eastAsia="楷体_GB2312" w:cs="Times New Roman"/>
          <w:b/>
          <w:bCs/>
          <w:sz w:val="20"/>
          <w:szCs w:val="20"/>
        </w:rPr>
        <w:t>【固定收益类】</w:t>
      </w:r>
      <w:r>
        <w:rPr>
          <w:rFonts w:hint="eastAsia" w:ascii="Times New Roman" w:hAnsi="Times New Roman" w:eastAsia="楷体_GB2312" w:cs="Times New Roman"/>
          <w:b/>
          <w:bCs/>
          <w:sz w:val="20"/>
          <w:szCs w:val="20"/>
        </w:rPr>
        <w:t>产品</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具体投资对象</w:t>
      </w:r>
      <w:r>
        <w:rPr>
          <w:rFonts w:ascii="Times New Roman" w:hAnsi="Times New Roman" w:eastAsia="楷体_GB2312" w:cs="Times New Roman"/>
          <w:b/>
          <w:bCs/>
          <w:sz w:val="20"/>
          <w:szCs w:val="20"/>
        </w:rPr>
        <w:t>投资比例如下：</w:t>
      </w:r>
    </w:p>
    <w:tbl>
      <w:tblPr>
        <w:tblStyle w:val="8"/>
        <w:tblW w:w="3503" w:type="pct"/>
        <w:tblInd w:w="12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26"/>
        <w:gridCol w:w="1749"/>
      </w:tblGrid>
      <w:tr w14:paraId="12233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3FCCD65B">
            <w:pPr>
              <w:ind w:right="29" w:rightChars="12"/>
              <w:jc w:val="center"/>
              <w:rPr>
                <w:rFonts w:ascii="楷体" w:hAnsi="楷体" w:eastAsia="楷体"/>
                <w:b/>
                <w:bCs/>
                <w:color w:val="000000"/>
                <w:sz w:val="20"/>
                <w:szCs w:val="20"/>
              </w:rPr>
            </w:pPr>
            <w:r>
              <w:rPr>
                <w:rFonts w:hint="eastAsia" w:ascii="楷体" w:hAnsi="楷体" w:eastAsia="楷体"/>
                <w:b/>
                <w:bCs/>
                <w:color w:val="000000"/>
                <w:sz w:val="20"/>
                <w:szCs w:val="20"/>
              </w:rPr>
              <w:t>资产种类</w:t>
            </w:r>
          </w:p>
        </w:tc>
        <w:tc>
          <w:tcPr>
            <w:tcW w:w="1463" w:type="pct"/>
            <w:vAlign w:val="center"/>
          </w:tcPr>
          <w:p w14:paraId="75A66A34">
            <w:pPr>
              <w:ind w:right="29" w:rightChars="12"/>
              <w:jc w:val="center"/>
              <w:rPr>
                <w:rFonts w:ascii="楷体" w:hAnsi="楷体" w:eastAsia="楷体"/>
                <w:b/>
                <w:bCs/>
                <w:color w:val="000000"/>
                <w:sz w:val="20"/>
                <w:szCs w:val="20"/>
              </w:rPr>
            </w:pPr>
            <w:r>
              <w:rPr>
                <w:rFonts w:hint="eastAsia" w:ascii="楷体" w:hAnsi="楷体" w:eastAsia="楷体"/>
                <w:b/>
                <w:bCs/>
                <w:color w:val="000000"/>
                <w:sz w:val="20"/>
                <w:szCs w:val="20"/>
              </w:rPr>
              <w:t>投资比例</w:t>
            </w:r>
          </w:p>
        </w:tc>
      </w:tr>
      <w:tr w14:paraId="16E93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0D01BED9">
            <w:pPr>
              <w:ind w:right="29" w:rightChars="12"/>
              <w:jc w:val="center"/>
              <w:rPr>
                <w:rFonts w:ascii="楷体" w:hAnsi="楷体" w:eastAsia="楷体"/>
                <w:color w:val="000000"/>
                <w:sz w:val="20"/>
                <w:szCs w:val="20"/>
              </w:rPr>
            </w:pPr>
            <w:r>
              <w:rPr>
                <w:rFonts w:hint="eastAsia" w:ascii="楷体" w:hAnsi="楷体" w:eastAsia="楷体"/>
                <w:color w:val="000000"/>
                <w:sz w:val="20"/>
                <w:szCs w:val="20"/>
              </w:rPr>
              <w:t>债权类资产</w:t>
            </w:r>
          </w:p>
        </w:tc>
        <w:tc>
          <w:tcPr>
            <w:tcW w:w="1463" w:type="pct"/>
            <w:vAlign w:val="center"/>
          </w:tcPr>
          <w:p w14:paraId="070B1D5A">
            <w:pPr>
              <w:ind w:right="29" w:rightChars="12"/>
              <w:jc w:val="center"/>
              <w:rPr>
                <w:rFonts w:ascii="楷体" w:hAnsi="楷体" w:eastAsia="楷体"/>
                <w:color w:val="000000"/>
                <w:sz w:val="20"/>
                <w:szCs w:val="20"/>
              </w:rPr>
            </w:pPr>
            <w:r>
              <w:rPr>
                <w:rFonts w:hint="eastAsia" w:ascii="楷体" w:hAnsi="楷体" w:eastAsia="楷体"/>
                <w:sz w:val="20"/>
                <w:szCs w:val="20"/>
              </w:rPr>
              <w:t>【100%】</w:t>
            </w:r>
          </w:p>
        </w:tc>
      </w:tr>
      <w:tr w14:paraId="4E2B8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1868E34D">
            <w:pPr>
              <w:ind w:right="29" w:rightChars="12"/>
              <w:jc w:val="center"/>
              <w:rPr>
                <w:rFonts w:ascii="楷体" w:hAnsi="楷体" w:eastAsia="楷体"/>
                <w:color w:val="000000"/>
                <w:sz w:val="20"/>
                <w:szCs w:val="20"/>
              </w:rPr>
            </w:pPr>
            <w:r>
              <w:rPr>
                <w:rFonts w:hint="eastAsia" w:ascii="楷体" w:hAnsi="楷体" w:eastAsia="楷体"/>
                <w:color w:val="000000"/>
                <w:sz w:val="20"/>
                <w:szCs w:val="20"/>
              </w:rPr>
              <w:t>其中</w:t>
            </w:r>
            <w:r>
              <w:rPr>
                <w:rFonts w:ascii="楷体" w:hAnsi="楷体" w:eastAsia="楷体"/>
                <w:color w:val="000000"/>
                <w:sz w:val="20"/>
                <w:szCs w:val="20"/>
              </w:rPr>
              <w:t>，非标准化债权类资产</w:t>
            </w:r>
          </w:p>
        </w:tc>
        <w:tc>
          <w:tcPr>
            <w:tcW w:w="1463" w:type="pct"/>
            <w:vAlign w:val="center"/>
          </w:tcPr>
          <w:p w14:paraId="4A3A9E30">
            <w:pPr>
              <w:ind w:right="29" w:rightChars="12"/>
              <w:jc w:val="center"/>
              <w:rPr>
                <w:rFonts w:ascii="楷体" w:hAnsi="楷体" w:eastAsia="楷体"/>
                <w:color w:val="000000"/>
                <w:sz w:val="20"/>
                <w:szCs w:val="20"/>
              </w:rPr>
            </w:pPr>
            <w:r>
              <w:rPr>
                <w:rFonts w:hint="eastAsia" w:ascii="楷体" w:hAnsi="楷体" w:eastAsia="楷体"/>
                <w:sz w:val="20"/>
                <w:szCs w:val="20"/>
              </w:rPr>
              <w:t>【0%</w:t>
            </w:r>
            <w:r>
              <w:rPr>
                <w:rFonts w:ascii="楷体" w:hAnsi="楷体" w:eastAsia="楷体"/>
                <w:sz w:val="20"/>
                <w:szCs w:val="20"/>
              </w:rPr>
              <w:t>】</w:t>
            </w:r>
          </w:p>
        </w:tc>
      </w:tr>
      <w:tr w14:paraId="628E5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155B3D40">
            <w:pPr>
              <w:ind w:right="29" w:rightChars="12"/>
              <w:jc w:val="center"/>
              <w:rPr>
                <w:rFonts w:ascii="楷体" w:hAnsi="楷体" w:eastAsia="楷体"/>
                <w:color w:val="000000"/>
                <w:sz w:val="20"/>
                <w:szCs w:val="20"/>
              </w:rPr>
            </w:pPr>
            <w:r>
              <w:rPr>
                <w:rFonts w:hint="eastAsia" w:ascii="楷体" w:hAnsi="楷体" w:eastAsia="楷体"/>
                <w:color w:val="000000"/>
                <w:sz w:val="20"/>
                <w:szCs w:val="20"/>
              </w:rPr>
              <w:t>权益类资产</w:t>
            </w:r>
          </w:p>
        </w:tc>
        <w:tc>
          <w:tcPr>
            <w:tcW w:w="1463" w:type="pct"/>
            <w:vAlign w:val="center"/>
          </w:tcPr>
          <w:p w14:paraId="7573B412">
            <w:pPr>
              <w:ind w:right="29" w:rightChars="12"/>
              <w:jc w:val="center"/>
              <w:rPr>
                <w:rFonts w:ascii="楷体" w:hAnsi="楷体" w:eastAsia="楷体"/>
                <w:color w:val="000000"/>
                <w:sz w:val="20"/>
                <w:szCs w:val="20"/>
              </w:rPr>
            </w:pPr>
            <w:r>
              <w:rPr>
                <w:rFonts w:hint="eastAsia" w:ascii="楷体" w:hAnsi="楷体" w:eastAsia="楷体"/>
                <w:sz w:val="20"/>
                <w:szCs w:val="20"/>
              </w:rPr>
              <w:t>【0%】</w:t>
            </w:r>
          </w:p>
        </w:tc>
      </w:tr>
      <w:tr w14:paraId="2F40B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239466E7">
            <w:pPr>
              <w:ind w:right="29"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资产：持仓合约价值</w:t>
            </w:r>
          </w:p>
        </w:tc>
        <w:tc>
          <w:tcPr>
            <w:tcW w:w="1463" w:type="pct"/>
            <w:vAlign w:val="center"/>
          </w:tcPr>
          <w:p w14:paraId="617061A5">
            <w:pPr>
              <w:ind w:right="29" w:rightChars="12"/>
              <w:jc w:val="center"/>
              <w:rPr>
                <w:rFonts w:ascii="楷体" w:hAnsi="楷体" w:eastAsia="楷体"/>
                <w:color w:val="000000"/>
                <w:sz w:val="20"/>
                <w:szCs w:val="20"/>
              </w:rPr>
            </w:pPr>
            <w:r>
              <w:rPr>
                <w:rFonts w:hint="eastAsia" w:ascii="楷体" w:hAnsi="楷体" w:eastAsia="楷体"/>
                <w:sz w:val="20"/>
                <w:szCs w:val="20"/>
              </w:rPr>
              <w:t>【0%】</w:t>
            </w:r>
          </w:p>
        </w:tc>
      </w:tr>
      <w:tr w14:paraId="26956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 w:hRule="atLeast"/>
        </w:trPr>
        <w:tc>
          <w:tcPr>
            <w:tcW w:w="3537" w:type="pct"/>
            <w:vAlign w:val="center"/>
          </w:tcPr>
          <w:p w14:paraId="4B9C0772">
            <w:pPr>
              <w:ind w:right="29"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资产：衍生品账户权益</w:t>
            </w:r>
          </w:p>
        </w:tc>
        <w:tc>
          <w:tcPr>
            <w:tcW w:w="1463" w:type="pct"/>
            <w:vAlign w:val="center"/>
          </w:tcPr>
          <w:p w14:paraId="65EB7075">
            <w:pPr>
              <w:ind w:right="29" w:rightChars="12"/>
              <w:jc w:val="center"/>
              <w:rPr>
                <w:rFonts w:ascii="楷体" w:hAnsi="楷体" w:eastAsia="楷体"/>
                <w:color w:val="000000"/>
                <w:sz w:val="20"/>
                <w:szCs w:val="20"/>
              </w:rPr>
            </w:pPr>
            <w:r>
              <w:rPr>
                <w:rFonts w:hint="eastAsia" w:ascii="楷体" w:hAnsi="楷体" w:eastAsia="楷体"/>
                <w:sz w:val="20"/>
                <w:szCs w:val="20"/>
              </w:rPr>
              <w:t>【0%】</w:t>
            </w:r>
          </w:p>
        </w:tc>
      </w:tr>
    </w:tbl>
    <w:p w14:paraId="104EBC47">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投资者投资本产品可能面临的特定风险主要包括（但不限于）</w:t>
      </w:r>
    </w:p>
    <w:p w14:paraId="351EA229">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（1）投资债权类资产的风险</w:t>
      </w:r>
    </w:p>
    <w:p w14:paraId="76E39A27">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1）投资标准化债权类资产的风险</w:t>
      </w:r>
    </w:p>
    <w:p w14:paraId="0B8FEC4F">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D7ABA9E">
      <w:pPr>
        <w:spacing w:line="300" w:lineRule="exact"/>
        <w:ind w:firstLine="480"/>
        <w:rPr>
          <w:rFonts w:ascii="Times New Roman" w:hAnsi="Times New Roman" w:eastAsia="楷体_GB2312" w:cs="Times New Roman"/>
          <w:b/>
          <w:bCs/>
          <w:sz w:val="20"/>
          <w:szCs w:val="20"/>
        </w:rPr>
      </w:pP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）投资非标准化债权类资产的风险</w:t>
      </w:r>
    </w:p>
    <w:p w14:paraId="68C8E2BE">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6E6DDFE0">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）投资权益类资产的风险</w:t>
      </w:r>
    </w:p>
    <w:p w14:paraId="7ABBC8EF">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1）投资普通股票可能面临的风险</w:t>
      </w:r>
    </w:p>
    <w:p w14:paraId="2F4E0900">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 xml:space="preserve">本产品投资普通股票时可能面临以下风险：国家政策、经济周期、利率、汇率、股票发行人经营情况等因素可能发生变化导致的市场风险；因市场、技术、竞争、管理、财务等导致公司盈利发生变化，其股票价格可能下跌，影响投资者收益；股票定向增发等可能的流通和转让限制导致的流动性风险等。 </w:t>
      </w:r>
    </w:p>
    <w:p w14:paraId="7C25A036">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2）投资优先股可能面临的风险</w:t>
      </w:r>
    </w:p>
    <w:p w14:paraId="0F265B15">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优先股时可能面临的以下风险：国家政策、经济周期、利率、汇率、股票发行人经营情况等因素可能发生变化导致的市场风险；因公司基本面改变导致影响优先股的股利支付、在触发事件发生时优先股可能被强制转换为普通股的信用风险；向特定对象发行的优先股只能挂牌转让等优先股可能的流通和转让限制导致的流动性风险等。</w:t>
      </w:r>
    </w:p>
    <w:p w14:paraId="0ACB2A6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3</w:t>
      </w:r>
      <w:r>
        <w:rPr>
          <w:rFonts w:hint="eastAsia" w:ascii="Times New Roman" w:hAnsi="Times New Roman" w:eastAsia="楷体_GB2312" w:cs="Times New Roman"/>
          <w:b/>
          <w:bCs/>
          <w:sz w:val="20"/>
          <w:szCs w:val="20"/>
        </w:rPr>
        <w:t>）投资商品及金融衍生品类资产的风险</w:t>
      </w:r>
    </w:p>
    <w:p w14:paraId="08887C8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商品及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9F49AD6">
      <w:pPr>
        <w:spacing w:line="300" w:lineRule="exact"/>
        <w:ind w:firstLine="480"/>
        <w:rPr>
          <w:rFonts w:ascii="Times New Roman" w:hAnsi="Times New Roman" w:eastAsia="楷体_GB2312" w:cs="Times New Roman"/>
          <w:b/>
          <w:bCs/>
          <w:sz w:val="20"/>
          <w:szCs w:val="20"/>
        </w:rPr>
      </w:pPr>
    </w:p>
    <w:p w14:paraId="302231DB">
      <w:pPr>
        <w:spacing w:line="300" w:lineRule="exact"/>
        <w:ind w:firstLine="480"/>
        <w:rPr>
          <w:rFonts w:ascii="Times New Roman" w:hAnsi="Times New Roman" w:eastAsia="楷体_GB2312" w:cs="Times New Roman"/>
          <w:b/>
          <w:bCs/>
          <w:i/>
          <w:szCs w:val="20"/>
          <w:u w:val="single"/>
        </w:rPr>
      </w:pPr>
      <w:r>
        <w:rPr>
          <w:rFonts w:hint="eastAsia" w:ascii="Times New Roman" w:hAnsi="Times New Roman" w:eastAsia="楷体_GB2312" w:cs="Times New Roman"/>
          <w:b/>
          <w:bCs/>
          <w:i/>
          <w:szCs w:val="20"/>
          <w:u w:val="single"/>
        </w:rPr>
        <w:t>注：以上特定风险仅为列举性质，未能详尽列明投资本产品可能面临的全部风险和可能导致投资者投资本金及收益损失的所有因素。</w:t>
      </w:r>
    </w:p>
    <w:p w14:paraId="1717CBDF">
      <w:pPr>
        <w:spacing w:line="300" w:lineRule="exact"/>
        <w:ind w:firstLine="480"/>
        <w:rPr>
          <w:rFonts w:ascii="Times New Roman" w:hAnsi="Times New Roman" w:eastAsia="楷体_GB2312" w:cs="Times New Roman"/>
          <w:b/>
          <w:bCs/>
          <w:sz w:val="20"/>
          <w:szCs w:val="20"/>
        </w:rPr>
      </w:pPr>
    </w:p>
    <w:p w14:paraId="00AD8DA7">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理财非存款、产品有风险、投资须谨慎，理财产品过往业绩不代表其未来表现，不等于理财产品实际收益。投资者投资理财产品的，请关注产品各类</w:t>
      </w:r>
      <w:r>
        <w:rPr>
          <w:rFonts w:ascii="Times New Roman" w:hAnsi="Times New Roman" w:eastAsia="楷体_GB2312" w:cs="Times New Roman"/>
          <w:b/>
          <w:bCs/>
          <w:sz w:val="20"/>
          <w:szCs w:val="20"/>
        </w:rPr>
        <w:t>投资对象</w:t>
      </w:r>
      <w:r>
        <w:rPr>
          <w:rFonts w:hint="eastAsia" w:ascii="Times New Roman" w:hAnsi="Times New Roman" w:eastAsia="楷体_GB2312" w:cs="Times New Roman"/>
          <w:b/>
          <w:bCs/>
          <w:sz w:val="20"/>
          <w:szCs w:val="20"/>
        </w:rPr>
        <w:t>的</w:t>
      </w:r>
      <w:r>
        <w:rPr>
          <w:rFonts w:ascii="Times New Roman" w:hAnsi="Times New Roman" w:eastAsia="楷体_GB2312" w:cs="Times New Roman"/>
          <w:b/>
          <w:bCs/>
          <w:sz w:val="20"/>
          <w:szCs w:val="20"/>
        </w:rPr>
        <w:t>投资比例及相应</w:t>
      </w:r>
      <w:r>
        <w:rPr>
          <w:rFonts w:hint="eastAsia" w:ascii="Times New Roman" w:hAnsi="Times New Roman" w:eastAsia="楷体_GB2312" w:cs="Times New Roman"/>
          <w:b/>
          <w:bCs/>
          <w:sz w:val="20"/>
          <w:szCs w:val="20"/>
        </w:rPr>
        <w:t>投资</w:t>
      </w:r>
      <w:r>
        <w:rPr>
          <w:rFonts w:ascii="Times New Roman" w:hAnsi="Times New Roman" w:eastAsia="楷体_GB2312" w:cs="Times New Roman"/>
          <w:b/>
          <w:bCs/>
          <w:sz w:val="20"/>
          <w:szCs w:val="20"/>
        </w:rPr>
        <w:t>风险</w:t>
      </w:r>
      <w:r>
        <w:rPr>
          <w:rFonts w:hint="eastAsia" w:ascii="Times New Roman" w:hAnsi="Times New Roman" w:eastAsia="楷体_GB2312" w:cs="Times New Roman"/>
          <w:b/>
          <w:bCs/>
          <w:sz w:val="20"/>
          <w:szCs w:val="20"/>
        </w:rPr>
        <w:t>，基于所投资的不同理财产品可能面临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等风险，具体风险请甲方仔细阅读认购</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申购的理财产品的《信银理财理财产品产品说明书》和《信银理财理财产品风险揭示书》中的相应条款。</w:t>
      </w:r>
    </w:p>
    <w:p w14:paraId="0C62F646">
      <w:pPr>
        <w:spacing w:line="300" w:lineRule="exact"/>
        <w:ind w:firstLine="482"/>
        <w:rPr>
          <w:rFonts w:ascii="Times New Roman" w:hAnsi="Times New Roman" w:eastAsia="楷体_GB2312" w:cs="Times New Roman"/>
          <w:sz w:val="20"/>
          <w:szCs w:val="20"/>
        </w:rPr>
      </w:pPr>
    </w:p>
    <w:p w14:paraId="025901B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三、投资条款</w:t>
      </w:r>
    </w:p>
    <w:p w14:paraId="0008CF10">
      <w:pPr>
        <w:spacing w:line="300" w:lineRule="exact"/>
        <w:ind w:firstLine="482"/>
        <w:rPr>
          <w:rFonts w:ascii="Times New Roman" w:hAnsi="Times New Roman" w:eastAsia="楷体_GB2312" w:cs="Times New Roman"/>
          <w:bCs/>
          <w:sz w:val="20"/>
          <w:szCs w:val="20"/>
        </w:rPr>
      </w:pPr>
      <w:r>
        <w:rPr>
          <w:rFonts w:hint="eastAsia" w:ascii="Times New Roman" w:hAnsi="Times New Roman" w:eastAsia="楷体_GB2312" w:cs="Times New Roman"/>
          <w:bCs/>
          <w:sz w:val="20"/>
          <w:szCs w:val="20"/>
        </w:rPr>
        <w:t>甲方认购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申购理财产品的具体认购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申购条件、流程、金额、份额、费用以及其他投资条款，由甲方实际认购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申购的理财产品的《信银理财理财产品产品说明书》具体约定。</w:t>
      </w:r>
    </w:p>
    <w:p w14:paraId="3D669BFD">
      <w:pPr>
        <w:spacing w:line="300" w:lineRule="exact"/>
        <w:ind w:firstLine="482"/>
        <w:rPr>
          <w:rFonts w:ascii="Times New Roman" w:hAnsi="Times New Roman" w:eastAsia="楷体_GB2312" w:cs="Times New Roman"/>
          <w:b/>
          <w:bCs/>
          <w:sz w:val="20"/>
          <w:szCs w:val="20"/>
        </w:rPr>
      </w:pPr>
    </w:p>
    <w:p w14:paraId="6F29F843">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四、甲方的权利与义务</w:t>
      </w:r>
    </w:p>
    <w:p w14:paraId="5E2EA9DB">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（一）甲方具有完全民事行为能力，有完全适当的资格与能力订立并履行理财产品销售文件，不存在法律、行政法规有关规定禁止或限制投资理财产品的情形（适用于个人投资者）；</w:t>
      </w:r>
    </w:p>
    <w:p w14:paraId="0A3FFB94">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确认签署和履行理财产品销售文件系其真实意思表示，已经按照其章程或者其它内部管理文件的要求取得合法、有效的授权且不会违反对其有约束力的任何合同和其他法律文件；甲方已经取得签订和履行理财产品销售文件所需的一切有关批准、许可、备案或者登记（适用于机构投资者）</w:t>
      </w:r>
    </w:p>
    <w:p w14:paraId="331FF63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（二）甲方保证以真实身份投资本理财产品，保证提供给产品管理人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代销机构的信息和资料均真实、准确、完整、合法。如甲方的信息和</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或资料发生变更，应当及时书面告知产品管理人或代销机构；</w:t>
      </w:r>
    </w:p>
    <w:p w14:paraId="3EF4282D">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（三）甲方声明熟悉理财产品类型特征及不同销售渠道的法律法规规定；</w:t>
      </w:r>
    </w:p>
    <w:p w14:paraId="55F4B60B">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（四）甲方承诺：如委托他人购买本产品，代理人须出具具有法律效力的授权委托书；</w:t>
      </w:r>
    </w:p>
    <w:p w14:paraId="1BD5B0E8">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（五）甲方保证理财投资资金来源和用途合法，保证可向产品管理人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代销机构提供合法筹集的证明文件；</w:t>
      </w:r>
    </w:p>
    <w:p w14:paraId="3B8B186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（六）甲方不得利用理财业务及理财产品销售文件项下理财产品从事违法活动；</w:t>
      </w:r>
    </w:p>
    <w:p w14:paraId="29D5F4E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（七）甲方保证遵守国家反洗钱法律、法规及相关政策要求，不从事涉及洗钱、恐怖融资、逃税、逃废债务、套取现金等违法违规活动，积极配合管理人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代销机构开展投资者身份识别、交易记录保存、投资者身份及交易背景尽职调查、大额和可疑交易报告等各项反洗钱工作，并按要求提供相关证明材料；</w:t>
      </w:r>
    </w:p>
    <w:p w14:paraId="7AAA8DA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（八）甲方不属于联合国、欧盟或美国等制裁名单，及中国政府部门或有权机关发布的涉恐及反洗钱相关风险名单内的企业或个人；不位于被联合国、欧盟或美国等制裁的国家和地区；</w:t>
      </w:r>
    </w:p>
    <w:p w14:paraId="433F3C2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（九）甲方保证不使用贷款、发行债券等筹集的非自有资金投资理财产品，保证投资本理财产品不存在违反监管要求的产品嵌套，以及以投资本理财产品规避投资范围、杠杆约束等监管要求等违规行为。</w:t>
      </w:r>
    </w:p>
    <w:p w14:paraId="6A738772">
      <w:pPr>
        <w:spacing w:line="300" w:lineRule="exact"/>
        <w:ind w:firstLine="482"/>
        <w:rPr>
          <w:rFonts w:ascii="Times New Roman" w:hAnsi="Times New Roman" w:eastAsia="楷体_GB2312" w:cs="Times New Roman"/>
          <w:sz w:val="20"/>
          <w:szCs w:val="20"/>
        </w:rPr>
      </w:pPr>
    </w:p>
    <w:p w14:paraId="574C2AFB">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五、乙方的权利与义务</w:t>
      </w:r>
    </w:p>
    <w:p w14:paraId="07570B36">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（一）乙方具有开办理财业务的经营资质，保证以诚实守信、勤勉尽职的原则管理和运用理财资金；</w:t>
      </w:r>
    </w:p>
    <w:p w14:paraId="67379E4C">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（二）乙方具有完全适当的资格和能力订立与履行理财产品合同。</w:t>
      </w:r>
    </w:p>
    <w:p w14:paraId="615BBCE0">
      <w:pPr>
        <w:spacing w:line="300" w:lineRule="exact"/>
        <w:ind w:firstLine="482"/>
        <w:rPr>
          <w:rFonts w:ascii="Times New Roman" w:hAnsi="Times New Roman" w:eastAsia="楷体_GB2312" w:cs="Times New Roman"/>
          <w:sz w:val="20"/>
          <w:szCs w:val="20"/>
        </w:rPr>
      </w:pPr>
    </w:p>
    <w:p w14:paraId="21639942">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六、违约责任</w:t>
      </w:r>
    </w:p>
    <w:p w14:paraId="22C79ABB">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双方因违反本协议约定而给对方造成损失的，违约方应赔偿因此给对方造成的直接损失。</w:t>
      </w:r>
    </w:p>
    <w:p w14:paraId="3A043BAE">
      <w:pPr>
        <w:spacing w:line="300" w:lineRule="exact"/>
        <w:ind w:firstLine="482"/>
        <w:rPr>
          <w:rFonts w:ascii="Times New Roman" w:hAnsi="Times New Roman" w:eastAsia="楷体_GB2312" w:cs="Times New Roman"/>
          <w:b/>
          <w:bCs/>
          <w:sz w:val="20"/>
          <w:szCs w:val="20"/>
        </w:rPr>
      </w:pPr>
    </w:p>
    <w:p w14:paraId="325F3F5E">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七、免责内容</w:t>
      </w:r>
    </w:p>
    <w:p w14:paraId="3EFFC5CF">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因法律法规或监管政策变化、自然灾害、意外事故、战争、系统故障、通讯故障等信银理财客观不能预见、不能避免、不能克服的不可抗力事件或意外事件，导致信银理财无法或延后履行本协议及《信银理财理财产品产品说明书》有关义务的，信银理财不承担责任，但因信银理财故意或重大过失造成的系统故障、通讯故障的除外。前述约定不免除因信银理财过错导致依法应由产品管理人承担的责任。乙方应在条件允许的情况下，采取必要的补救措施以减少不可抗力造成的损失</w:t>
      </w:r>
      <w:r>
        <w:rPr>
          <w:rFonts w:ascii="Times New Roman" w:hAnsi="Times New Roman" w:eastAsia="楷体_GB2312" w:cs="Times New Roman"/>
          <w:b/>
          <w:bCs/>
          <w:sz w:val="20"/>
          <w:szCs w:val="20"/>
        </w:rPr>
        <w:t>。</w:t>
      </w:r>
    </w:p>
    <w:p w14:paraId="6385830E">
      <w:pPr>
        <w:spacing w:line="300" w:lineRule="exact"/>
        <w:ind w:firstLine="482"/>
        <w:rPr>
          <w:rFonts w:ascii="Times New Roman" w:hAnsi="Times New Roman" w:eastAsia="楷体_GB2312" w:cs="Times New Roman"/>
          <w:b/>
          <w:bCs/>
          <w:sz w:val="20"/>
          <w:szCs w:val="20"/>
        </w:rPr>
      </w:pPr>
    </w:p>
    <w:p w14:paraId="2E98FB24">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八、争议解决</w:t>
      </w:r>
    </w:p>
    <w:p w14:paraId="6BCB870B">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sz w:val="20"/>
          <w:szCs w:val="20"/>
        </w:rPr>
        <w:t>（一）本协议及其他理财产品合同适用中华人民共和国法律（为履行理财产品合同之目的，不包括中国香港特别行政区、澳门特别行政区及台湾地区法律）。</w:t>
      </w:r>
    </w:p>
    <w:p w14:paraId="74688105">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（二）凡因</w:t>
      </w:r>
      <w:r>
        <w:rPr>
          <w:rFonts w:hint="eastAsia" w:ascii="Times New Roman" w:hAnsi="Times New Roman" w:eastAsia="楷体_GB2312" w:cs="Times New Roman"/>
          <w:b/>
          <w:sz w:val="20"/>
          <w:szCs w:val="20"/>
        </w:rPr>
        <w:t>本协议/</w:t>
      </w:r>
      <w:r>
        <w:rPr>
          <w:rFonts w:hint="eastAsia" w:ascii="Times New Roman" w:hAnsi="Times New Roman" w:eastAsia="楷体_GB2312" w:cs="Times New Roman"/>
          <w:b/>
          <w:bCs/>
          <w:sz w:val="20"/>
          <w:szCs w:val="20"/>
        </w:rPr>
        <w:t>理财产品合同引起的或与本协议/理财产品合同有关的任何争议，甲乙双方应本着诚实信用的原则通过协商解决。如通过协商仍不能解决争议时，双方应将该等争议提交上海仲裁委员会仲裁，仲裁地在上海。仲裁裁决是终局性的，对双方均有约束力。除非仲裁裁决另有规定，双方为仲裁而实际支付的费用（包括但不限于仲裁费和律师费）由败诉方承担。</w:t>
      </w:r>
    </w:p>
    <w:p w14:paraId="1691E295">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（三）在协商或仲裁期间，对于本协议/理财产品合同不涉及争议部分的条款，双方仍须履行。</w:t>
      </w:r>
    </w:p>
    <w:p w14:paraId="2535759E">
      <w:pPr>
        <w:spacing w:line="300" w:lineRule="exact"/>
        <w:ind w:firstLine="482"/>
        <w:rPr>
          <w:rFonts w:ascii="Times New Roman" w:hAnsi="Times New Roman" w:eastAsia="楷体_GB2312" w:cs="Times New Roman"/>
          <w:b/>
          <w:sz w:val="20"/>
          <w:szCs w:val="20"/>
        </w:rPr>
      </w:pPr>
    </w:p>
    <w:p w14:paraId="4F09AA4C">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九、附则</w:t>
      </w:r>
    </w:p>
    <w:p w14:paraId="4315DBC5">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（一）本协议通过纸质形式签署的，自甲方签署（甲方为自然人的，应签字；甲方为机构或产品的，应加盖机构或产品管理人公章且其法定代表人或授权代表签章）且甲方产品认购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申购份额经乙方确认后生效。本协议通过电子形式签署的，自甲方通过乙方产品的各电子销售渠道（包括直销和代销）在线点击确认或勾选且甲方产品认购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申购份额经乙方确认后生效。甲方知悉并确认，乙方对于甲方认购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申购份额的确认即视为乙方对于本协议的签署和认可，甲方不得以乙方未在本协议上盖章为由主张本协议无效。</w:t>
      </w:r>
    </w:p>
    <w:p w14:paraId="3D5F85EF">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（二）本协议条款与《信银理财理财产品产品说明书》条款不一致的，以《信银理财理财产品产品说明书》的约定为准。</w:t>
      </w:r>
    </w:p>
    <w:p w14:paraId="6FDFACF6">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（三）如果由于任何原因使本协议下的任何条款或者内容成为无效或者依法被撤销，本协议其他条款或内容的合法性，有效性和可执行性不受影响。</w:t>
      </w:r>
    </w:p>
    <w:p w14:paraId="2601213B">
      <w:pPr>
        <w:spacing w:line="300" w:lineRule="exact"/>
        <w:rPr>
          <w:rFonts w:ascii="Times New Roman" w:hAnsi="Times New Roman" w:eastAsia="楷体_GB2312" w:cs="Times New Roman"/>
          <w:sz w:val="20"/>
          <w:szCs w:val="20"/>
        </w:rPr>
      </w:pPr>
    </w:p>
    <w:p w14:paraId="233723FB">
      <w:pPr>
        <w:spacing w:line="300" w:lineRule="exact"/>
        <w:rPr>
          <w:rFonts w:ascii="Times New Roman" w:hAnsi="Times New Roman" w:eastAsia="楷体_GB2312" w:cs="Times New Roman"/>
          <w:b/>
          <w:sz w:val="20"/>
          <w:szCs w:val="20"/>
        </w:rPr>
      </w:pPr>
    </w:p>
    <w:p w14:paraId="5798A60D">
      <w:pPr>
        <w:spacing w:line="300" w:lineRule="exact"/>
        <w:rPr>
          <w:rFonts w:ascii="Times New Roman" w:hAnsi="Times New Roman" w:eastAsia="楷体_GB2312" w:cs="Times New Roman"/>
          <w:b/>
          <w:sz w:val="20"/>
          <w:szCs w:val="20"/>
        </w:rPr>
      </w:pPr>
    </w:p>
    <w:p w14:paraId="3F100B86">
      <w:pPr>
        <w:spacing w:line="300" w:lineRule="exact"/>
        <w:rPr>
          <w:rFonts w:ascii="Times New Roman" w:hAnsi="Times New Roman" w:eastAsia="楷体_GB2312" w:cs="Times New Roman"/>
          <w:b/>
          <w:sz w:val="20"/>
          <w:szCs w:val="20"/>
        </w:rPr>
      </w:pPr>
    </w:p>
    <w:p w14:paraId="4601F589">
      <w:pPr>
        <w:spacing w:line="300" w:lineRule="exact"/>
        <w:rPr>
          <w:rFonts w:ascii="Times New Roman" w:hAnsi="Times New Roman" w:eastAsia="楷体_GB2312" w:cs="Times New Roman"/>
          <w:sz w:val="20"/>
          <w:szCs w:val="20"/>
        </w:rPr>
      </w:pPr>
      <w:r>
        <w:rPr>
          <w:rFonts w:ascii="Times New Roman" w:hAnsi="Times New Roman" w:eastAsia="楷体_GB2312" w:cs="Times New Roman"/>
          <w:b/>
          <w:sz w:val="20"/>
          <w:szCs w:val="20"/>
        </w:rPr>
        <w:t>甲方</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个人投资者（签字）</w:t>
      </w:r>
      <w:r>
        <w:rPr>
          <w:rFonts w:ascii="Times New Roman" w:hAnsi="Times New Roman" w:eastAsia="楷体_GB2312" w:cs="Times New Roman"/>
          <w:sz w:val="20"/>
          <w:szCs w:val="20"/>
        </w:rPr>
        <w:t xml:space="preserve">:               </w:t>
      </w:r>
    </w:p>
    <w:p w14:paraId="0E563D5D">
      <w:pPr>
        <w:spacing w:line="300" w:lineRule="exact"/>
        <w:ind w:firstLine="600" w:firstLineChars="300"/>
        <w:rPr>
          <w:rFonts w:ascii="Times New Roman" w:hAnsi="Times New Roman" w:eastAsia="楷体_GB2312" w:cs="Times New Roman"/>
          <w:sz w:val="20"/>
          <w:szCs w:val="20"/>
        </w:rPr>
      </w:pPr>
    </w:p>
    <w:p w14:paraId="2B5857CB">
      <w:pPr>
        <w:spacing w:line="300" w:lineRule="exact"/>
        <w:ind w:firstLine="600" w:firstLineChars="300"/>
        <w:rPr>
          <w:rFonts w:ascii="Times New Roman" w:hAnsi="Times New Roman" w:eastAsia="楷体_GB2312" w:cs="Times New Roman"/>
          <w:sz w:val="20"/>
          <w:szCs w:val="20"/>
        </w:rPr>
      </w:pPr>
    </w:p>
    <w:p w14:paraId="5EC312D2">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机构投资者（公章）</w:t>
      </w:r>
      <w:r>
        <w:rPr>
          <w:rFonts w:ascii="Times New Roman" w:hAnsi="Times New Roman" w:eastAsia="楷体_GB2312" w:cs="Times New Roman"/>
          <w:sz w:val="20"/>
          <w:szCs w:val="20"/>
        </w:rPr>
        <w:t xml:space="preserve">:               </w:t>
      </w:r>
    </w:p>
    <w:p w14:paraId="45E80DBD">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法定代表人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负责人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授权代表（签字</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盖章）：</w:t>
      </w:r>
    </w:p>
    <w:p w14:paraId="758BAC4B">
      <w:pPr>
        <w:spacing w:line="300" w:lineRule="exact"/>
        <w:ind w:firstLine="600" w:firstLineChars="300"/>
        <w:rPr>
          <w:rFonts w:ascii="Times New Roman" w:hAnsi="Times New Roman" w:eastAsia="楷体_GB2312" w:cs="Times New Roman"/>
          <w:sz w:val="20"/>
          <w:szCs w:val="20"/>
        </w:rPr>
      </w:pPr>
    </w:p>
    <w:p w14:paraId="16E099C0">
      <w:pPr>
        <w:spacing w:line="300" w:lineRule="exact"/>
        <w:ind w:firstLine="600" w:firstLineChars="300"/>
        <w:rPr>
          <w:rFonts w:ascii="Times New Roman" w:hAnsi="Times New Roman" w:eastAsia="楷体_GB2312" w:cs="Times New Roman"/>
          <w:sz w:val="20"/>
          <w:szCs w:val="20"/>
        </w:rPr>
      </w:pPr>
    </w:p>
    <w:p w14:paraId="5D35B52E">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证件类别（个人投资者）：</w:t>
      </w:r>
      <w:r>
        <w:rPr>
          <w:rFonts w:ascii="Times New Roman" w:hAnsi="Times New Roman" w:eastAsia="楷体_GB2312" w:cs="Times New Roman"/>
          <w:sz w:val="20"/>
          <w:szCs w:val="20"/>
        </w:rPr>
        <w:t xml:space="preserve">             </w:t>
      </w:r>
    </w:p>
    <w:p w14:paraId="65A837FA">
      <w:pPr>
        <w:spacing w:line="300" w:lineRule="exact"/>
        <w:ind w:firstLine="600" w:firstLineChars="300"/>
        <w:rPr>
          <w:rFonts w:ascii="Times New Roman" w:hAnsi="Times New Roman" w:eastAsia="楷体_GB2312" w:cs="Times New Roman"/>
          <w:sz w:val="20"/>
          <w:szCs w:val="20"/>
        </w:rPr>
      </w:pPr>
    </w:p>
    <w:p w14:paraId="5F8C7176">
      <w:pPr>
        <w:spacing w:line="300" w:lineRule="exact"/>
        <w:ind w:firstLine="600" w:firstLineChars="300"/>
        <w:rPr>
          <w:rFonts w:ascii="Times New Roman" w:hAnsi="Times New Roman" w:eastAsia="楷体_GB2312" w:cs="Times New Roman"/>
          <w:sz w:val="20"/>
          <w:szCs w:val="20"/>
        </w:rPr>
      </w:pPr>
    </w:p>
    <w:p w14:paraId="7F737DEA">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证件号（个人投资者）：</w:t>
      </w:r>
      <w:r>
        <w:rPr>
          <w:rFonts w:ascii="Times New Roman" w:hAnsi="Times New Roman" w:eastAsia="楷体_GB2312" w:cs="Times New Roman"/>
          <w:sz w:val="20"/>
          <w:szCs w:val="20"/>
        </w:rPr>
        <w:t xml:space="preserve">                </w:t>
      </w:r>
    </w:p>
    <w:p w14:paraId="0E5F1944">
      <w:pPr>
        <w:spacing w:line="300" w:lineRule="exact"/>
        <w:ind w:firstLine="600" w:firstLineChars="300"/>
        <w:rPr>
          <w:rFonts w:ascii="Times New Roman" w:hAnsi="Times New Roman" w:eastAsia="楷体_GB2312" w:cs="Times New Roman"/>
          <w:sz w:val="20"/>
          <w:szCs w:val="20"/>
        </w:rPr>
      </w:pPr>
      <w:r>
        <w:rPr>
          <w:rFonts w:ascii="Times New Roman" w:hAnsi="Times New Roman" w:eastAsia="楷体_GB2312" w:cs="Times New Roman"/>
          <w:sz w:val="20"/>
          <w:szCs w:val="20"/>
        </w:rPr>
        <w:t xml:space="preserve">             </w:t>
      </w:r>
    </w:p>
    <w:p w14:paraId="4B0DEDBF">
      <w:pPr>
        <w:spacing w:line="300" w:lineRule="exact"/>
        <w:ind w:firstLine="600" w:firstLineChars="300"/>
        <w:rPr>
          <w:rFonts w:ascii="Times New Roman" w:hAnsi="Times New Roman" w:eastAsia="楷体_GB2312" w:cs="Times New Roman"/>
          <w:sz w:val="20"/>
          <w:szCs w:val="20"/>
        </w:rPr>
      </w:pPr>
    </w:p>
    <w:sectPr>
      <w:headerReference r:id="rId3" w:type="default"/>
      <w:footerReference r:id="rId4" w:type="default"/>
      <w:pgSz w:w="11906" w:h="16838"/>
      <w:pgMar w:top="1440" w:right="1797" w:bottom="1440" w:left="1797" w:header="850" w:footer="992"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71969">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10</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75C25D2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71E15">
    <w:pPr>
      <w:pStyle w:val="5"/>
      <w:jc w:val="right"/>
    </w:pPr>
    <w:r>
      <w:t xml:space="preserve">                                  理财非存款、产品有风险、投资须谨慎</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0"/>
  <w:drawingGridVerticalSpacing w:val="0"/>
  <w:noPunctuationKerning w:val="1"/>
  <w:characterSpacingControl w:val="doNotCompres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NzgzNTQ3YjE0ZWMyZmZiODIyZWQ2YTc3NzhhNGIifQ=="/>
  </w:docVars>
  <w:rsids>
    <w:rsidRoot w:val="00172A27"/>
    <w:rsid w:val="000006C6"/>
    <w:rsid w:val="00001DC5"/>
    <w:rsid w:val="00001F37"/>
    <w:rsid w:val="00003EA4"/>
    <w:rsid w:val="00005611"/>
    <w:rsid w:val="00005AAC"/>
    <w:rsid w:val="00007813"/>
    <w:rsid w:val="00007E67"/>
    <w:rsid w:val="00010675"/>
    <w:rsid w:val="000126B2"/>
    <w:rsid w:val="00012DB3"/>
    <w:rsid w:val="0001372D"/>
    <w:rsid w:val="00013F5B"/>
    <w:rsid w:val="000147D6"/>
    <w:rsid w:val="00014B73"/>
    <w:rsid w:val="0001549F"/>
    <w:rsid w:val="000160B3"/>
    <w:rsid w:val="000205B3"/>
    <w:rsid w:val="00020AB8"/>
    <w:rsid w:val="00021FBC"/>
    <w:rsid w:val="00022383"/>
    <w:rsid w:val="00023770"/>
    <w:rsid w:val="0002390F"/>
    <w:rsid w:val="0002493B"/>
    <w:rsid w:val="00025F4F"/>
    <w:rsid w:val="0002679A"/>
    <w:rsid w:val="00027D07"/>
    <w:rsid w:val="00032181"/>
    <w:rsid w:val="00032E11"/>
    <w:rsid w:val="00034184"/>
    <w:rsid w:val="0003593E"/>
    <w:rsid w:val="00035D4E"/>
    <w:rsid w:val="00036164"/>
    <w:rsid w:val="000363A0"/>
    <w:rsid w:val="00036A9C"/>
    <w:rsid w:val="00037270"/>
    <w:rsid w:val="00037C31"/>
    <w:rsid w:val="00041092"/>
    <w:rsid w:val="00041EA7"/>
    <w:rsid w:val="000426F9"/>
    <w:rsid w:val="000432B2"/>
    <w:rsid w:val="00043AA8"/>
    <w:rsid w:val="00044D26"/>
    <w:rsid w:val="00046C52"/>
    <w:rsid w:val="00046D16"/>
    <w:rsid w:val="00047F09"/>
    <w:rsid w:val="000509D8"/>
    <w:rsid w:val="00051D6A"/>
    <w:rsid w:val="00053031"/>
    <w:rsid w:val="000548A7"/>
    <w:rsid w:val="00055799"/>
    <w:rsid w:val="00055B2C"/>
    <w:rsid w:val="00057627"/>
    <w:rsid w:val="00057AF1"/>
    <w:rsid w:val="00060175"/>
    <w:rsid w:val="00060380"/>
    <w:rsid w:val="0006039E"/>
    <w:rsid w:val="00060C45"/>
    <w:rsid w:val="00060CF8"/>
    <w:rsid w:val="000627EE"/>
    <w:rsid w:val="00062C0F"/>
    <w:rsid w:val="00063F74"/>
    <w:rsid w:val="000642FF"/>
    <w:rsid w:val="00064EC6"/>
    <w:rsid w:val="000656EC"/>
    <w:rsid w:val="00070B5F"/>
    <w:rsid w:val="00071B6D"/>
    <w:rsid w:val="0007222D"/>
    <w:rsid w:val="000728B5"/>
    <w:rsid w:val="0007322A"/>
    <w:rsid w:val="000737DF"/>
    <w:rsid w:val="0007491E"/>
    <w:rsid w:val="00074951"/>
    <w:rsid w:val="000757CB"/>
    <w:rsid w:val="000810BD"/>
    <w:rsid w:val="00083705"/>
    <w:rsid w:val="0008387A"/>
    <w:rsid w:val="0008499F"/>
    <w:rsid w:val="00084A58"/>
    <w:rsid w:val="00084DE7"/>
    <w:rsid w:val="00085A4A"/>
    <w:rsid w:val="00085E70"/>
    <w:rsid w:val="0008615C"/>
    <w:rsid w:val="0008737E"/>
    <w:rsid w:val="00090367"/>
    <w:rsid w:val="00090A15"/>
    <w:rsid w:val="00090A7C"/>
    <w:rsid w:val="00090B6A"/>
    <w:rsid w:val="000912BC"/>
    <w:rsid w:val="00091490"/>
    <w:rsid w:val="0009250D"/>
    <w:rsid w:val="00093A85"/>
    <w:rsid w:val="00093E3E"/>
    <w:rsid w:val="00094744"/>
    <w:rsid w:val="00096806"/>
    <w:rsid w:val="000A044F"/>
    <w:rsid w:val="000A09D8"/>
    <w:rsid w:val="000A0BFB"/>
    <w:rsid w:val="000A0C47"/>
    <w:rsid w:val="000A2BBA"/>
    <w:rsid w:val="000A5437"/>
    <w:rsid w:val="000A544A"/>
    <w:rsid w:val="000A5B13"/>
    <w:rsid w:val="000A5C95"/>
    <w:rsid w:val="000A5E90"/>
    <w:rsid w:val="000B0124"/>
    <w:rsid w:val="000B0A2B"/>
    <w:rsid w:val="000B1394"/>
    <w:rsid w:val="000B5D44"/>
    <w:rsid w:val="000B6427"/>
    <w:rsid w:val="000B7A00"/>
    <w:rsid w:val="000C04B7"/>
    <w:rsid w:val="000C0E92"/>
    <w:rsid w:val="000C19F3"/>
    <w:rsid w:val="000C2361"/>
    <w:rsid w:val="000C2603"/>
    <w:rsid w:val="000C283C"/>
    <w:rsid w:val="000C3099"/>
    <w:rsid w:val="000C32BE"/>
    <w:rsid w:val="000C33FA"/>
    <w:rsid w:val="000C3AF8"/>
    <w:rsid w:val="000C3D71"/>
    <w:rsid w:val="000C4C04"/>
    <w:rsid w:val="000D0148"/>
    <w:rsid w:val="000D0828"/>
    <w:rsid w:val="000D0FBD"/>
    <w:rsid w:val="000D3A95"/>
    <w:rsid w:val="000D3D90"/>
    <w:rsid w:val="000D4953"/>
    <w:rsid w:val="000D4C7B"/>
    <w:rsid w:val="000D56E3"/>
    <w:rsid w:val="000D672E"/>
    <w:rsid w:val="000D7E38"/>
    <w:rsid w:val="000E0E9C"/>
    <w:rsid w:val="000E10B6"/>
    <w:rsid w:val="000E1AC2"/>
    <w:rsid w:val="000E3008"/>
    <w:rsid w:val="000E4FA1"/>
    <w:rsid w:val="000E51AE"/>
    <w:rsid w:val="000E6792"/>
    <w:rsid w:val="000E6FAB"/>
    <w:rsid w:val="000E7674"/>
    <w:rsid w:val="000F26F4"/>
    <w:rsid w:val="000F32C6"/>
    <w:rsid w:val="000F3ADF"/>
    <w:rsid w:val="000F3D2A"/>
    <w:rsid w:val="000F599D"/>
    <w:rsid w:val="000F798A"/>
    <w:rsid w:val="001010C4"/>
    <w:rsid w:val="0010147F"/>
    <w:rsid w:val="00103F63"/>
    <w:rsid w:val="0010611B"/>
    <w:rsid w:val="0010787D"/>
    <w:rsid w:val="00110BCF"/>
    <w:rsid w:val="001110CC"/>
    <w:rsid w:val="00111E93"/>
    <w:rsid w:val="00115683"/>
    <w:rsid w:val="00115D73"/>
    <w:rsid w:val="00116099"/>
    <w:rsid w:val="0011687B"/>
    <w:rsid w:val="00116B6A"/>
    <w:rsid w:val="001201C9"/>
    <w:rsid w:val="0012037B"/>
    <w:rsid w:val="001204B0"/>
    <w:rsid w:val="00121AA3"/>
    <w:rsid w:val="0012222E"/>
    <w:rsid w:val="0012362E"/>
    <w:rsid w:val="00123C90"/>
    <w:rsid w:val="001247D4"/>
    <w:rsid w:val="00124FBD"/>
    <w:rsid w:val="001260B9"/>
    <w:rsid w:val="00126352"/>
    <w:rsid w:val="001266EA"/>
    <w:rsid w:val="00126DB3"/>
    <w:rsid w:val="00127F0D"/>
    <w:rsid w:val="00130901"/>
    <w:rsid w:val="0013218D"/>
    <w:rsid w:val="00132E82"/>
    <w:rsid w:val="00132F12"/>
    <w:rsid w:val="0013467D"/>
    <w:rsid w:val="00134F4C"/>
    <w:rsid w:val="00135255"/>
    <w:rsid w:val="00135299"/>
    <w:rsid w:val="001353DA"/>
    <w:rsid w:val="00135621"/>
    <w:rsid w:val="00135B6F"/>
    <w:rsid w:val="00136105"/>
    <w:rsid w:val="001370DF"/>
    <w:rsid w:val="0014090C"/>
    <w:rsid w:val="00141A88"/>
    <w:rsid w:val="00141F8B"/>
    <w:rsid w:val="00142811"/>
    <w:rsid w:val="00142826"/>
    <w:rsid w:val="00143200"/>
    <w:rsid w:val="00143DF2"/>
    <w:rsid w:val="001452EC"/>
    <w:rsid w:val="00150914"/>
    <w:rsid w:val="00151D12"/>
    <w:rsid w:val="001521EB"/>
    <w:rsid w:val="00153F81"/>
    <w:rsid w:val="001549C8"/>
    <w:rsid w:val="00155560"/>
    <w:rsid w:val="00157BEF"/>
    <w:rsid w:val="0016135B"/>
    <w:rsid w:val="001615E1"/>
    <w:rsid w:val="00161B84"/>
    <w:rsid w:val="00163B22"/>
    <w:rsid w:val="001641D5"/>
    <w:rsid w:val="00164277"/>
    <w:rsid w:val="00164713"/>
    <w:rsid w:val="001649F3"/>
    <w:rsid w:val="00164B28"/>
    <w:rsid w:val="001652F0"/>
    <w:rsid w:val="001654B6"/>
    <w:rsid w:val="00171231"/>
    <w:rsid w:val="001726CF"/>
    <w:rsid w:val="00172A27"/>
    <w:rsid w:val="001769A8"/>
    <w:rsid w:val="001803F8"/>
    <w:rsid w:val="0018075C"/>
    <w:rsid w:val="0018086A"/>
    <w:rsid w:val="00180F21"/>
    <w:rsid w:val="00181072"/>
    <w:rsid w:val="00182FBF"/>
    <w:rsid w:val="0018374A"/>
    <w:rsid w:val="00184D24"/>
    <w:rsid w:val="001858BE"/>
    <w:rsid w:val="00190A62"/>
    <w:rsid w:val="00190E64"/>
    <w:rsid w:val="00191496"/>
    <w:rsid w:val="00191D0B"/>
    <w:rsid w:val="001930F7"/>
    <w:rsid w:val="00193302"/>
    <w:rsid w:val="00194DE7"/>
    <w:rsid w:val="0019567E"/>
    <w:rsid w:val="001963EE"/>
    <w:rsid w:val="00196F2E"/>
    <w:rsid w:val="00197081"/>
    <w:rsid w:val="00197D4A"/>
    <w:rsid w:val="001A0F33"/>
    <w:rsid w:val="001A0FD7"/>
    <w:rsid w:val="001A19CD"/>
    <w:rsid w:val="001A1EF1"/>
    <w:rsid w:val="001A218A"/>
    <w:rsid w:val="001A2FFC"/>
    <w:rsid w:val="001A30BE"/>
    <w:rsid w:val="001A345F"/>
    <w:rsid w:val="001A3B81"/>
    <w:rsid w:val="001A45DD"/>
    <w:rsid w:val="001A5BD9"/>
    <w:rsid w:val="001A720A"/>
    <w:rsid w:val="001A7B69"/>
    <w:rsid w:val="001A7BE3"/>
    <w:rsid w:val="001B01FF"/>
    <w:rsid w:val="001B046B"/>
    <w:rsid w:val="001B3184"/>
    <w:rsid w:val="001B35C0"/>
    <w:rsid w:val="001B4ACF"/>
    <w:rsid w:val="001B6460"/>
    <w:rsid w:val="001B6719"/>
    <w:rsid w:val="001B785F"/>
    <w:rsid w:val="001C0F22"/>
    <w:rsid w:val="001C19C0"/>
    <w:rsid w:val="001C2A78"/>
    <w:rsid w:val="001C3D71"/>
    <w:rsid w:val="001C4A13"/>
    <w:rsid w:val="001C4A22"/>
    <w:rsid w:val="001C4BC2"/>
    <w:rsid w:val="001C4FAF"/>
    <w:rsid w:val="001C5015"/>
    <w:rsid w:val="001C5131"/>
    <w:rsid w:val="001C5D78"/>
    <w:rsid w:val="001C72BC"/>
    <w:rsid w:val="001C7B49"/>
    <w:rsid w:val="001C7B7E"/>
    <w:rsid w:val="001C7BB1"/>
    <w:rsid w:val="001D0705"/>
    <w:rsid w:val="001D2684"/>
    <w:rsid w:val="001D4C4E"/>
    <w:rsid w:val="001D4C72"/>
    <w:rsid w:val="001D69CD"/>
    <w:rsid w:val="001D6A97"/>
    <w:rsid w:val="001D7587"/>
    <w:rsid w:val="001D77C8"/>
    <w:rsid w:val="001E133A"/>
    <w:rsid w:val="001E1C60"/>
    <w:rsid w:val="001E1F10"/>
    <w:rsid w:val="001E54F3"/>
    <w:rsid w:val="001E62E2"/>
    <w:rsid w:val="001E6503"/>
    <w:rsid w:val="001E79BB"/>
    <w:rsid w:val="001F1C65"/>
    <w:rsid w:val="001F6640"/>
    <w:rsid w:val="001F6AE8"/>
    <w:rsid w:val="001F746B"/>
    <w:rsid w:val="001F7597"/>
    <w:rsid w:val="001F7E97"/>
    <w:rsid w:val="0020078B"/>
    <w:rsid w:val="00201B50"/>
    <w:rsid w:val="00202368"/>
    <w:rsid w:val="00202745"/>
    <w:rsid w:val="0020290B"/>
    <w:rsid w:val="00203755"/>
    <w:rsid w:val="00203983"/>
    <w:rsid w:val="00203EAD"/>
    <w:rsid w:val="0020493D"/>
    <w:rsid w:val="00204B9B"/>
    <w:rsid w:val="00204BEC"/>
    <w:rsid w:val="002068C1"/>
    <w:rsid w:val="00206FC4"/>
    <w:rsid w:val="00210890"/>
    <w:rsid w:val="00211F58"/>
    <w:rsid w:val="0021444C"/>
    <w:rsid w:val="002156E9"/>
    <w:rsid w:val="00216B6D"/>
    <w:rsid w:val="00217786"/>
    <w:rsid w:val="00217805"/>
    <w:rsid w:val="0021788B"/>
    <w:rsid w:val="00217F67"/>
    <w:rsid w:val="0022225E"/>
    <w:rsid w:val="002238C9"/>
    <w:rsid w:val="00223C84"/>
    <w:rsid w:val="00224526"/>
    <w:rsid w:val="002255EE"/>
    <w:rsid w:val="00225C4A"/>
    <w:rsid w:val="002263A2"/>
    <w:rsid w:val="00226CD2"/>
    <w:rsid w:val="00226ED1"/>
    <w:rsid w:val="002270F3"/>
    <w:rsid w:val="00227275"/>
    <w:rsid w:val="00227B02"/>
    <w:rsid w:val="00231806"/>
    <w:rsid w:val="00233296"/>
    <w:rsid w:val="0023366D"/>
    <w:rsid w:val="00233A76"/>
    <w:rsid w:val="00233AC8"/>
    <w:rsid w:val="002353DC"/>
    <w:rsid w:val="00236616"/>
    <w:rsid w:val="00236C74"/>
    <w:rsid w:val="002370EE"/>
    <w:rsid w:val="00237C09"/>
    <w:rsid w:val="00241375"/>
    <w:rsid w:val="00241C9E"/>
    <w:rsid w:val="002420E3"/>
    <w:rsid w:val="00244056"/>
    <w:rsid w:val="0024436C"/>
    <w:rsid w:val="00245331"/>
    <w:rsid w:val="002456FB"/>
    <w:rsid w:val="002465F7"/>
    <w:rsid w:val="00247153"/>
    <w:rsid w:val="00251071"/>
    <w:rsid w:val="002513B5"/>
    <w:rsid w:val="002523B9"/>
    <w:rsid w:val="00252623"/>
    <w:rsid w:val="00252C23"/>
    <w:rsid w:val="00253360"/>
    <w:rsid w:val="0025354B"/>
    <w:rsid w:val="00254AA0"/>
    <w:rsid w:val="002555C0"/>
    <w:rsid w:val="00255F6F"/>
    <w:rsid w:val="00260981"/>
    <w:rsid w:val="00261E5A"/>
    <w:rsid w:val="00263626"/>
    <w:rsid w:val="00263AB2"/>
    <w:rsid w:val="00266F6D"/>
    <w:rsid w:val="00271618"/>
    <w:rsid w:val="00271B56"/>
    <w:rsid w:val="00272FFA"/>
    <w:rsid w:val="002730E6"/>
    <w:rsid w:val="00274DDE"/>
    <w:rsid w:val="002752F4"/>
    <w:rsid w:val="002754B9"/>
    <w:rsid w:val="0027618C"/>
    <w:rsid w:val="002761EB"/>
    <w:rsid w:val="00276815"/>
    <w:rsid w:val="00276B2E"/>
    <w:rsid w:val="00277A1B"/>
    <w:rsid w:val="002808D0"/>
    <w:rsid w:val="0028095D"/>
    <w:rsid w:val="00282D2E"/>
    <w:rsid w:val="00283C2A"/>
    <w:rsid w:val="00284F06"/>
    <w:rsid w:val="00286291"/>
    <w:rsid w:val="00287256"/>
    <w:rsid w:val="00290ECD"/>
    <w:rsid w:val="002911B6"/>
    <w:rsid w:val="00291320"/>
    <w:rsid w:val="00291DBD"/>
    <w:rsid w:val="00292667"/>
    <w:rsid w:val="00292C00"/>
    <w:rsid w:val="002947A4"/>
    <w:rsid w:val="00294941"/>
    <w:rsid w:val="00295A54"/>
    <w:rsid w:val="00296760"/>
    <w:rsid w:val="00296927"/>
    <w:rsid w:val="002A0B7C"/>
    <w:rsid w:val="002A101B"/>
    <w:rsid w:val="002A118E"/>
    <w:rsid w:val="002A1446"/>
    <w:rsid w:val="002A1BEB"/>
    <w:rsid w:val="002A284E"/>
    <w:rsid w:val="002A37AD"/>
    <w:rsid w:val="002A3B24"/>
    <w:rsid w:val="002A4085"/>
    <w:rsid w:val="002A448B"/>
    <w:rsid w:val="002A4556"/>
    <w:rsid w:val="002A5D84"/>
    <w:rsid w:val="002A5E24"/>
    <w:rsid w:val="002A6FFD"/>
    <w:rsid w:val="002B09FE"/>
    <w:rsid w:val="002B17C0"/>
    <w:rsid w:val="002B195C"/>
    <w:rsid w:val="002B313A"/>
    <w:rsid w:val="002B3B17"/>
    <w:rsid w:val="002B3B55"/>
    <w:rsid w:val="002B53E3"/>
    <w:rsid w:val="002B5834"/>
    <w:rsid w:val="002B5FA9"/>
    <w:rsid w:val="002B68A0"/>
    <w:rsid w:val="002B7859"/>
    <w:rsid w:val="002B7874"/>
    <w:rsid w:val="002B7A91"/>
    <w:rsid w:val="002B7D86"/>
    <w:rsid w:val="002C0457"/>
    <w:rsid w:val="002C07C8"/>
    <w:rsid w:val="002C26F5"/>
    <w:rsid w:val="002C48EE"/>
    <w:rsid w:val="002C5AC6"/>
    <w:rsid w:val="002C5D60"/>
    <w:rsid w:val="002C7E8A"/>
    <w:rsid w:val="002D1482"/>
    <w:rsid w:val="002D35B7"/>
    <w:rsid w:val="002D3636"/>
    <w:rsid w:val="002D38B7"/>
    <w:rsid w:val="002D5C78"/>
    <w:rsid w:val="002D6DF8"/>
    <w:rsid w:val="002D6E0E"/>
    <w:rsid w:val="002D7249"/>
    <w:rsid w:val="002E03CA"/>
    <w:rsid w:val="002E04B5"/>
    <w:rsid w:val="002E12AB"/>
    <w:rsid w:val="002E2882"/>
    <w:rsid w:val="002E4189"/>
    <w:rsid w:val="002E45B5"/>
    <w:rsid w:val="002E4E91"/>
    <w:rsid w:val="002E4E9E"/>
    <w:rsid w:val="002E53AD"/>
    <w:rsid w:val="002E5746"/>
    <w:rsid w:val="002E6205"/>
    <w:rsid w:val="002E6374"/>
    <w:rsid w:val="002E64C4"/>
    <w:rsid w:val="002E7E65"/>
    <w:rsid w:val="002F036E"/>
    <w:rsid w:val="002F05EE"/>
    <w:rsid w:val="002F0ABF"/>
    <w:rsid w:val="002F0E3A"/>
    <w:rsid w:val="002F0F28"/>
    <w:rsid w:val="002F14A9"/>
    <w:rsid w:val="002F265B"/>
    <w:rsid w:val="002F37E4"/>
    <w:rsid w:val="002F388D"/>
    <w:rsid w:val="002F3A2B"/>
    <w:rsid w:val="002F6310"/>
    <w:rsid w:val="002F66D9"/>
    <w:rsid w:val="003001C7"/>
    <w:rsid w:val="0030261C"/>
    <w:rsid w:val="003044B1"/>
    <w:rsid w:val="00306F28"/>
    <w:rsid w:val="0030752F"/>
    <w:rsid w:val="00310EC2"/>
    <w:rsid w:val="0031174F"/>
    <w:rsid w:val="00311784"/>
    <w:rsid w:val="0031190E"/>
    <w:rsid w:val="00311D04"/>
    <w:rsid w:val="0031212B"/>
    <w:rsid w:val="00312710"/>
    <w:rsid w:val="00312A2B"/>
    <w:rsid w:val="00313278"/>
    <w:rsid w:val="003133C9"/>
    <w:rsid w:val="003151FF"/>
    <w:rsid w:val="0031563D"/>
    <w:rsid w:val="0031689B"/>
    <w:rsid w:val="00316DEC"/>
    <w:rsid w:val="003175C8"/>
    <w:rsid w:val="00321CAD"/>
    <w:rsid w:val="00322984"/>
    <w:rsid w:val="00322E21"/>
    <w:rsid w:val="003230ED"/>
    <w:rsid w:val="00323E03"/>
    <w:rsid w:val="0032545F"/>
    <w:rsid w:val="0032639F"/>
    <w:rsid w:val="00326CE4"/>
    <w:rsid w:val="0032743B"/>
    <w:rsid w:val="003313E2"/>
    <w:rsid w:val="00332093"/>
    <w:rsid w:val="0033218E"/>
    <w:rsid w:val="003328F9"/>
    <w:rsid w:val="00332EB9"/>
    <w:rsid w:val="00333439"/>
    <w:rsid w:val="003349E7"/>
    <w:rsid w:val="003354AE"/>
    <w:rsid w:val="003356EC"/>
    <w:rsid w:val="0033582E"/>
    <w:rsid w:val="00335B1F"/>
    <w:rsid w:val="00335FE3"/>
    <w:rsid w:val="003361AE"/>
    <w:rsid w:val="00340E3C"/>
    <w:rsid w:val="003413CC"/>
    <w:rsid w:val="0034169C"/>
    <w:rsid w:val="003419F9"/>
    <w:rsid w:val="00342C5C"/>
    <w:rsid w:val="00343953"/>
    <w:rsid w:val="00344DEE"/>
    <w:rsid w:val="003452C4"/>
    <w:rsid w:val="00345530"/>
    <w:rsid w:val="00346433"/>
    <w:rsid w:val="00350BE3"/>
    <w:rsid w:val="00350FE6"/>
    <w:rsid w:val="00353137"/>
    <w:rsid w:val="003576A4"/>
    <w:rsid w:val="003576A9"/>
    <w:rsid w:val="00357EF2"/>
    <w:rsid w:val="003600CB"/>
    <w:rsid w:val="003618F4"/>
    <w:rsid w:val="00362735"/>
    <w:rsid w:val="00362933"/>
    <w:rsid w:val="003633B2"/>
    <w:rsid w:val="003652A5"/>
    <w:rsid w:val="0036563E"/>
    <w:rsid w:val="0036565F"/>
    <w:rsid w:val="00365828"/>
    <w:rsid w:val="00366351"/>
    <w:rsid w:val="00366963"/>
    <w:rsid w:val="00366D41"/>
    <w:rsid w:val="0037020E"/>
    <w:rsid w:val="00370A06"/>
    <w:rsid w:val="00370AD9"/>
    <w:rsid w:val="00370BE5"/>
    <w:rsid w:val="00371667"/>
    <w:rsid w:val="003722EF"/>
    <w:rsid w:val="003725AC"/>
    <w:rsid w:val="00372863"/>
    <w:rsid w:val="00373013"/>
    <w:rsid w:val="00377004"/>
    <w:rsid w:val="0037708C"/>
    <w:rsid w:val="00377271"/>
    <w:rsid w:val="00380170"/>
    <w:rsid w:val="00380548"/>
    <w:rsid w:val="00381BBC"/>
    <w:rsid w:val="00382F22"/>
    <w:rsid w:val="0038563B"/>
    <w:rsid w:val="00385A31"/>
    <w:rsid w:val="003903BF"/>
    <w:rsid w:val="0039091A"/>
    <w:rsid w:val="00390CFD"/>
    <w:rsid w:val="00390FE7"/>
    <w:rsid w:val="00392188"/>
    <w:rsid w:val="0039371E"/>
    <w:rsid w:val="00394D2F"/>
    <w:rsid w:val="0039559D"/>
    <w:rsid w:val="0039566D"/>
    <w:rsid w:val="00395A7C"/>
    <w:rsid w:val="0039692E"/>
    <w:rsid w:val="003971DB"/>
    <w:rsid w:val="00397A1C"/>
    <w:rsid w:val="00397E61"/>
    <w:rsid w:val="00397F8D"/>
    <w:rsid w:val="003A0843"/>
    <w:rsid w:val="003A1A30"/>
    <w:rsid w:val="003A1BD8"/>
    <w:rsid w:val="003A44D1"/>
    <w:rsid w:val="003A4B48"/>
    <w:rsid w:val="003A4FA1"/>
    <w:rsid w:val="003A712C"/>
    <w:rsid w:val="003B0A33"/>
    <w:rsid w:val="003B0D78"/>
    <w:rsid w:val="003B1732"/>
    <w:rsid w:val="003B3842"/>
    <w:rsid w:val="003B4073"/>
    <w:rsid w:val="003B4081"/>
    <w:rsid w:val="003B4574"/>
    <w:rsid w:val="003B4719"/>
    <w:rsid w:val="003B4DB7"/>
    <w:rsid w:val="003B683D"/>
    <w:rsid w:val="003B756C"/>
    <w:rsid w:val="003B7CAE"/>
    <w:rsid w:val="003C1648"/>
    <w:rsid w:val="003C2960"/>
    <w:rsid w:val="003C61BE"/>
    <w:rsid w:val="003C6339"/>
    <w:rsid w:val="003C727B"/>
    <w:rsid w:val="003C74E8"/>
    <w:rsid w:val="003C7574"/>
    <w:rsid w:val="003C77EF"/>
    <w:rsid w:val="003C7AEF"/>
    <w:rsid w:val="003C7EA4"/>
    <w:rsid w:val="003D0CD1"/>
    <w:rsid w:val="003D1B3B"/>
    <w:rsid w:val="003D222B"/>
    <w:rsid w:val="003D2E25"/>
    <w:rsid w:val="003D3910"/>
    <w:rsid w:val="003D400B"/>
    <w:rsid w:val="003D47E4"/>
    <w:rsid w:val="003D526D"/>
    <w:rsid w:val="003D5980"/>
    <w:rsid w:val="003D6E7F"/>
    <w:rsid w:val="003E231B"/>
    <w:rsid w:val="003E2901"/>
    <w:rsid w:val="003E2E0B"/>
    <w:rsid w:val="003E3345"/>
    <w:rsid w:val="003E4A15"/>
    <w:rsid w:val="003E53B4"/>
    <w:rsid w:val="003E547A"/>
    <w:rsid w:val="003E6901"/>
    <w:rsid w:val="003E7C03"/>
    <w:rsid w:val="003F2084"/>
    <w:rsid w:val="003F22E4"/>
    <w:rsid w:val="003F3C37"/>
    <w:rsid w:val="003F5A11"/>
    <w:rsid w:val="003F5CC9"/>
    <w:rsid w:val="003F7807"/>
    <w:rsid w:val="003F7F7C"/>
    <w:rsid w:val="004038ED"/>
    <w:rsid w:val="0040426A"/>
    <w:rsid w:val="00404732"/>
    <w:rsid w:val="004047D1"/>
    <w:rsid w:val="004057B9"/>
    <w:rsid w:val="0040695D"/>
    <w:rsid w:val="004074C2"/>
    <w:rsid w:val="00410409"/>
    <w:rsid w:val="00411C10"/>
    <w:rsid w:val="0041223C"/>
    <w:rsid w:val="0041226A"/>
    <w:rsid w:val="00412371"/>
    <w:rsid w:val="00413B11"/>
    <w:rsid w:val="0041446D"/>
    <w:rsid w:val="0041523E"/>
    <w:rsid w:val="00415393"/>
    <w:rsid w:val="00415D0E"/>
    <w:rsid w:val="00415DFF"/>
    <w:rsid w:val="00416DEA"/>
    <w:rsid w:val="00420285"/>
    <w:rsid w:val="004202B4"/>
    <w:rsid w:val="004205C0"/>
    <w:rsid w:val="004210C6"/>
    <w:rsid w:val="00421C63"/>
    <w:rsid w:val="00423C5A"/>
    <w:rsid w:val="004243EB"/>
    <w:rsid w:val="00425BD5"/>
    <w:rsid w:val="00425BD9"/>
    <w:rsid w:val="00426C15"/>
    <w:rsid w:val="00426ED5"/>
    <w:rsid w:val="00426FE7"/>
    <w:rsid w:val="00432646"/>
    <w:rsid w:val="00433028"/>
    <w:rsid w:val="00435F2C"/>
    <w:rsid w:val="00436006"/>
    <w:rsid w:val="00436EE0"/>
    <w:rsid w:val="00441E3A"/>
    <w:rsid w:val="00442B27"/>
    <w:rsid w:val="0044420E"/>
    <w:rsid w:val="004468BE"/>
    <w:rsid w:val="00447345"/>
    <w:rsid w:val="00447A92"/>
    <w:rsid w:val="0045068F"/>
    <w:rsid w:val="00450A36"/>
    <w:rsid w:val="004517BC"/>
    <w:rsid w:val="00454324"/>
    <w:rsid w:val="0045444C"/>
    <w:rsid w:val="00454708"/>
    <w:rsid w:val="00454977"/>
    <w:rsid w:val="0045695C"/>
    <w:rsid w:val="004600AE"/>
    <w:rsid w:val="00463F1F"/>
    <w:rsid w:val="00464C78"/>
    <w:rsid w:val="00465DE6"/>
    <w:rsid w:val="00466412"/>
    <w:rsid w:val="0046759B"/>
    <w:rsid w:val="0047057B"/>
    <w:rsid w:val="00470FB6"/>
    <w:rsid w:val="0047117F"/>
    <w:rsid w:val="0047199F"/>
    <w:rsid w:val="00473091"/>
    <w:rsid w:val="0047482C"/>
    <w:rsid w:val="00474BF6"/>
    <w:rsid w:val="004755EA"/>
    <w:rsid w:val="00475662"/>
    <w:rsid w:val="00475C7B"/>
    <w:rsid w:val="004761A7"/>
    <w:rsid w:val="004801D7"/>
    <w:rsid w:val="00480C2E"/>
    <w:rsid w:val="00480DD5"/>
    <w:rsid w:val="00480E84"/>
    <w:rsid w:val="0048246F"/>
    <w:rsid w:val="00483BC1"/>
    <w:rsid w:val="00484A29"/>
    <w:rsid w:val="004860D6"/>
    <w:rsid w:val="00487810"/>
    <w:rsid w:val="004919C6"/>
    <w:rsid w:val="00491CAE"/>
    <w:rsid w:val="004920AA"/>
    <w:rsid w:val="00492260"/>
    <w:rsid w:val="00492847"/>
    <w:rsid w:val="004933E0"/>
    <w:rsid w:val="00493FBA"/>
    <w:rsid w:val="00494AB2"/>
    <w:rsid w:val="0049560E"/>
    <w:rsid w:val="00495B31"/>
    <w:rsid w:val="00495FB0"/>
    <w:rsid w:val="004963E8"/>
    <w:rsid w:val="0049652D"/>
    <w:rsid w:val="0049690F"/>
    <w:rsid w:val="004973D1"/>
    <w:rsid w:val="00497A0F"/>
    <w:rsid w:val="004A0105"/>
    <w:rsid w:val="004A2E25"/>
    <w:rsid w:val="004A583D"/>
    <w:rsid w:val="004A6349"/>
    <w:rsid w:val="004A7220"/>
    <w:rsid w:val="004A73A9"/>
    <w:rsid w:val="004A7708"/>
    <w:rsid w:val="004A7C82"/>
    <w:rsid w:val="004B0F38"/>
    <w:rsid w:val="004B3E7F"/>
    <w:rsid w:val="004B4881"/>
    <w:rsid w:val="004B4E0C"/>
    <w:rsid w:val="004B6C35"/>
    <w:rsid w:val="004B757A"/>
    <w:rsid w:val="004B7645"/>
    <w:rsid w:val="004B77ED"/>
    <w:rsid w:val="004B7AB4"/>
    <w:rsid w:val="004C0143"/>
    <w:rsid w:val="004C2F4B"/>
    <w:rsid w:val="004C3474"/>
    <w:rsid w:val="004C351D"/>
    <w:rsid w:val="004C46A4"/>
    <w:rsid w:val="004C49DC"/>
    <w:rsid w:val="004C64B5"/>
    <w:rsid w:val="004D1573"/>
    <w:rsid w:val="004D1B31"/>
    <w:rsid w:val="004D2BBA"/>
    <w:rsid w:val="004D3168"/>
    <w:rsid w:val="004D3982"/>
    <w:rsid w:val="004D3994"/>
    <w:rsid w:val="004D440D"/>
    <w:rsid w:val="004D4C24"/>
    <w:rsid w:val="004D4DE6"/>
    <w:rsid w:val="004D51DA"/>
    <w:rsid w:val="004D6204"/>
    <w:rsid w:val="004E0A90"/>
    <w:rsid w:val="004E0E7C"/>
    <w:rsid w:val="004E2000"/>
    <w:rsid w:val="004E2B94"/>
    <w:rsid w:val="004E2BD5"/>
    <w:rsid w:val="004E3690"/>
    <w:rsid w:val="004E3FA9"/>
    <w:rsid w:val="004E462F"/>
    <w:rsid w:val="004E4B7E"/>
    <w:rsid w:val="004E5085"/>
    <w:rsid w:val="004E7622"/>
    <w:rsid w:val="004E7B20"/>
    <w:rsid w:val="004E7E59"/>
    <w:rsid w:val="004F1681"/>
    <w:rsid w:val="004F1A24"/>
    <w:rsid w:val="004F2DFE"/>
    <w:rsid w:val="004F3D62"/>
    <w:rsid w:val="004F4242"/>
    <w:rsid w:val="004F47CE"/>
    <w:rsid w:val="004F4FA9"/>
    <w:rsid w:val="004F5845"/>
    <w:rsid w:val="004F6A80"/>
    <w:rsid w:val="00500AAB"/>
    <w:rsid w:val="005058C5"/>
    <w:rsid w:val="0050603A"/>
    <w:rsid w:val="0050607E"/>
    <w:rsid w:val="00506276"/>
    <w:rsid w:val="005069E4"/>
    <w:rsid w:val="00510B6F"/>
    <w:rsid w:val="005127D4"/>
    <w:rsid w:val="00514CB7"/>
    <w:rsid w:val="00517930"/>
    <w:rsid w:val="0052031D"/>
    <w:rsid w:val="005204CE"/>
    <w:rsid w:val="00520C02"/>
    <w:rsid w:val="005221AA"/>
    <w:rsid w:val="005237D3"/>
    <w:rsid w:val="005251A7"/>
    <w:rsid w:val="00525CB4"/>
    <w:rsid w:val="00527BAE"/>
    <w:rsid w:val="005300C9"/>
    <w:rsid w:val="005308F4"/>
    <w:rsid w:val="00532FFB"/>
    <w:rsid w:val="0053467A"/>
    <w:rsid w:val="005349F7"/>
    <w:rsid w:val="0053769F"/>
    <w:rsid w:val="005377C4"/>
    <w:rsid w:val="0054002A"/>
    <w:rsid w:val="005411D5"/>
    <w:rsid w:val="00542AFB"/>
    <w:rsid w:val="00542BD1"/>
    <w:rsid w:val="0054435B"/>
    <w:rsid w:val="0054504E"/>
    <w:rsid w:val="00545208"/>
    <w:rsid w:val="0054528F"/>
    <w:rsid w:val="00546441"/>
    <w:rsid w:val="00546BB0"/>
    <w:rsid w:val="0055027C"/>
    <w:rsid w:val="00552E84"/>
    <w:rsid w:val="00555815"/>
    <w:rsid w:val="00556322"/>
    <w:rsid w:val="00556B8C"/>
    <w:rsid w:val="00557038"/>
    <w:rsid w:val="00557981"/>
    <w:rsid w:val="00562B52"/>
    <w:rsid w:val="00562B8F"/>
    <w:rsid w:val="00564357"/>
    <w:rsid w:val="005645C5"/>
    <w:rsid w:val="00565255"/>
    <w:rsid w:val="00566105"/>
    <w:rsid w:val="00566897"/>
    <w:rsid w:val="0056753D"/>
    <w:rsid w:val="00567B10"/>
    <w:rsid w:val="005728B6"/>
    <w:rsid w:val="005743F9"/>
    <w:rsid w:val="005744F2"/>
    <w:rsid w:val="005755E0"/>
    <w:rsid w:val="005769C1"/>
    <w:rsid w:val="00580CAC"/>
    <w:rsid w:val="00582D53"/>
    <w:rsid w:val="00583F36"/>
    <w:rsid w:val="005844AB"/>
    <w:rsid w:val="005865C3"/>
    <w:rsid w:val="00587E1F"/>
    <w:rsid w:val="00592F42"/>
    <w:rsid w:val="0059646B"/>
    <w:rsid w:val="0059788F"/>
    <w:rsid w:val="00597DBA"/>
    <w:rsid w:val="005A099D"/>
    <w:rsid w:val="005A10DB"/>
    <w:rsid w:val="005A1668"/>
    <w:rsid w:val="005A20DA"/>
    <w:rsid w:val="005A356F"/>
    <w:rsid w:val="005A3C8F"/>
    <w:rsid w:val="005A5733"/>
    <w:rsid w:val="005A5EC0"/>
    <w:rsid w:val="005A5F0F"/>
    <w:rsid w:val="005B0BE3"/>
    <w:rsid w:val="005B26C0"/>
    <w:rsid w:val="005B2BD9"/>
    <w:rsid w:val="005B2FCA"/>
    <w:rsid w:val="005B3731"/>
    <w:rsid w:val="005B4B89"/>
    <w:rsid w:val="005B4D6F"/>
    <w:rsid w:val="005C1012"/>
    <w:rsid w:val="005C26A1"/>
    <w:rsid w:val="005C2BE9"/>
    <w:rsid w:val="005C2F1B"/>
    <w:rsid w:val="005C739D"/>
    <w:rsid w:val="005C758E"/>
    <w:rsid w:val="005C7C39"/>
    <w:rsid w:val="005D2357"/>
    <w:rsid w:val="005D25FF"/>
    <w:rsid w:val="005D267F"/>
    <w:rsid w:val="005D2920"/>
    <w:rsid w:val="005D45A1"/>
    <w:rsid w:val="005D58BE"/>
    <w:rsid w:val="005D795D"/>
    <w:rsid w:val="005D7B9B"/>
    <w:rsid w:val="005E01B3"/>
    <w:rsid w:val="005E08D0"/>
    <w:rsid w:val="005E0A11"/>
    <w:rsid w:val="005E1765"/>
    <w:rsid w:val="005E1B40"/>
    <w:rsid w:val="005E4210"/>
    <w:rsid w:val="005E4D56"/>
    <w:rsid w:val="005E528C"/>
    <w:rsid w:val="005E6010"/>
    <w:rsid w:val="005F076E"/>
    <w:rsid w:val="005F16A2"/>
    <w:rsid w:val="005F24E9"/>
    <w:rsid w:val="005F3283"/>
    <w:rsid w:val="005F369A"/>
    <w:rsid w:val="005F443D"/>
    <w:rsid w:val="005F5A10"/>
    <w:rsid w:val="005F5CFB"/>
    <w:rsid w:val="005F5F1C"/>
    <w:rsid w:val="005F5F85"/>
    <w:rsid w:val="00606F08"/>
    <w:rsid w:val="00607679"/>
    <w:rsid w:val="006105B2"/>
    <w:rsid w:val="00611B92"/>
    <w:rsid w:val="00611DB4"/>
    <w:rsid w:val="00612981"/>
    <w:rsid w:val="00613023"/>
    <w:rsid w:val="0061310D"/>
    <w:rsid w:val="0061324D"/>
    <w:rsid w:val="00613B01"/>
    <w:rsid w:val="00613B4A"/>
    <w:rsid w:val="00614825"/>
    <w:rsid w:val="0061792E"/>
    <w:rsid w:val="006223DC"/>
    <w:rsid w:val="006229A2"/>
    <w:rsid w:val="00622B39"/>
    <w:rsid w:val="0062630B"/>
    <w:rsid w:val="00626BED"/>
    <w:rsid w:val="006316F8"/>
    <w:rsid w:val="006320C1"/>
    <w:rsid w:val="0063231F"/>
    <w:rsid w:val="006329FC"/>
    <w:rsid w:val="00634DA2"/>
    <w:rsid w:val="00635DC5"/>
    <w:rsid w:val="006368D3"/>
    <w:rsid w:val="00637451"/>
    <w:rsid w:val="00637A0A"/>
    <w:rsid w:val="00640235"/>
    <w:rsid w:val="006402C3"/>
    <w:rsid w:val="00641240"/>
    <w:rsid w:val="00641566"/>
    <w:rsid w:val="00643B4D"/>
    <w:rsid w:val="00645222"/>
    <w:rsid w:val="00647C44"/>
    <w:rsid w:val="00647F44"/>
    <w:rsid w:val="00650106"/>
    <w:rsid w:val="006509E5"/>
    <w:rsid w:val="00650A3F"/>
    <w:rsid w:val="00651DB2"/>
    <w:rsid w:val="00653654"/>
    <w:rsid w:val="00653916"/>
    <w:rsid w:val="00654190"/>
    <w:rsid w:val="0065475E"/>
    <w:rsid w:val="0065533B"/>
    <w:rsid w:val="0065544C"/>
    <w:rsid w:val="00656A56"/>
    <w:rsid w:val="0065724F"/>
    <w:rsid w:val="0066017F"/>
    <w:rsid w:val="00660236"/>
    <w:rsid w:val="00661CF7"/>
    <w:rsid w:val="006627C0"/>
    <w:rsid w:val="0066536D"/>
    <w:rsid w:val="00665606"/>
    <w:rsid w:val="00666C5E"/>
    <w:rsid w:val="0067241F"/>
    <w:rsid w:val="006745BC"/>
    <w:rsid w:val="00676EB5"/>
    <w:rsid w:val="0067780B"/>
    <w:rsid w:val="00680248"/>
    <w:rsid w:val="006804CB"/>
    <w:rsid w:val="00680BF4"/>
    <w:rsid w:val="00680E28"/>
    <w:rsid w:val="006815CC"/>
    <w:rsid w:val="00682617"/>
    <w:rsid w:val="00682858"/>
    <w:rsid w:val="0068393D"/>
    <w:rsid w:val="00683ADB"/>
    <w:rsid w:val="00683B14"/>
    <w:rsid w:val="00683B23"/>
    <w:rsid w:val="00684BB5"/>
    <w:rsid w:val="00684C0B"/>
    <w:rsid w:val="00686834"/>
    <w:rsid w:val="006872CC"/>
    <w:rsid w:val="00687EA8"/>
    <w:rsid w:val="0069072F"/>
    <w:rsid w:val="006908EE"/>
    <w:rsid w:val="00690A73"/>
    <w:rsid w:val="0069257C"/>
    <w:rsid w:val="00692C48"/>
    <w:rsid w:val="00693746"/>
    <w:rsid w:val="006937C2"/>
    <w:rsid w:val="00693E49"/>
    <w:rsid w:val="00694D2F"/>
    <w:rsid w:val="006967C7"/>
    <w:rsid w:val="0069708B"/>
    <w:rsid w:val="006975BC"/>
    <w:rsid w:val="006976C9"/>
    <w:rsid w:val="006A041A"/>
    <w:rsid w:val="006A0C97"/>
    <w:rsid w:val="006A19F9"/>
    <w:rsid w:val="006A1BF2"/>
    <w:rsid w:val="006A3FF4"/>
    <w:rsid w:val="006A4091"/>
    <w:rsid w:val="006A5164"/>
    <w:rsid w:val="006A599F"/>
    <w:rsid w:val="006A5B67"/>
    <w:rsid w:val="006A7B62"/>
    <w:rsid w:val="006B0816"/>
    <w:rsid w:val="006B66BC"/>
    <w:rsid w:val="006B73C5"/>
    <w:rsid w:val="006B7B00"/>
    <w:rsid w:val="006C0090"/>
    <w:rsid w:val="006C093B"/>
    <w:rsid w:val="006C284C"/>
    <w:rsid w:val="006C4FBC"/>
    <w:rsid w:val="006C5D6D"/>
    <w:rsid w:val="006C601F"/>
    <w:rsid w:val="006D0C5F"/>
    <w:rsid w:val="006D0DEA"/>
    <w:rsid w:val="006D0F16"/>
    <w:rsid w:val="006D2C12"/>
    <w:rsid w:val="006D2C7C"/>
    <w:rsid w:val="006D380D"/>
    <w:rsid w:val="006D4480"/>
    <w:rsid w:val="006D621E"/>
    <w:rsid w:val="006D6DF1"/>
    <w:rsid w:val="006D6E33"/>
    <w:rsid w:val="006D7DF5"/>
    <w:rsid w:val="006E0460"/>
    <w:rsid w:val="006E0C09"/>
    <w:rsid w:val="006E0F1E"/>
    <w:rsid w:val="006E10CF"/>
    <w:rsid w:val="006E15D2"/>
    <w:rsid w:val="006E1BEF"/>
    <w:rsid w:val="006E308C"/>
    <w:rsid w:val="006E30F2"/>
    <w:rsid w:val="006E3116"/>
    <w:rsid w:val="006E4D63"/>
    <w:rsid w:val="006E4D8B"/>
    <w:rsid w:val="006F0103"/>
    <w:rsid w:val="006F04C3"/>
    <w:rsid w:val="006F166D"/>
    <w:rsid w:val="006F6203"/>
    <w:rsid w:val="006F7210"/>
    <w:rsid w:val="007006E7"/>
    <w:rsid w:val="00700FAE"/>
    <w:rsid w:val="00701C15"/>
    <w:rsid w:val="0070208D"/>
    <w:rsid w:val="0070245B"/>
    <w:rsid w:val="00702766"/>
    <w:rsid w:val="0070415D"/>
    <w:rsid w:val="007072E0"/>
    <w:rsid w:val="00707AF3"/>
    <w:rsid w:val="007104B0"/>
    <w:rsid w:val="007104E4"/>
    <w:rsid w:val="00712F22"/>
    <w:rsid w:val="0071377E"/>
    <w:rsid w:val="00714057"/>
    <w:rsid w:val="007146CC"/>
    <w:rsid w:val="00715212"/>
    <w:rsid w:val="007160F3"/>
    <w:rsid w:val="00716F0D"/>
    <w:rsid w:val="00720264"/>
    <w:rsid w:val="00720525"/>
    <w:rsid w:val="00721C29"/>
    <w:rsid w:val="0072328E"/>
    <w:rsid w:val="00724409"/>
    <w:rsid w:val="007244B9"/>
    <w:rsid w:val="0072458B"/>
    <w:rsid w:val="00725E51"/>
    <w:rsid w:val="00726156"/>
    <w:rsid w:val="0072721F"/>
    <w:rsid w:val="007277A7"/>
    <w:rsid w:val="0073120A"/>
    <w:rsid w:val="00733214"/>
    <w:rsid w:val="00733CAE"/>
    <w:rsid w:val="007341D7"/>
    <w:rsid w:val="00736325"/>
    <w:rsid w:val="00736790"/>
    <w:rsid w:val="00742D4B"/>
    <w:rsid w:val="007431A2"/>
    <w:rsid w:val="007439E8"/>
    <w:rsid w:val="00744840"/>
    <w:rsid w:val="00745A82"/>
    <w:rsid w:val="00745BB0"/>
    <w:rsid w:val="00746115"/>
    <w:rsid w:val="00750011"/>
    <w:rsid w:val="007500A6"/>
    <w:rsid w:val="00753114"/>
    <w:rsid w:val="007535A2"/>
    <w:rsid w:val="007546F6"/>
    <w:rsid w:val="00755AF4"/>
    <w:rsid w:val="00755E0B"/>
    <w:rsid w:val="007567CA"/>
    <w:rsid w:val="0075710D"/>
    <w:rsid w:val="00760E7D"/>
    <w:rsid w:val="007621EB"/>
    <w:rsid w:val="00762C33"/>
    <w:rsid w:val="00762E9A"/>
    <w:rsid w:val="00762FB1"/>
    <w:rsid w:val="007634F9"/>
    <w:rsid w:val="00763D31"/>
    <w:rsid w:val="00764613"/>
    <w:rsid w:val="0076492D"/>
    <w:rsid w:val="00766ABF"/>
    <w:rsid w:val="007670BE"/>
    <w:rsid w:val="00767749"/>
    <w:rsid w:val="007708FA"/>
    <w:rsid w:val="0077104A"/>
    <w:rsid w:val="0077131D"/>
    <w:rsid w:val="0077204B"/>
    <w:rsid w:val="00772F06"/>
    <w:rsid w:val="007734A1"/>
    <w:rsid w:val="00773EF6"/>
    <w:rsid w:val="00774455"/>
    <w:rsid w:val="00774627"/>
    <w:rsid w:val="00775A2D"/>
    <w:rsid w:val="00775F17"/>
    <w:rsid w:val="007767C3"/>
    <w:rsid w:val="00777068"/>
    <w:rsid w:val="00777DB7"/>
    <w:rsid w:val="007808F5"/>
    <w:rsid w:val="00781EEE"/>
    <w:rsid w:val="00782961"/>
    <w:rsid w:val="00783654"/>
    <w:rsid w:val="0078380F"/>
    <w:rsid w:val="00785CB6"/>
    <w:rsid w:val="00785D7F"/>
    <w:rsid w:val="00790EDE"/>
    <w:rsid w:val="0079118B"/>
    <w:rsid w:val="0079138E"/>
    <w:rsid w:val="007925C7"/>
    <w:rsid w:val="007929F7"/>
    <w:rsid w:val="00794E71"/>
    <w:rsid w:val="00795C0A"/>
    <w:rsid w:val="00796795"/>
    <w:rsid w:val="007A064E"/>
    <w:rsid w:val="007A0C5D"/>
    <w:rsid w:val="007A1863"/>
    <w:rsid w:val="007A23D9"/>
    <w:rsid w:val="007A2971"/>
    <w:rsid w:val="007A325B"/>
    <w:rsid w:val="007A3AB7"/>
    <w:rsid w:val="007A4008"/>
    <w:rsid w:val="007A45C2"/>
    <w:rsid w:val="007A4EE1"/>
    <w:rsid w:val="007A6DBE"/>
    <w:rsid w:val="007A7B2D"/>
    <w:rsid w:val="007B0FB2"/>
    <w:rsid w:val="007B110E"/>
    <w:rsid w:val="007B16F7"/>
    <w:rsid w:val="007B3F5E"/>
    <w:rsid w:val="007B508C"/>
    <w:rsid w:val="007B60D4"/>
    <w:rsid w:val="007B682C"/>
    <w:rsid w:val="007B7903"/>
    <w:rsid w:val="007B7D9D"/>
    <w:rsid w:val="007C1FD4"/>
    <w:rsid w:val="007C2C0B"/>
    <w:rsid w:val="007C2FC3"/>
    <w:rsid w:val="007C3B98"/>
    <w:rsid w:val="007C638C"/>
    <w:rsid w:val="007C6783"/>
    <w:rsid w:val="007C6E05"/>
    <w:rsid w:val="007C710A"/>
    <w:rsid w:val="007C7112"/>
    <w:rsid w:val="007C778E"/>
    <w:rsid w:val="007C78E3"/>
    <w:rsid w:val="007D0D21"/>
    <w:rsid w:val="007D1602"/>
    <w:rsid w:val="007D2424"/>
    <w:rsid w:val="007D2AF2"/>
    <w:rsid w:val="007D3041"/>
    <w:rsid w:val="007D40F8"/>
    <w:rsid w:val="007D50D2"/>
    <w:rsid w:val="007D7593"/>
    <w:rsid w:val="007E0655"/>
    <w:rsid w:val="007E0A7C"/>
    <w:rsid w:val="007E0CA6"/>
    <w:rsid w:val="007E1CAA"/>
    <w:rsid w:val="007E250D"/>
    <w:rsid w:val="007E2CC2"/>
    <w:rsid w:val="007E2E71"/>
    <w:rsid w:val="007E2ED5"/>
    <w:rsid w:val="007E55DD"/>
    <w:rsid w:val="007E6917"/>
    <w:rsid w:val="007F08EA"/>
    <w:rsid w:val="007F1871"/>
    <w:rsid w:val="007F52AA"/>
    <w:rsid w:val="007F5A6B"/>
    <w:rsid w:val="007F649C"/>
    <w:rsid w:val="007F6BA1"/>
    <w:rsid w:val="0080173E"/>
    <w:rsid w:val="00801AA5"/>
    <w:rsid w:val="00801D73"/>
    <w:rsid w:val="00802BF9"/>
    <w:rsid w:val="00803588"/>
    <w:rsid w:val="00803B53"/>
    <w:rsid w:val="00805756"/>
    <w:rsid w:val="008069CD"/>
    <w:rsid w:val="00807588"/>
    <w:rsid w:val="00807F30"/>
    <w:rsid w:val="00810BD4"/>
    <w:rsid w:val="00814CA0"/>
    <w:rsid w:val="00815762"/>
    <w:rsid w:val="00815CD7"/>
    <w:rsid w:val="0081647F"/>
    <w:rsid w:val="00816DF3"/>
    <w:rsid w:val="00821110"/>
    <w:rsid w:val="00821D3B"/>
    <w:rsid w:val="00822EB0"/>
    <w:rsid w:val="0082485C"/>
    <w:rsid w:val="008273FB"/>
    <w:rsid w:val="008276D5"/>
    <w:rsid w:val="00827EBC"/>
    <w:rsid w:val="0083053C"/>
    <w:rsid w:val="008316E0"/>
    <w:rsid w:val="0083405F"/>
    <w:rsid w:val="008342FE"/>
    <w:rsid w:val="0083530F"/>
    <w:rsid w:val="008357D1"/>
    <w:rsid w:val="00836406"/>
    <w:rsid w:val="00836425"/>
    <w:rsid w:val="00836DE1"/>
    <w:rsid w:val="00840829"/>
    <w:rsid w:val="008421D1"/>
    <w:rsid w:val="00842263"/>
    <w:rsid w:val="008423FA"/>
    <w:rsid w:val="00842495"/>
    <w:rsid w:val="00845006"/>
    <w:rsid w:val="008477EE"/>
    <w:rsid w:val="00850703"/>
    <w:rsid w:val="00851AFB"/>
    <w:rsid w:val="008522DC"/>
    <w:rsid w:val="0085303E"/>
    <w:rsid w:val="0085365F"/>
    <w:rsid w:val="00854172"/>
    <w:rsid w:val="008548FE"/>
    <w:rsid w:val="00855B10"/>
    <w:rsid w:val="00855DD2"/>
    <w:rsid w:val="00860EDD"/>
    <w:rsid w:val="008619AD"/>
    <w:rsid w:val="00863ADD"/>
    <w:rsid w:val="0086454D"/>
    <w:rsid w:val="008651E5"/>
    <w:rsid w:val="0086720D"/>
    <w:rsid w:val="0087016A"/>
    <w:rsid w:val="008726B7"/>
    <w:rsid w:val="008734E7"/>
    <w:rsid w:val="00874D95"/>
    <w:rsid w:val="008759EF"/>
    <w:rsid w:val="008806B4"/>
    <w:rsid w:val="008809C9"/>
    <w:rsid w:val="00880F64"/>
    <w:rsid w:val="008820BE"/>
    <w:rsid w:val="008826E6"/>
    <w:rsid w:val="00882FCC"/>
    <w:rsid w:val="008831B8"/>
    <w:rsid w:val="008846FD"/>
    <w:rsid w:val="00885404"/>
    <w:rsid w:val="0088574C"/>
    <w:rsid w:val="008859E1"/>
    <w:rsid w:val="008859E3"/>
    <w:rsid w:val="00887A5D"/>
    <w:rsid w:val="00890816"/>
    <w:rsid w:val="00890895"/>
    <w:rsid w:val="0089154C"/>
    <w:rsid w:val="0089174F"/>
    <w:rsid w:val="00892C70"/>
    <w:rsid w:val="0089426E"/>
    <w:rsid w:val="00896E61"/>
    <w:rsid w:val="008973D6"/>
    <w:rsid w:val="008A106B"/>
    <w:rsid w:val="008A4116"/>
    <w:rsid w:val="008A411C"/>
    <w:rsid w:val="008A69A3"/>
    <w:rsid w:val="008B1E5A"/>
    <w:rsid w:val="008B2747"/>
    <w:rsid w:val="008B2B80"/>
    <w:rsid w:val="008B4408"/>
    <w:rsid w:val="008B4870"/>
    <w:rsid w:val="008B48FE"/>
    <w:rsid w:val="008B51BB"/>
    <w:rsid w:val="008B52FB"/>
    <w:rsid w:val="008B7EAB"/>
    <w:rsid w:val="008C007D"/>
    <w:rsid w:val="008C0E98"/>
    <w:rsid w:val="008C2BE9"/>
    <w:rsid w:val="008C6EB3"/>
    <w:rsid w:val="008D0FFD"/>
    <w:rsid w:val="008D1147"/>
    <w:rsid w:val="008D13DB"/>
    <w:rsid w:val="008D290E"/>
    <w:rsid w:val="008D4D75"/>
    <w:rsid w:val="008D5B9D"/>
    <w:rsid w:val="008D64AC"/>
    <w:rsid w:val="008E01EC"/>
    <w:rsid w:val="008E1515"/>
    <w:rsid w:val="008E1722"/>
    <w:rsid w:val="008E2351"/>
    <w:rsid w:val="008E2C2D"/>
    <w:rsid w:val="008E472F"/>
    <w:rsid w:val="008E5DEE"/>
    <w:rsid w:val="008E5E61"/>
    <w:rsid w:val="008E6DF1"/>
    <w:rsid w:val="008F0BD8"/>
    <w:rsid w:val="008F1D1A"/>
    <w:rsid w:val="008F1E60"/>
    <w:rsid w:val="008F20AB"/>
    <w:rsid w:val="008F4070"/>
    <w:rsid w:val="008F5554"/>
    <w:rsid w:val="008F6227"/>
    <w:rsid w:val="008F656A"/>
    <w:rsid w:val="008F79C3"/>
    <w:rsid w:val="00902206"/>
    <w:rsid w:val="009037F1"/>
    <w:rsid w:val="00903D64"/>
    <w:rsid w:val="0090431C"/>
    <w:rsid w:val="00904891"/>
    <w:rsid w:val="009105DF"/>
    <w:rsid w:val="00911283"/>
    <w:rsid w:val="009112DC"/>
    <w:rsid w:val="0091145B"/>
    <w:rsid w:val="00913225"/>
    <w:rsid w:val="009132EA"/>
    <w:rsid w:val="00915BA0"/>
    <w:rsid w:val="009166FF"/>
    <w:rsid w:val="00916769"/>
    <w:rsid w:val="00917B57"/>
    <w:rsid w:val="00920794"/>
    <w:rsid w:val="0092123E"/>
    <w:rsid w:val="00921DDC"/>
    <w:rsid w:val="009238E1"/>
    <w:rsid w:val="009241E2"/>
    <w:rsid w:val="00924BD9"/>
    <w:rsid w:val="00925A45"/>
    <w:rsid w:val="00925ABF"/>
    <w:rsid w:val="00933451"/>
    <w:rsid w:val="00933E62"/>
    <w:rsid w:val="00934481"/>
    <w:rsid w:val="00934714"/>
    <w:rsid w:val="00934D2E"/>
    <w:rsid w:val="00936726"/>
    <w:rsid w:val="00940B4D"/>
    <w:rsid w:val="009421CA"/>
    <w:rsid w:val="00943306"/>
    <w:rsid w:val="009437CB"/>
    <w:rsid w:val="00945072"/>
    <w:rsid w:val="0094593C"/>
    <w:rsid w:val="0094612F"/>
    <w:rsid w:val="0094794A"/>
    <w:rsid w:val="009503E5"/>
    <w:rsid w:val="00951827"/>
    <w:rsid w:val="009522C8"/>
    <w:rsid w:val="00954565"/>
    <w:rsid w:val="009561B3"/>
    <w:rsid w:val="009614F6"/>
    <w:rsid w:val="00961CF0"/>
    <w:rsid w:val="009623EA"/>
    <w:rsid w:val="00962D06"/>
    <w:rsid w:val="009647FC"/>
    <w:rsid w:val="00964D87"/>
    <w:rsid w:val="0096557E"/>
    <w:rsid w:val="0096558D"/>
    <w:rsid w:val="0096574A"/>
    <w:rsid w:val="009659A9"/>
    <w:rsid w:val="00966295"/>
    <w:rsid w:val="0096682F"/>
    <w:rsid w:val="009669C7"/>
    <w:rsid w:val="00966A09"/>
    <w:rsid w:val="0097118F"/>
    <w:rsid w:val="00971962"/>
    <w:rsid w:val="00973756"/>
    <w:rsid w:val="00974963"/>
    <w:rsid w:val="009756ED"/>
    <w:rsid w:val="00976AFC"/>
    <w:rsid w:val="00977FB9"/>
    <w:rsid w:val="0098430C"/>
    <w:rsid w:val="00985402"/>
    <w:rsid w:val="0098571A"/>
    <w:rsid w:val="00986603"/>
    <w:rsid w:val="00986EBC"/>
    <w:rsid w:val="00986EC6"/>
    <w:rsid w:val="00990A77"/>
    <w:rsid w:val="009911E0"/>
    <w:rsid w:val="00991685"/>
    <w:rsid w:val="0099172E"/>
    <w:rsid w:val="009935B3"/>
    <w:rsid w:val="00993BB4"/>
    <w:rsid w:val="00994FCB"/>
    <w:rsid w:val="009A18DB"/>
    <w:rsid w:val="009A303C"/>
    <w:rsid w:val="009A50D8"/>
    <w:rsid w:val="009A7E29"/>
    <w:rsid w:val="009B12F4"/>
    <w:rsid w:val="009B14F2"/>
    <w:rsid w:val="009B1DE1"/>
    <w:rsid w:val="009B32DD"/>
    <w:rsid w:val="009B5271"/>
    <w:rsid w:val="009B56EF"/>
    <w:rsid w:val="009B58EC"/>
    <w:rsid w:val="009B6D89"/>
    <w:rsid w:val="009B7209"/>
    <w:rsid w:val="009B7656"/>
    <w:rsid w:val="009C0C53"/>
    <w:rsid w:val="009C1DC1"/>
    <w:rsid w:val="009C2F37"/>
    <w:rsid w:val="009C3F9B"/>
    <w:rsid w:val="009C4150"/>
    <w:rsid w:val="009C61F2"/>
    <w:rsid w:val="009C699A"/>
    <w:rsid w:val="009C6E8C"/>
    <w:rsid w:val="009C7A67"/>
    <w:rsid w:val="009D0F3C"/>
    <w:rsid w:val="009D153E"/>
    <w:rsid w:val="009D1DDE"/>
    <w:rsid w:val="009D3197"/>
    <w:rsid w:val="009D3650"/>
    <w:rsid w:val="009D6E3C"/>
    <w:rsid w:val="009D7593"/>
    <w:rsid w:val="009E1AB1"/>
    <w:rsid w:val="009E2368"/>
    <w:rsid w:val="009E415F"/>
    <w:rsid w:val="009E423D"/>
    <w:rsid w:val="009E4BEB"/>
    <w:rsid w:val="009E5854"/>
    <w:rsid w:val="009E6C2C"/>
    <w:rsid w:val="009E6F2E"/>
    <w:rsid w:val="009F01A6"/>
    <w:rsid w:val="009F0233"/>
    <w:rsid w:val="009F04F7"/>
    <w:rsid w:val="009F3797"/>
    <w:rsid w:val="009F5D29"/>
    <w:rsid w:val="009F640A"/>
    <w:rsid w:val="009F7D23"/>
    <w:rsid w:val="009F7E21"/>
    <w:rsid w:val="00A006F2"/>
    <w:rsid w:val="00A00B65"/>
    <w:rsid w:val="00A04383"/>
    <w:rsid w:val="00A05548"/>
    <w:rsid w:val="00A06DA3"/>
    <w:rsid w:val="00A071F0"/>
    <w:rsid w:val="00A074C5"/>
    <w:rsid w:val="00A109AE"/>
    <w:rsid w:val="00A11464"/>
    <w:rsid w:val="00A118DE"/>
    <w:rsid w:val="00A123E3"/>
    <w:rsid w:val="00A13F92"/>
    <w:rsid w:val="00A141BA"/>
    <w:rsid w:val="00A14A9A"/>
    <w:rsid w:val="00A14C36"/>
    <w:rsid w:val="00A1651C"/>
    <w:rsid w:val="00A16A1E"/>
    <w:rsid w:val="00A16C79"/>
    <w:rsid w:val="00A175D3"/>
    <w:rsid w:val="00A21691"/>
    <w:rsid w:val="00A216CD"/>
    <w:rsid w:val="00A21D3A"/>
    <w:rsid w:val="00A22514"/>
    <w:rsid w:val="00A251B5"/>
    <w:rsid w:val="00A25672"/>
    <w:rsid w:val="00A2672F"/>
    <w:rsid w:val="00A26EBE"/>
    <w:rsid w:val="00A33821"/>
    <w:rsid w:val="00A33A98"/>
    <w:rsid w:val="00A34E6B"/>
    <w:rsid w:val="00A350B9"/>
    <w:rsid w:val="00A3557B"/>
    <w:rsid w:val="00A36DA2"/>
    <w:rsid w:val="00A407CC"/>
    <w:rsid w:val="00A408EB"/>
    <w:rsid w:val="00A40F80"/>
    <w:rsid w:val="00A4272A"/>
    <w:rsid w:val="00A442D5"/>
    <w:rsid w:val="00A45B60"/>
    <w:rsid w:val="00A46540"/>
    <w:rsid w:val="00A47071"/>
    <w:rsid w:val="00A5071B"/>
    <w:rsid w:val="00A511F1"/>
    <w:rsid w:val="00A51E5D"/>
    <w:rsid w:val="00A52506"/>
    <w:rsid w:val="00A53B68"/>
    <w:rsid w:val="00A54399"/>
    <w:rsid w:val="00A55630"/>
    <w:rsid w:val="00A563B4"/>
    <w:rsid w:val="00A56C74"/>
    <w:rsid w:val="00A56EAD"/>
    <w:rsid w:val="00A603DC"/>
    <w:rsid w:val="00A60DE6"/>
    <w:rsid w:val="00A61C27"/>
    <w:rsid w:val="00A62F85"/>
    <w:rsid w:val="00A632C2"/>
    <w:rsid w:val="00A6362A"/>
    <w:rsid w:val="00A63934"/>
    <w:rsid w:val="00A63964"/>
    <w:rsid w:val="00A63BB6"/>
    <w:rsid w:val="00A64B37"/>
    <w:rsid w:val="00A678CD"/>
    <w:rsid w:val="00A7040A"/>
    <w:rsid w:val="00A71613"/>
    <w:rsid w:val="00A72DD3"/>
    <w:rsid w:val="00A74E45"/>
    <w:rsid w:val="00A7596B"/>
    <w:rsid w:val="00A7690D"/>
    <w:rsid w:val="00A7741A"/>
    <w:rsid w:val="00A779F4"/>
    <w:rsid w:val="00A77DDA"/>
    <w:rsid w:val="00A837D4"/>
    <w:rsid w:val="00A84324"/>
    <w:rsid w:val="00A84707"/>
    <w:rsid w:val="00A84AFC"/>
    <w:rsid w:val="00A8593D"/>
    <w:rsid w:val="00A85FB7"/>
    <w:rsid w:val="00A90F6A"/>
    <w:rsid w:val="00A9276D"/>
    <w:rsid w:val="00A939E8"/>
    <w:rsid w:val="00A93BF6"/>
    <w:rsid w:val="00A94983"/>
    <w:rsid w:val="00AA1C4C"/>
    <w:rsid w:val="00AA2414"/>
    <w:rsid w:val="00AA2E32"/>
    <w:rsid w:val="00AA3BFD"/>
    <w:rsid w:val="00AA4FA5"/>
    <w:rsid w:val="00AA5CB2"/>
    <w:rsid w:val="00AA6493"/>
    <w:rsid w:val="00AA6522"/>
    <w:rsid w:val="00AB38EF"/>
    <w:rsid w:val="00AB3DDE"/>
    <w:rsid w:val="00AB4C0B"/>
    <w:rsid w:val="00AB6207"/>
    <w:rsid w:val="00AC2BE4"/>
    <w:rsid w:val="00AC6333"/>
    <w:rsid w:val="00AC6572"/>
    <w:rsid w:val="00AD1E28"/>
    <w:rsid w:val="00AD1E95"/>
    <w:rsid w:val="00AD4AC8"/>
    <w:rsid w:val="00AD5099"/>
    <w:rsid w:val="00AD5527"/>
    <w:rsid w:val="00AD5938"/>
    <w:rsid w:val="00AD61FF"/>
    <w:rsid w:val="00AD6650"/>
    <w:rsid w:val="00AE0486"/>
    <w:rsid w:val="00AE158D"/>
    <w:rsid w:val="00AE161C"/>
    <w:rsid w:val="00AE1A21"/>
    <w:rsid w:val="00AE22BA"/>
    <w:rsid w:val="00AE3747"/>
    <w:rsid w:val="00AE47AD"/>
    <w:rsid w:val="00AE4B2E"/>
    <w:rsid w:val="00AE4D55"/>
    <w:rsid w:val="00AE5205"/>
    <w:rsid w:val="00AE52E8"/>
    <w:rsid w:val="00AE6352"/>
    <w:rsid w:val="00AE6808"/>
    <w:rsid w:val="00AE79D6"/>
    <w:rsid w:val="00AF07A6"/>
    <w:rsid w:val="00AF0C5C"/>
    <w:rsid w:val="00AF15D6"/>
    <w:rsid w:val="00AF2C00"/>
    <w:rsid w:val="00AF3ABD"/>
    <w:rsid w:val="00AF602A"/>
    <w:rsid w:val="00AF7872"/>
    <w:rsid w:val="00AF7B29"/>
    <w:rsid w:val="00B00D7F"/>
    <w:rsid w:val="00B01CB0"/>
    <w:rsid w:val="00B020D7"/>
    <w:rsid w:val="00B04910"/>
    <w:rsid w:val="00B04D83"/>
    <w:rsid w:val="00B068D6"/>
    <w:rsid w:val="00B06D90"/>
    <w:rsid w:val="00B07607"/>
    <w:rsid w:val="00B07DE9"/>
    <w:rsid w:val="00B105F7"/>
    <w:rsid w:val="00B13E82"/>
    <w:rsid w:val="00B177A2"/>
    <w:rsid w:val="00B17FC5"/>
    <w:rsid w:val="00B20218"/>
    <w:rsid w:val="00B21B9E"/>
    <w:rsid w:val="00B223F7"/>
    <w:rsid w:val="00B230BA"/>
    <w:rsid w:val="00B23F4C"/>
    <w:rsid w:val="00B2420E"/>
    <w:rsid w:val="00B245CE"/>
    <w:rsid w:val="00B2555E"/>
    <w:rsid w:val="00B260D1"/>
    <w:rsid w:val="00B3283C"/>
    <w:rsid w:val="00B3313B"/>
    <w:rsid w:val="00B331C0"/>
    <w:rsid w:val="00B33CEF"/>
    <w:rsid w:val="00B3407C"/>
    <w:rsid w:val="00B3472C"/>
    <w:rsid w:val="00B34A65"/>
    <w:rsid w:val="00B356E2"/>
    <w:rsid w:val="00B35851"/>
    <w:rsid w:val="00B35CED"/>
    <w:rsid w:val="00B37591"/>
    <w:rsid w:val="00B37B06"/>
    <w:rsid w:val="00B37F4F"/>
    <w:rsid w:val="00B40725"/>
    <w:rsid w:val="00B41274"/>
    <w:rsid w:val="00B41994"/>
    <w:rsid w:val="00B41B36"/>
    <w:rsid w:val="00B41D1A"/>
    <w:rsid w:val="00B43DDD"/>
    <w:rsid w:val="00B445DA"/>
    <w:rsid w:val="00B44BCF"/>
    <w:rsid w:val="00B45671"/>
    <w:rsid w:val="00B457B0"/>
    <w:rsid w:val="00B457F6"/>
    <w:rsid w:val="00B4600D"/>
    <w:rsid w:val="00B50114"/>
    <w:rsid w:val="00B507C3"/>
    <w:rsid w:val="00B50E30"/>
    <w:rsid w:val="00B50FE2"/>
    <w:rsid w:val="00B51166"/>
    <w:rsid w:val="00B51D8B"/>
    <w:rsid w:val="00B53179"/>
    <w:rsid w:val="00B556AE"/>
    <w:rsid w:val="00B55E40"/>
    <w:rsid w:val="00B6170E"/>
    <w:rsid w:val="00B63D23"/>
    <w:rsid w:val="00B6406E"/>
    <w:rsid w:val="00B7025F"/>
    <w:rsid w:val="00B72C4F"/>
    <w:rsid w:val="00B73C76"/>
    <w:rsid w:val="00B76268"/>
    <w:rsid w:val="00B76899"/>
    <w:rsid w:val="00B77E4F"/>
    <w:rsid w:val="00B80717"/>
    <w:rsid w:val="00B83072"/>
    <w:rsid w:val="00B83367"/>
    <w:rsid w:val="00B840E3"/>
    <w:rsid w:val="00B8483F"/>
    <w:rsid w:val="00B90F39"/>
    <w:rsid w:val="00B91B53"/>
    <w:rsid w:val="00B9379E"/>
    <w:rsid w:val="00B95A27"/>
    <w:rsid w:val="00B971F0"/>
    <w:rsid w:val="00B972AD"/>
    <w:rsid w:val="00B975E8"/>
    <w:rsid w:val="00BA031B"/>
    <w:rsid w:val="00BA03A6"/>
    <w:rsid w:val="00BA0872"/>
    <w:rsid w:val="00BA09A9"/>
    <w:rsid w:val="00BA3E66"/>
    <w:rsid w:val="00BA445B"/>
    <w:rsid w:val="00BA4FDA"/>
    <w:rsid w:val="00BA707B"/>
    <w:rsid w:val="00BA75ED"/>
    <w:rsid w:val="00BB0C5E"/>
    <w:rsid w:val="00BB2459"/>
    <w:rsid w:val="00BB3171"/>
    <w:rsid w:val="00BB31C6"/>
    <w:rsid w:val="00BB3AC1"/>
    <w:rsid w:val="00BB43D5"/>
    <w:rsid w:val="00BB7026"/>
    <w:rsid w:val="00BB78FE"/>
    <w:rsid w:val="00BC0FAC"/>
    <w:rsid w:val="00BC1B6A"/>
    <w:rsid w:val="00BC29BE"/>
    <w:rsid w:val="00BC2E76"/>
    <w:rsid w:val="00BC3197"/>
    <w:rsid w:val="00BC3524"/>
    <w:rsid w:val="00BC4F45"/>
    <w:rsid w:val="00BC641A"/>
    <w:rsid w:val="00BC6AD9"/>
    <w:rsid w:val="00BC7731"/>
    <w:rsid w:val="00BD0151"/>
    <w:rsid w:val="00BD07CD"/>
    <w:rsid w:val="00BD1B90"/>
    <w:rsid w:val="00BD1EF1"/>
    <w:rsid w:val="00BD2CF8"/>
    <w:rsid w:val="00BD60FE"/>
    <w:rsid w:val="00BD707C"/>
    <w:rsid w:val="00BD79B7"/>
    <w:rsid w:val="00BE0C23"/>
    <w:rsid w:val="00BE3245"/>
    <w:rsid w:val="00BE51CC"/>
    <w:rsid w:val="00BE66C7"/>
    <w:rsid w:val="00BE7582"/>
    <w:rsid w:val="00BF17AA"/>
    <w:rsid w:val="00BF1BF1"/>
    <w:rsid w:val="00BF23C0"/>
    <w:rsid w:val="00BF26BF"/>
    <w:rsid w:val="00BF2FC4"/>
    <w:rsid w:val="00BF3B9B"/>
    <w:rsid w:val="00BF4A93"/>
    <w:rsid w:val="00BF560D"/>
    <w:rsid w:val="00BF7E48"/>
    <w:rsid w:val="00C0010B"/>
    <w:rsid w:val="00C005A4"/>
    <w:rsid w:val="00C02A0B"/>
    <w:rsid w:val="00C02E4D"/>
    <w:rsid w:val="00C03CF5"/>
    <w:rsid w:val="00C04640"/>
    <w:rsid w:val="00C04919"/>
    <w:rsid w:val="00C04EEC"/>
    <w:rsid w:val="00C05C2D"/>
    <w:rsid w:val="00C06FE1"/>
    <w:rsid w:val="00C07333"/>
    <w:rsid w:val="00C10448"/>
    <w:rsid w:val="00C10AA1"/>
    <w:rsid w:val="00C10C7B"/>
    <w:rsid w:val="00C12694"/>
    <w:rsid w:val="00C12AF8"/>
    <w:rsid w:val="00C136D5"/>
    <w:rsid w:val="00C143B6"/>
    <w:rsid w:val="00C145A4"/>
    <w:rsid w:val="00C14A77"/>
    <w:rsid w:val="00C1507A"/>
    <w:rsid w:val="00C162E3"/>
    <w:rsid w:val="00C169CF"/>
    <w:rsid w:val="00C20864"/>
    <w:rsid w:val="00C21093"/>
    <w:rsid w:val="00C232B8"/>
    <w:rsid w:val="00C2349F"/>
    <w:rsid w:val="00C247ED"/>
    <w:rsid w:val="00C24BE4"/>
    <w:rsid w:val="00C24C46"/>
    <w:rsid w:val="00C250C7"/>
    <w:rsid w:val="00C25E2C"/>
    <w:rsid w:val="00C25E4B"/>
    <w:rsid w:val="00C25FB5"/>
    <w:rsid w:val="00C26F36"/>
    <w:rsid w:val="00C27CD0"/>
    <w:rsid w:val="00C31AA6"/>
    <w:rsid w:val="00C3280F"/>
    <w:rsid w:val="00C34AE5"/>
    <w:rsid w:val="00C3596A"/>
    <w:rsid w:val="00C359DF"/>
    <w:rsid w:val="00C42069"/>
    <w:rsid w:val="00C4253D"/>
    <w:rsid w:val="00C43848"/>
    <w:rsid w:val="00C43E89"/>
    <w:rsid w:val="00C4504B"/>
    <w:rsid w:val="00C4736D"/>
    <w:rsid w:val="00C476AD"/>
    <w:rsid w:val="00C53262"/>
    <w:rsid w:val="00C54066"/>
    <w:rsid w:val="00C54629"/>
    <w:rsid w:val="00C55421"/>
    <w:rsid w:val="00C56BBE"/>
    <w:rsid w:val="00C635E9"/>
    <w:rsid w:val="00C63B71"/>
    <w:rsid w:val="00C65322"/>
    <w:rsid w:val="00C65C3A"/>
    <w:rsid w:val="00C66210"/>
    <w:rsid w:val="00C67C43"/>
    <w:rsid w:val="00C67E4E"/>
    <w:rsid w:val="00C710C7"/>
    <w:rsid w:val="00C72E49"/>
    <w:rsid w:val="00C74ACD"/>
    <w:rsid w:val="00C74F30"/>
    <w:rsid w:val="00C76FCE"/>
    <w:rsid w:val="00C81458"/>
    <w:rsid w:val="00C81682"/>
    <w:rsid w:val="00C82C08"/>
    <w:rsid w:val="00C8316E"/>
    <w:rsid w:val="00C8466B"/>
    <w:rsid w:val="00C912EE"/>
    <w:rsid w:val="00C92B5D"/>
    <w:rsid w:val="00C92F79"/>
    <w:rsid w:val="00C93B24"/>
    <w:rsid w:val="00C93CF2"/>
    <w:rsid w:val="00C94B77"/>
    <w:rsid w:val="00C94EA8"/>
    <w:rsid w:val="00C96CFD"/>
    <w:rsid w:val="00C9716B"/>
    <w:rsid w:val="00CA0DF5"/>
    <w:rsid w:val="00CA189C"/>
    <w:rsid w:val="00CA18E6"/>
    <w:rsid w:val="00CA1A94"/>
    <w:rsid w:val="00CA2217"/>
    <w:rsid w:val="00CA320F"/>
    <w:rsid w:val="00CA34E2"/>
    <w:rsid w:val="00CA3DA5"/>
    <w:rsid w:val="00CA57A1"/>
    <w:rsid w:val="00CA5E6A"/>
    <w:rsid w:val="00CA660F"/>
    <w:rsid w:val="00CA6FFE"/>
    <w:rsid w:val="00CB0E27"/>
    <w:rsid w:val="00CB1955"/>
    <w:rsid w:val="00CB3E45"/>
    <w:rsid w:val="00CB4E16"/>
    <w:rsid w:val="00CB71A8"/>
    <w:rsid w:val="00CC0210"/>
    <w:rsid w:val="00CC0614"/>
    <w:rsid w:val="00CC2D86"/>
    <w:rsid w:val="00CC317B"/>
    <w:rsid w:val="00CC39D9"/>
    <w:rsid w:val="00CC3A96"/>
    <w:rsid w:val="00CC544F"/>
    <w:rsid w:val="00CC5941"/>
    <w:rsid w:val="00CC5FA0"/>
    <w:rsid w:val="00CD02BF"/>
    <w:rsid w:val="00CD15DD"/>
    <w:rsid w:val="00CD2E7A"/>
    <w:rsid w:val="00CD2F87"/>
    <w:rsid w:val="00CD3E47"/>
    <w:rsid w:val="00CD523A"/>
    <w:rsid w:val="00CD538D"/>
    <w:rsid w:val="00CD5E5A"/>
    <w:rsid w:val="00CD6F7F"/>
    <w:rsid w:val="00CD76B5"/>
    <w:rsid w:val="00CE1412"/>
    <w:rsid w:val="00CE1F49"/>
    <w:rsid w:val="00CE32C8"/>
    <w:rsid w:val="00CE3DC3"/>
    <w:rsid w:val="00CE4AAE"/>
    <w:rsid w:val="00CE52D2"/>
    <w:rsid w:val="00CE7DD2"/>
    <w:rsid w:val="00CE7E75"/>
    <w:rsid w:val="00CF06B0"/>
    <w:rsid w:val="00CF0A7F"/>
    <w:rsid w:val="00CF3B5D"/>
    <w:rsid w:val="00CF473D"/>
    <w:rsid w:val="00CF5583"/>
    <w:rsid w:val="00CF55D2"/>
    <w:rsid w:val="00CF77C4"/>
    <w:rsid w:val="00D00728"/>
    <w:rsid w:val="00D014F6"/>
    <w:rsid w:val="00D01C4E"/>
    <w:rsid w:val="00D03ADC"/>
    <w:rsid w:val="00D0459C"/>
    <w:rsid w:val="00D04BE9"/>
    <w:rsid w:val="00D05335"/>
    <w:rsid w:val="00D05811"/>
    <w:rsid w:val="00D06466"/>
    <w:rsid w:val="00D072CD"/>
    <w:rsid w:val="00D07CBB"/>
    <w:rsid w:val="00D14158"/>
    <w:rsid w:val="00D14E11"/>
    <w:rsid w:val="00D15DF6"/>
    <w:rsid w:val="00D16BA4"/>
    <w:rsid w:val="00D17DC8"/>
    <w:rsid w:val="00D200C6"/>
    <w:rsid w:val="00D20828"/>
    <w:rsid w:val="00D20CEC"/>
    <w:rsid w:val="00D20E53"/>
    <w:rsid w:val="00D2169E"/>
    <w:rsid w:val="00D2219A"/>
    <w:rsid w:val="00D22770"/>
    <w:rsid w:val="00D2351A"/>
    <w:rsid w:val="00D24464"/>
    <w:rsid w:val="00D26585"/>
    <w:rsid w:val="00D27FAD"/>
    <w:rsid w:val="00D30A2E"/>
    <w:rsid w:val="00D30B0D"/>
    <w:rsid w:val="00D31DCA"/>
    <w:rsid w:val="00D32EB7"/>
    <w:rsid w:val="00D33F1A"/>
    <w:rsid w:val="00D364A4"/>
    <w:rsid w:val="00D3668B"/>
    <w:rsid w:val="00D37112"/>
    <w:rsid w:val="00D371A7"/>
    <w:rsid w:val="00D374F7"/>
    <w:rsid w:val="00D40829"/>
    <w:rsid w:val="00D421FE"/>
    <w:rsid w:val="00D42DAB"/>
    <w:rsid w:val="00D4437D"/>
    <w:rsid w:val="00D44465"/>
    <w:rsid w:val="00D4487C"/>
    <w:rsid w:val="00D45014"/>
    <w:rsid w:val="00D45050"/>
    <w:rsid w:val="00D465AF"/>
    <w:rsid w:val="00D505D6"/>
    <w:rsid w:val="00D50A1F"/>
    <w:rsid w:val="00D51402"/>
    <w:rsid w:val="00D52357"/>
    <w:rsid w:val="00D5357C"/>
    <w:rsid w:val="00D54FA9"/>
    <w:rsid w:val="00D5587A"/>
    <w:rsid w:val="00D55B00"/>
    <w:rsid w:val="00D55D57"/>
    <w:rsid w:val="00D56ECD"/>
    <w:rsid w:val="00D604D3"/>
    <w:rsid w:val="00D6110E"/>
    <w:rsid w:val="00D6141C"/>
    <w:rsid w:val="00D61F02"/>
    <w:rsid w:val="00D63339"/>
    <w:rsid w:val="00D647AC"/>
    <w:rsid w:val="00D671C9"/>
    <w:rsid w:val="00D6722E"/>
    <w:rsid w:val="00D70920"/>
    <w:rsid w:val="00D71335"/>
    <w:rsid w:val="00D73B6B"/>
    <w:rsid w:val="00D74ACC"/>
    <w:rsid w:val="00D75B7E"/>
    <w:rsid w:val="00D762AE"/>
    <w:rsid w:val="00D76389"/>
    <w:rsid w:val="00D76AF3"/>
    <w:rsid w:val="00D807F8"/>
    <w:rsid w:val="00D80951"/>
    <w:rsid w:val="00D80F92"/>
    <w:rsid w:val="00D80F93"/>
    <w:rsid w:val="00D815F7"/>
    <w:rsid w:val="00D82D25"/>
    <w:rsid w:val="00D83A67"/>
    <w:rsid w:val="00D83CBE"/>
    <w:rsid w:val="00D84403"/>
    <w:rsid w:val="00D844A0"/>
    <w:rsid w:val="00D851C5"/>
    <w:rsid w:val="00D854DF"/>
    <w:rsid w:val="00D859A0"/>
    <w:rsid w:val="00D90431"/>
    <w:rsid w:val="00D904BD"/>
    <w:rsid w:val="00D91398"/>
    <w:rsid w:val="00D91595"/>
    <w:rsid w:val="00D92B29"/>
    <w:rsid w:val="00D935A1"/>
    <w:rsid w:val="00D9391A"/>
    <w:rsid w:val="00D94E7D"/>
    <w:rsid w:val="00D95999"/>
    <w:rsid w:val="00D96E6B"/>
    <w:rsid w:val="00D97D81"/>
    <w:rsid w:val="00DA008D"/>
    <w:rsid w:val="00DA04DC"/>
    <w:rsid w:val="00DA1D20"/>
    <w:rsid w:val="00DA2A7E"/>
    <w:rsid w:val="00DA428A"/>
    <w:rsid w:val="00DA51D0"/>
    <w:rsid w:val="00DA525D"/>
    <w:rsid w:val="00DA5E1A"/>
    <w:rsid w:val="00DA6080"/>
    <w:rsid w:val="00DA7BC2"/>
    <w:rsid w:val="00DA7EED"/>
    <w:rsid w:val="00DB0756"/>
    <w:rsid w:val="00DB108A"/>
    <w:rsid w:val="00DB2EB5"/>
    <w:rsid w:val="00DB3870"/>
    <w:rsid w:val="00DB4736"/>
    <w:rsid w:val="00DB47F8"/>
    <w:rsid w:val="00DC12DB"/>
    <w:rsid w:val="00DC1A06"/>
    <w:rsid w:val="00DC1D1B"/>
    <w:rsid w:val="00DC2073"/>
    <w:rsid w:val="00DC3342"/>
    <w:rsid w:val="00DC5646"/>
    <w:rsid w:val="00DC61EB"/>
    <w:rsid w:val="00DC7038"/>
    <w:rsid w:val="00DC7217"/>
    <w:rsid w:val="00DC75DB"/>
    <w:rsid w:val="00DC7A70"/>
    <w:rsid w:val="00DD12F9"/>
    <w:rsid w:val="00DD3433"/>
    <w:rsid w:val="00DD351D"/>
    <w:rsid w:val="00DD36EA"/>
    <w:rsid w:val="00DD67DD"/>
    <w:rsid w:val="00DE0389"/>
    <w:rsid w:val="00DE0C9A"/>
    <w:rsid w:val="00DE15FB"/>
    <w:rsid w:val="00DE16EF"/>
    <w:rsid w:val="00DE1CED"/>
    <w:rsid w:val="00DE30E5"/>
    <w:rsid w:val="00DE3D64"/>
    <w:rsid w:val="00DE6648"/>
    <w:rsid w:val="00DE6A2E"/>
    <w:rsid w:val="00DE7071"/>
    <w:rsid w:val="00DE70A7"/>
    <w:rsid w:val="00DE72AB"/>
    <w:rsid w:val="00DE72C5"/>
    <w:rsid w:val="00DF37E6"/>
    <w:rsid w:val="00DF4228"/>
    <w:rsid w:val="00DF48A4"/>
    <w:rsid w:val="00DF52D2"/>
    <w:rsid w:val="00DF617F"/>
    <w:rsid w:val="00DF7764"/>
    <w:rsid w:val="00E00C46"/>
    <w:rsid w:val="00E00E4D"/>
    <w:rsid w:val="00E0607A"/>
    <w:rsid w:val="00E068CF"/>
    <w:rsid w:val="00E07958"/>
    <w:rsid w:val="00E07F89"/>
    <w:rsid w:val="00E104EA"/>
    <w:rsid w:val="00E12EF0"/>
    <w:rsid w:val="00E15FCF"/>
    <w:rsid w:val="00E16EF9"/>
    <w:rsid w:val="00E20339"/>
    <w:rsid w:val="00E20EB1"/>
    <w:rsid w:val="00E21EC7"/>
    <w:rsid w:val="00E223DA"/>
    <w:rsid w:val="00E227B8"/>
    <w:rsid w:val="00E23D71"/>
    <w:rsid w:val="00E25FD5"/>
    <w:rsid w:val="00E30099"/>
    <w:rsid w:val="00E3031A"/>
    <w:rsid w:val="00E310B1"/>
    <w:rsid w:val="00E31AB8"/>
    <w:rsid w:val="00E33422"/>
    <w:rsid w:val="00E3372C"/>
    <w:rsid w:val="00E34C24"/>
    <w:rsid w:val="00E35975"/>
    <w:rsid w:val="00E3618F"/>
    <w:rsid w:val="00E37FD7"/>
    <w:rsid w:val="00E400BB"/>
    <w:rsid w:val="00E40AC8"/>
    <w:rsid w:val="00E412D5"/>
    <w:rsid w:val="00E41642"/>
    <w:rsid w:val="00E42897"/>
    <w:rsid w:val="00E4339B"/>
    <w:rsid w:val="00E4351A"/>
    <w:rsid w:val="00E44F25"/>
    <w:rsid w:val="00E45500"/>
    <w:rsid w:val="00E46498"/>
    <w:rsid w:val="00E46DCE"/>
    <w:rsid w:val="00E47DD0"/>
    <w:rsid w:val="00E508C0"/>
    <w:rsid w:val="00E51271"/>
    <w:rsid w:val="00E5289E"/>
    <w:rsid w:val="00E529DA"/>
    <w:rsid w:val="00E54BD2"/>
    <w:rsid w:val="00E54C68"/>
    <w:rsid w:val="00E55B1D"/>
    <w:rsid w:val="00E5614E"/>
    <w:rsid w:val="00E56E41"/>
    <w:rsid w:val="00E61337"/>
    <w:rsid w:val="00E619B8"/>
    <w:rsid w:val="00E62002"/>
    <w:rsid w:val="00E6237A"/>
    <w:rsid w:val="00E64324"/>
    <w:rsid w:val="00E6557D"/>
    <w:rsid w:val="00E656F1"/>
    <w:rsid w:val="00E662C5"/>
    <w:rsid w:val="00E672F6"/>
    <w:rsid w:val="00E678C3"/>
    <w:rsid w:val="00E7002C"/>
    <w:rsid w:val="00E72B0E"/>
    <w:rsid w:val="00E76532"/>
    <w:rsid w:val="00E76EB6"/>
    <w:rsid w:val="00E7780E"/>
    <w:rsid w:val="00E8014D"/>
    <w:rsid w:val="00E81189"/>
    <w:rsid w:val="00E81EAE"/>
    <w:rsid w:val="00E81F4B"/>
    <w:rsid w:val="00E84389"/>
    <w:rsid w:val="00E84C7E"/>
    <w:rsid w:val="00E862C6"/>
    <w:rsid w:val="00E86BE5"/>
    <w:rsid w:val="00E87647"/>
    <w:rsid w:val="00E91774"/>
    <w:rsid w:val="00E91E6F"/>
    <w:rsid w:val="00E92364"/>
    <w:rsid w:val="00E924A1"/>
    <w:rsid w:val="00E9272C"/>
    <w:rsid w:val="00E92830"/>
    <w:rsid w:val="00E92BFD"/>
    <w:rsid w:val="00E933AB"/>
    <w:rsid w:val="00E9579F"/>
    <w:rsid w:val="00E9785B"/>
    <w:rsid w:val="00E97E88"/>
    <w:rsid w:val="00EA08F7"/>
    <w:rsid w:val="00EA0F35"/>
    <w:rsid w:val="00EA11D5"/>
    <w:rsid w:val="00EA3989"/>
    <w:rsid w:val="00EA4793"/>
    <w:rsid w:val="00EA47D9"/>
    <w:rsid w:val="00EA4A90"/>
    <w:rsid w:val="00EA63D7"/>
    <w:rsid w:val="00EA7408"/>
    <w:rsid w:val="00EB2069"/>
    <w:rsid w:val="00EB3280"/>
    <w:rsid w:val="00EB38A1"/>
    <w:rsid w:val="00EB4524"/>
    <w:rsid w:val="00EB6FB8"/>
    <w:rsid w:val="00EB7989"/>
    <w:rsid w:val="00EC1664"/>
    <w:rsid w:val="00EC3345"/>
    <w:rsid w:val="00EC45CE"/>
    <w:rsid w:val="00EC7B98"/>
    <w:rsid w:val="00ED13CF"/>
    <w:rsid w:val="00ED15AD"/>
    <w:rsid w:val="00ED297F"/>
    <w:rsid w:val="00ED3902"/>
    <w:rsid w:val="00ED43F2"/>
    <w:rsid w:val="00ED494B"/>
    <w:rsid w:val="00ED4D85"/>
    <w:rsid w:val="00ED526A"/>
    <w:rsid w:val="00ED5A10"/>
    <w:rsid w:val="00ED6E9A"/>
    <w:rsid w:val="00EE0668"/>
    <w:rsid w:val="00EE22A3"/>
    <w:rsid w:val="00EE271B"/>
    <w:rsid w:val="00EE2D68"/>
    <w:rsid w:val="00EE308F"/>
    <w:rsid w:val="00EE4039"/>
    <w:rsid w:val="00EE4391"/>
    <w:rsid w:val="00EE44BF"/>
    <w:rsid w:val="00EE52BD"/>
    <w:rsid w:val="00EE6E63"/>
    <w:rsid w:val="00EF0B75"/>
    <w:rsid w:val="00EF1E5F"/>
    <w:rsid w:val="00EF1E83"/>
    <w:rsid w:val="00EF2E96"/>
    <w:rsid w:val="00EF35B6"/>
    <w:rsid w:val="00EF3E36"/>
    <w:rsid w:val="00EF410B"/>
    <w:rsid w:val="00EF446D"/>
    <w:rsid w:val="00EF4EEA"/>
    <w:rsid w:val="00EF6332"/>
    <w:rsid w:val="00EF6729"/>
    <w:rsid w:val="00F05863"/>
    <w:rsid w:val="00F05E33"/>
    <w:rsid w:val="00F070D0"/>
    <w:rsid w:val="00F074B1"/>
    <w:rsid w:val="00F07BCD"/>
    <w:rsid w:val="00F104BD"/>
    <w:rsid w:val="00F1082E"/>
    <w:rsid w:val="00F10AA0"/>
    <w:rsid w:val="00F13747"/>
    <w:rsid w:val="00F137D6"/>
    <w:rsid w:val="00F140EB"/>
    <w:rsid w:val="00F1439C"/>
    <w:rsid w:val="00F156B8"/>
    <w:rsid w:val="00F17933"/>
    <w:rsid w:val="00F17B00"/>
    <w:rsid w:val="00F20B6B"/>
    <w:rsid w:val="00F21E43"/>
    <w:rsid w:val="00F21EAE"/>
    <w:rsid w:val="00F23937"/>
    <w:rsid w:val="00F27A08"/>
    <w:rsid w:val="00F31019"/>
    <w:rsid w:val="00F31BB4"/>
    <w:rsid w:val="00F31BC7"/>
    <w:rsid w:val="00F32AF8"/>
    <w:rsid w:val="00F330C5"/>
    <w:rsid w:val="00F330D4"/>
    <w:rsid w:val="00F34075"/>
    <w:rsid w:val="00F34E02"/>
    <w:rsid w:val="00F363C6"/>
    <w:rsid w:val="00F3679B"/>
    <w:rsid w:val="00F41E02"/>
    <w:rsid w:val="00F4437C"/>
    <w:rsid w:val="00F451FD"/>
    <w:rsid w:val="00F50C08"/>
    <w:rsid w:val="00F50C99"/>
    <w:rsid w:val="00F53675"/>
    <w:rsid w:val="00F538E7"/>
    <w:rsid w:val="00F544B7"/>
    <w:rsid w:val="00F54E85"/>
    <w:rsid w:val="00F5568E"/>
    <w:rsid w:val="00F5753A"/>
    <w:rsid w:val="00F57DCD"/>
    <w:rsid w:val="00F604CB"/>
    <w:rsid w:val="00F62318"/>
    <w:rsid w:val="00F62474"/>
    <w:rsid w:val="00F63043"/>
    <w:rsid w:val="00F636DC"/>
    <w:rsid w:val="00F639F3"/>
    <w:rsid w:val="00F65DC9"/>
    <w:rsid w:val="00F6687A"/>
    <w:rsid w:val="00F66A5A"/>
    <w:rsid w:val="00F6798E"/>
    <w:rsid w:val="00F7016A"/>
    <w:rsid w:val="00F70DB2"/>
    <w:rsid w:val="00F71528"/>
    <w:rsid w:val="00F71D41"/>
    <w:rsid w:val="00F72E9B"/>
    <w:rsid w:val="00F74FC8"/>
    <w:rsid w:val="00F8147B"/>
    <w:rsid w:val="00F81E91"/>
    <w:rsid w:val="00F82496"/>
    <w:rsid w:val="00F8346C"/>
    <w:rsid w:val="00F87C2B"/>
    <w:rsid w:val="00F87E6E"/>
    <w:rsid w:val="00F932A7"/>
    <w:rsid w:val="00F937E3"/>
    <w:rsid w:val="00F94060"/>
    <w:rsid w:val="00F9417B"/>
    <w:rsid w:val="00F942CD"/>
    <w:rsid w:val="00F94CEA"/>
    <w:rsid w:val="00F94DE4"/>
    <w:rsid w:val="00F94EF1"/>
    <w:rsid w:val="00F94F7E"/>
    <w:rsid w:val="00F95194"/>
    <w:rsid w:val="00FA1753"/>
    <w:rsid w:val="00FA1E22"/>
    <w:rsid w:val="00FA2588"/>
    <w:rsid w:val="00FA2890"/>
    <w:rsid w:val="00FA28B3"/>
    <w:rsid w:val="00FA4047"/>
    <w:rsid w:val="00FA55C8"/>
    <w:rsid w:val="00FA6113"/>
    <w:rsid w:val="00FA753E"/>
    <w:rsid w:val="00FB1065"/>
    <w:rsid w:val="00FB24CE"/>
    <w:rsid w:val="00FB3F45"/>
    <w:rsid w:val="00FB4508"/>
    <w:rsid w:val="00FB5887"/>
    <w:rsid w:val="00FB73A8"/>
    <w:rsid w:val="00FC25C0"/>
    <w:rsid w:val="00FC2613"/>
    <w:rsid w:val="00FC3BA6"/>
    <w:rsid w:val="00FC44AA"/>
    <w:rsid w:val="00FC5DE9"/>
    <w:rsid w:val="00FD04D0"/>
    <w:rsid w:val="00FD08BA"/>
    <w:rsid w:val="00FD11D6"/>
    <w:rsid w:val="00FD1FC1"/>
    <w:rsid w:val="00FD26E4"/>
    <w:rsid w:val="00FD38AD"/>
    <w:rsid w:val="00FD44F7"/>
    <w:rsid w:val="00FD5555"/>
    <w:rsid w:val="00FD5F00"/>
    <w:rsid w:val="00FD72FC"/>
    <w:rsid w:val="00FD77AD"/>
    <w:rsid w:val="00FE0E02"/>
    <w:rsid w:val="00FE1144"/>
    <w:rsid w:val="00FE260C"/>
    <w:rsid w:val="00FE26CF"/>
    <w:rsid w:val="00FE3291"/>
    <w:rsid w:val="00FE5129"/>
    <w:rsid w:val="00FE6EA8"/>
    <w:rsid w:val="00FE7414"/>
    <w:rsid w:val="00FE7AAB"/>
    <w:rsid w:val="00FF0B48"/>
    <w:rsid w:val="00FF44A3"/>
    <w:rsid w:val="00FF4F3F"/>
    <w:rsid w:val="00FF5072"/>
    <w:rsid w:val="00FF5563"/>
    <w:rsid w:val="00FF5D42"/>
    <w:rsid w:val="00FF5D51"/>
    <w:rsid w:val="00FF7808"/>
    <w:rsid w:val="00FF793C"/>
    <w:rsid w:val="02667C25"/>
    <w:rsid w:val="02B250DA"/>
    <w:rsid w:val="03970A41"/>
    <w:rsid w:val="09210786"/>
    <w:rsid w:val="09F150BA"/>
    <w:rsid w:val="0BB53545"/>
    <w:rsid w:val="0E9D4E90"/>
    <w:rsid w:val="0F2F8C68"/>
    <w:rsid w:val="139F52BA"/>
    <w:rsid w:val="13B2264B"/>
    <w:rsid w:val="146D79C6"/>
    <w:rsid w:val="16766474"/>
    <w:rsid w:val="1DD80D8F"/>
    <w:rsid w:val="1F3F8CBE"/>
    <w:rsid w:val="2074115B"/>
    <w:rsid w:val="20827A42"/>
    <w:rsid w:val="22E32F74"/>
    <w:rsid w:val="240A6D6E"/>
    <w:rsid w:val="241271C7"/>
    <w:rsid w:val="242E740A"/>
    <w:rsid w:val="25C7594C"/>
    <w:rsid w:val="27DB7970"/>
    <w:rsid w:val="28BA18FC"/>
    <w:rsid w:val="297653FA"/>
    <w:rsid w:val="2B8E7BE2"/>
    <w:rsid w:val="2CA62F2E"/>
    <w:rsid w:val="2DB57BEF"/>
    <w:rsid w:val="2F9F3A70"/>
    <w:rsid w:val="31527EED"/>
    <w:rsid w:val="3555547B"/>
    <w:rsid w:val="36200A61"/>
    <w:rsid w:val="36C344B8"/>
    <w:rsid w:val="37085D5E"/>
    <w:rsid w:val="375E0BAF"/>
    <w:rsid w:val="37BD6F93"/>
    <w:rsid w:val="38AA320E"/>
    <w:rsid w:val="3AD774B7"/>
    <w:rsid w:val="3B5A0EDF"/>
    <w:rsid w:val="3ED41958"/>
    <w:rsid w:val="43BF748C"/>
    <w:rsid w:val="44193E1A"/>
    <w:rsid w:val="46896EAF"/>
    <w:rsid w:val="477E1AE8"/>
    <w:rsid w:val="4A097F8F"/>
    <w:rsid w:val="4B7F0E9E"/>
    <w:rsid w:val="4DED180A"/>
    <w:rsid w:val="50A5550E"/>
    <w:rsid w:val="54F974BE"/>
    <w:rsid w:val="57ED7804"/>
    <w:rsid w:val="57EFD92C"/>
    <w:rsid w:val="587641EB"/>
    <w:rsid w:val="598A78EB"/>
    <w:rsid w:val="5A032C9A"/>
    <w:rsid w:val="5A380F0B"/>
    <w:rsid w:val="5FE40CB2"/>
    <w:rsid w:val="5FF5EC4B"/>
    <w:rsid w:val="60884B3D"/>
    <w:rsid w:val="60977546"/>
    <w:rsid w:val="6499029E"/>
    <w:rsid w:val="650B63FE"/>
    <w:rsid w:val="65E43670"/>
    <w:rsid w:val="66AC290C"/>
    <w:rsid w:val="69B2727C"/>
    <w:rsid w:val="69CB1261"/>
    <w:rsid w:val="6B6F1AEA"/>
    <w:rsid w:val="6DD74B9D"/>
    <w:rsid w:val="6DFBCD08"/>
    <w:rsid w:val="6EEE2A32"/>
    <w:rsid w:val="6F671600"/>
    <w:rsid w:val="6FDD7827"/>
    <w:rsid w:val="71D4D2A0"/>
    <w:rsid w:val="720A1363"/>
    <w:rsid w:val="74BA691F"/>
    <w:rsid w:val="74D8B0F8"/>
    <w:rsid w:val="753938CD"/>
    <w:rsid w:val="75FDA540"/>
    <w:rsid w:val="75FF2F86"/>
    <w:rsid w:val="794859DE"/>
    <w:rsid w:val="7A010931"/>
    <w:rsid w:val="7BD427A0"/>
    <w:rsid w:val="7C804BBD"/>
    <w:rsid w:val="7D79C22C"/>
    <w:rsid w:val="7F3F3E67"/>
    <w:rsid w:val="7F6D1472"/>
    <w:rsid w:val="7F7E0C4C"/>
    <w:rsid w:val="7FAF10F5"/>
    <w:rsid w:val="7FBBF40B"/>
    <w:rsid w:val="7FD19487"/>
    <w:rsid w:val="BB679970"/>
    <w:rsid w:val="BFDBDDC5"/>
    <w:rsid w:val="C9BAD826"/>
    <w:rsid w:val="D7F158F3"/>
    <w:rsid w:val="DBDF0DDE"/>
    <w:rsid w:val="DDFFF139"/>
    <w:rsid w:val="E33D528A"/>
    <w:rsid w:val="E3A39137"/>
    <w:rsid w:val="ECF74C8D"/>
    <w:rsid w:val="EF7D5941"/>
    <w:rsid w:val="F43BF78F"/>
    <w:rsid w:val="F677018C"/>
    <w:rsid w:val="FBBFF20A"/>
    <w:rsid w:val="FBF7BC10"/>
    <w:rsid w:val="FDA376F8"/>
    <w:rsid w:val="FDDD1930"/>
    <w:rsid w:val="FDF7C689"/>
    <w:rsid w:val="FDFFAFE4"/>
    <w:rsid w:val="FEF61A32"/>
    <w:rsid w:val="FEFF1C33"/>
    <w:rsid w:val="FF7F289D"/>
    <w:rsid w:val="FF7F6D39"/>
    <w:rsid w:val="FFF69954"/>
    <w:rsid w:val="FFFC6546"/>
    <w:rsid w:val="FFFFF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unhideWhenUsed/>
    <w:qFormat/>
    <w:uiPriority w:val="99"/>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spacing w:beforeAutospacing="1" w:afterAutospacing="1"/>
    </w:pPr>
    <w:rPr>
      <w:rFonts w:cs="Times New Roman"/>
    </w:rPr>
  </w:style>
  <w:style w:type="paragraph" w:styleId="7">
    <w:name w:val="annotation subject"/>
    <w:basedOn w:val="2"/>
    <w:next w:val="2"/>
    <w:link w:val="18"/>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0"/>
    <w:rPr>
      <w:color w:val="0000FF" w:themeColor="hyperlink"/>
      <w:u w:val="single"/>
      <w14:textFill>
        <w14:solidFill>
          <w14:schemeClr w14:val="hlink"/>
        </w14:solidFill>
      </w14:textFill>
    </w:rPr>
  </w:style>
  <w:style w:type="character" w:styleId="12">
    <w:name w:val="annotation reference"/>
    <w:basedOn w:val="10"/>
    <w:semiHidden/>
    <w:unhideWhenUsed/>
    <w:qFormat/>
    <w:uiPriority w:val="0"/>
    <w:rPr>
      <w:sz w:val="21"/>
      <w:szCs w:val="21"/>
    </w:rPr>
  </w:style>
  <w:style w:type="character" w:customStyle="1" w:styleId="13">
    <w:name w:val="页眉 Char"/>
    <w:link w:val="5"/>
    <w:qFormat/>
    <w:uiPriority w:val="99"/>
    <w:rPr>
      <w:rFonts w:ascii="宋体" w:hAnsi="宋体" w:eastAsia="宋体" w:cs="宋体"/>
      <w:sz w:val="18"/>
      <w:szCs w:val="18"/>
    </w:rPr>
  </w:style>
  <w:style w:type="character" w:customStyle="1" w:styleId="14">
    <w:name w:val="页脚 Char"/>
    <w:link w:val="4"/>
    <w:qFormat/>
    <w:uiPriority w:val="99"/>
    <w:rPr>
      <w:rFonts w:ascii="宋体" w:hAnsi="宋体" w:eastAsia="宋体" w:cs="宋体"/>
      <w:sz w:val="18"/>
      <w:szCs w:val="18"/>
    </w:rPr>
  </w:style>
  <w:style w:type="character" w:customStyle="1" w:styleId="15">
    <w:name w:val="批注框文本 Char"/>
    <w:link w:val="3"/>
    <w:qFormat/>
    <w:uiPriority w:val="0"/>
    <w:rPr>
      <w:rFonts w:ascii="宋体" w:hAnsi="宋体" w:eastAsia="宋体" w:cs="宋体"/>
      <w:sz w:val="18"/>
      <w:szCs w:val="18"/>
    </w:rPr>
  </w:style>
  <w:style w:type="paragraph" w:customStyle="1" w:styleId="16">
    <w:name w:val="普通(网站)1"/>
    <w:basedOn w:val="1"/>
    <w:qFormat/>
    <w:uiPriority w:val="0"/>
    <w:pPr>
      <w:spacing w:before="100" w:beforeAutospacing="1" w:after="100" w:afterAutospacing="1"/>
    </w:pPr>
  </w:style>
  <w:style w:type="character" w:customStyle="1" w:styleId="17">
    <w:name w:val="批注文字 Char"/>
    <w:basedOn w:val="10"/>
    <w:link w:val="2"/>
    <w:qFormat/>
    <w:uiPriority w:val="99"/>
    <w:rPr>
      <w:rFonts w:ascii="宋体" w:hAnsi="宋体" w:cs="宋体"/>
      <w:sz w:val="24"/>
      <w:szCs w:val="24"/>
    </w:rPr>
  </w:style>
  <w:style w:type="character" w:customStyle="1" w:styleId="18">
    <w:name w:val="批注主题 Char"/>
    <w:basedOn w:val="17"/>
    <w:link w:val="7"/>
    <w:semiHidden/>
    <w:qFormat/>
    <w:uiPriority w:val="0"/>
    <w:rPr>
      <w:rFonts w:ascii="宋体" w:hAnsi="宋体" w:cs="宋体"/>
      <w:b/>
      <w:bCs/>
      <w:sz w:val="24"/>
      <w:szCs w:val="24"/>
    </w:rPr>
  </w:style>
  <w:style w:type="paragraph" w:styleId="19">
    <w:name w:val="List Paragraph"/>
    <w:basedOn w:val="1"/>
    <w:qFormat/>
    <w:uiPriority w:val="34"/>
    <w:pPr>
      <w:ind w:firstLine="420" w:firstLineChars="200"/>
    </w:pPr>
  </w:style>
  <w:style w:type="paragraph" w:customStyle="1" w:styleId="20">
    <w:name w:val="修订1"/>
    <w:hidden/>
    <w:semiHidden/>
    <w:qFormat/>
    <w:uiPriority w:val="99"/>
    <w:rPr>
      <w:rFonts w:ascii="宋体" w:hAnsi="宋体" w:eastAsia="宋体" w:cs="宋体"/>
      <w:sz w:val="24"/>
      <w:szCs w:val="24"/>
      <w:lang w:val="en-US" w:eastAsia="zh-CN" w:bidi="ar-SA"/>
    </w:rPr>
  </w:style>
  <w:style w:type="paragraph" w:customStyle="1" w:styleId="21">
    <w:name w:val="修订2"/>
    <w:hidden/>
    <w:semiHidden/>
    <w:qFormat/>
    <w:uiPriority w:val="99"/>
    <w:rPr>
      <w:rFonts w:ascii="宋体" w:hAnsi="宋体" w:eastAsia="宋体" w:cs="宋体"/>
      <w:sz w:val="24"/>
      <w:szCs w:val="24"/>
      <w:lang w:val="en-US" w:eastAsia="zh-CN" w:bidi="ar-SA"/>
    </w:rPr>
  </w:style>
  <w:style w:type="paragraph" w:customStyle="1" w:styleId="22">
    <w:name w:val="Char Char"/>
    <w:basedOn w:val="1"/>
    <w:qFormat/>
    <w:uiPriority w:val="0"/>
    <w:pPr>
      <w:widowControl w:val="0"/>
      <w:jc w:val="both"/>
    </w:pPr>
    <w:rPr>
      <w:rFonts w:ascii="Times New Roman" w:hAnsi="Times New Roman" w:cs="Times New Roman"/>
      <w:kern w:val="2"/>
      <w:sz w:val="21"/>
      <w:szCs w:val="20"/>
    </w:rPr>
  </w:style>
  <w:style w:type="paragraph" w:customStyle="1" w:styleId="23">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4">
    <w:name w:val="正文 New New New New New New New New New New New"/>
    <w:qFormat/>
    <w:uiPriority w:val="0"/>
    <w:pPr>
      <w:autoSpaceDE w:val="0"/>
      <w:autoSpaceDN w:val="0"/>
      <w:adjustRightInd w:val="0"/>
    </w:pPr>
    <w:rPr>
      <w:rFonts w:ascii="宋体" w:hAnsi="Times New Roman" w:eastAsia="宋体" w:cs="Times New Roman"/>
      <w:lang w:val="en-US" w:eastAsia="zh-CN" w:bidi="ar-SA"/>
    </w:rPr>
  </w:style>
  <w:style w:type="paragraph" w:customStyle="1" w:styleId="25">
    <w:name w:val="修订3"/>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citicbank</Company>
  <Pages>4</Pages>
  <Words>33004</Words>
  <Characters>33836</Characters>
  <Lines>247</Lines>
  <Paragraphs>69</Paragraphs>
  <TotalTime>0</TotalTime>
  <ScaleCrop>false</ScaleCrop>
  <LinksUpToDate>false</LinksUpToDate>
  <CharactersWithSpaces>34190</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2024-05-26T00:10:00Z</dcterms:created>
  <dc:creator>王晓明</dc:creator>
  <cp:lastModifiedBy>ynjr_zhangguoyou</cp:lastModifiedBy>
  <cp:lastPrinted>2025-10-28T07:40:00Z</cp:lastPrinted>
  <dcterms:modified xsi:type="dcterms:W3CDTF">2025-11-12T08:24:56Z</dcterms:modified>
  <dc:title>产品说明书</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8BF2B1701AE2498E5DCE0F67A2B84A9C_43</vt:lpwstr>
  </property>
</Properties>
</file>