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D24FE6B">
      <w:pPr>
        <w:spacing w:line="300" w:lineRule="exact"/>
        <w:jc w:val="both"/>
        <w:rPr>
          <w:color w:val="000000" w:themeColor="text1"/>
          <w14:textFill>
            <w14:solidFill>
              <w14:schemeClr w14:val="tx1"/>
            </w14:solidFill>
          </w14:textFill>
        </w:rPr>
      </w:pPr>
      <w:bookmarkStart w:id="1" w:name="_GoBack"/>
      <w:bookmarkEnd w:id="1"/>
      <w:r>
        <w:rPr>
          <w:rFonts w:hint="eastAsia" w:ascii="黑体" w:eastAsia="黑体" w:cs="黑体"/>
          <w:b/>
          <w:bCs/>
          <w:color w:val="000000" w:themeColor="text1"/>
          <w14:textFill>
            <w14:solidFill>
              <w14:schemeClr w14:val="tx1"/>
            </w14:solidFill>
          </w14:textFill>
        </w:rPr>
        <w:t>理财产品登记编码:</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Z7002624002029】</w:t>
      </w:r>
    </w:p>
    <w:p w14:paraId="701AB1F8">
      <w:pPr>
        <w:spacing w:line="300" w:lineRule="exact"/>
        <w:jc w:val="both"/>
        <w:rPr>
          <w:rFonts w:ascii="黑体" w:hAnsi="黑体" w:eastAsia="黑体"/>
          <w:color w:val="000000" w:themeColor="text1"/>
          <w:sz w:val="21"/>
          <w:szCs w:val="21"/>
          <w14:textFill>
            <w14:solidFill>
              <w14:schemeClr w14:val="tx1"/>
            </w14:solidFill>
          </w14:textFill>
        </w:rPr>
      </w:pPr>
      <w:r>
        <w:rPr>
          <w:rFonts w:hint="eastAsia" w:ascii="黑体" w:hAnsi="黑体" w:eastAsia="黑体"/>
          <w:color w:val="000000" w:themeColor="text1"/>
          <w:sz w:val="21"/>
          <w:szCs w:val="21"/>
          <w14:textFill>
            <w14:solidFill>
              <w14:schemeClr w14:val="tx1"/>
            </w14:solidFill>
          </w14:textFill>
        </w:rPr>
        <w:t>理财产品</w:t>
      </w:r>
      <w:r>
        <w:rPr>
          <w:rFonts w:ascii="黑体" w:hAnsi="黑体" w:eastAsia="黑体"/>
          <w:color w:val="000000" w:themeColor="text1"/>
          <w:sz w:val="21"/>
          <w:szCs w:val="21"/>
          <w14:textFill>
            <w14:solidFill>
              <w14:schemeClr w14:val="tx1"/>
            </w14:solidFill>
          </w14:textFill>
        </w:rPr>
        <w:t>登记编码为本产品在</w:t>
      </w:r>
      <w:r>
        <w:rPr>
          <w:rFonts w:hint="eastAsia" w:ascii="黑体" w:hAnsi="黑体" w:eastAsia="黑体"/>
          <w:color w:val="000000" w:themeColor="text1"/>
          <w:sz w:val="21"/>
          <w:szCs w:val="21"/>
          <w14:textFill>
            <w14:solidFill>
              <w14:schemeClr w14:val="tx1"/>
            </w14:solidFill>
          </w14:textFill>
        </w:rPr>
        <w:t>全国银行业理财信息登记系统</w:t>
      </w:r>
      <w:r>
        <w:rPr>
          <w:rFonts w:ascii="黑体" w:hAnsi="黑体" w:eastAsia="黑体"/>
          <w:color w:val="000000" w:themeColor="text1"/>
          <w:sz w:val="21"/>
          <w:szCs w:val="21"/>
          <w14:textFill>
            <w14:solidFill>
              <w14:schemeClr w14:val="tx1"/>
            </w14:solidFill>
          </w14:textFill>
        </w:rPr>
        <w:t>取得的理财产品登记编码，</w:t>
      </w:r>
      <w:r>
        <w:rPr>
          <w:rFonts w:hint="eastAsia" w:ascii="黑体" w:hAnsi="黑体" w:eastAsia="黑体"/>
          <w:color w:val="000000" w:themeColor="text1"/>
          <w:sz w:val="21"/>
          <w:szCs w:val="21"/>
          <w14:textFill>
            <w14:solidFill>
              <w14:schemeClr w14:val="tx1"/>
            </w14:solidFill>
          </w14:textFill>
        </w:rPr>
        <w:t>投资者</w:t>
      </w:r>
      <w:r>
        <w:rPr>
          <w:rFonts w:ascii="黑体" w:hAnsi="黑体" w:eastAsia="黑体"/>
          <w:color w:val="000000" w:themeColor="text1"/>
          <w:sz w:val="21"/>
          <w:szCs w:val="21"/>
          <w14:textFill>
            <w14:solidFill>
              <w14:schemeClr w14:val="tx1"/>
            </w14:solidFill>
          </w14:textFill>
        </w:rPr>
        <w:t>可以</w:t>
      </w:r>
      <w:r>
        <w:rPr>
          <w:rFonts w:hint="eastAsia" w:ascii="黑体" w:hAnsi="黑体" w:eastAsia="黑体"/>
          <w:color w:val="000000" w:themeColor="text1"/>
          <w:sz w:val="21"/>
          <w:szCs w:val="21"/>
          <w14:textFill>
            <w14:solidFill>
              <w14:schemeClr w14:val="tx1"/>
            </w14:solidFill>
          </w14:textFill>
        </w:rPr>
        <w:t>依据</w:t>
      </w:r>
      <w:r>
        <w:rPr>
          <w:rFonts w:ascii="黑体" w:hAnsi="黑体" w:eastAsia="黑体"/>
          <w:color w:val="000000" w:themeColor="text1"/>
          <w:sz w:val="21"/>
          <w:szCs w:val="21"/>
          <w14:textFill>
            <w14:solidFill>
              <w14:schemeClr w14:val="tx1"/>
            </w14:solidFill>
          </w14:textFill>
        </w:rPr>
        <w:t>该理财产品登记编码在</w:t>
      </w:r>
      <w:r>
        <w:rPr>
          <w:rFonts w:hint="eastAsia" w:ascii="黑体" w:hAnsi="黑体" w:eastAsia="黑体"/>
          <w:color w:val="000000" w:themeColor="text1"/>
          <w:sz w:val="21"/>
          <w:szCs w:val="21"/>
          <w14:textFill>
            <w14:solidFill>
              <w14:schemeClr w14:val="tx1"/>
            </w14:solidFill>
          </w14:textFill>
        </w:rPr>
        <w:t>金融产品查询平台（</w:t>
      </w:r>
      <w:r>
        <w:rPr>
          <w:rFonts w:ascii="黑体" w:hAnsi="黑体" w:eastAsia="黑体"/>
          <w:color w:val="000000" w:themeColor="text1"/>
          <w:sz w:val="21"/>
          <w:szCs w:val="21"/>
          <w14:textFill>
            <w14:solidFill>
              <w14:schemeClr w14:val="tx1"/>
            </w14:solidFill>
          </w14:textFill>
        </w:rPr>
        <w:t>www.jrcpcx.cn）或中国理财网（</w:t>
      </w:r>
      <w:r>
        <w:rPr>
          <w:rFonts w:hint="eastAsia" w:ascii="黑体" w:hAnsi="黑体" w:eastAsia="黑体"/>
          <w:color w:val="000000" w:themeColor="text1"/>
          <w:sz w:val="21"/>
          <w:szCs w:val="21"/>
          <w14:textFill>
            <w14:solidFill>
              <w14:schemeClr w14:val="tx1"/>
            </w14:solidFill>
          </w14:textFill>
        </w:rPr>
        <w:t>www.chinawealth.com.cn</w:t>
      </w:r>
      <w:r>
        <w:rPr>
          <w:rFonts w:ascii="黑体" w:hAnsi="黑体" w:eastAsia="黑体"/>
          <w:color w:val="000000" w:themeColor="text1"/>
          <w:sz w:val="21"/>
          <w:szCs w:val="21"/>
          <w14:textFill>
            <w14:solidFill>
              <w14:schemeClr w14:val="tx1"/>
            </w14:solidFill>
          </w14:textFill>
        </w:rPr>
        <w:t>）</w:t>
      </w:r>
      <w:r>
        <w:rPr>
          <w:rFonts w:hint="eastAsia" w:ascii="黑体" w:hAnsi="黑体" w:eastAsia="黑体"/>
          <w:color w:val="000000" w:themeColor="text1"/>
          <w:sz w:val="21"/>
          <w:szCs w:val="21"/>
          <w14:textFill>
            <w14:solidFill>
              <w14:schemeClr w14:val="tx1"/>
            </w14:solidFill>
          </w14:textFill>
        </w:rPr>
        <w:t>上查询</w:t>
      </w:r>
      <w:r>
        <w:rPr>
          <w:rFonts w:ascii="黑体" w:hAnsi="黑体" w:eastAsia="黑体"/>
          <w:color w:val="000000" w:themeColor="text1"/>
          <w:sz w:val="21"/>
          <w:szCs w:val="21"/>
          <w14:textFill>
            <w14:solidFill>
              <w14:schemeClr w14:val="tx1"/>
            </w14:solidFill>
          </w14:textFill>
        </w:rPr>
        <w:t>本产品相关信息。</w:t>
      </w:r>
    </w:p>
    <w:p w14:paraId="30C74B71">
      <w:pPr>
        <w:spacing w:line="300" w:lineRule="exact"/>
        <w:jc w:val="both"/>
        <w:rPr>
          <w:rFonts w:ascii="黑体" w:hAnsi="黑体" w:eastAsia="黑体"/>
          <w:color w:val="000000" w:themeColor="text1"/>
          <w:sz w:val="21"/>
          <w:szCs w:val="21"/>
          <w14:textFill>
            <w14:solidFill>
              <w14:schemeClr w14:val="tx1"/>
            </w14:solidFill>
          </w14:textFill>
        </w:rPr>
      </w:pPr>
    </w:p>
    <w:p w14:paraId="2B9EF2EC">
      <w:pPr>
        <w:spacing w:line="300" w:lineRule="exact"/>
        <w:jc w:val="both"/>
        <w:rPr>
          <w:b/>
          <w:color w:val="000000" w:themeColor="text1"/>
          <w:sz w:val="28"/>
          <w:szCs w:val="28"/>
          <w14:textFill>
            <w14:solidFill>
              <w14:schemeClr w14:val="tx1"/>
            </w14:solidFill>
          </w14:textFill>
        </w:rPr>
      </w:pPr>
      <w:r>
        <w:rPr>
          <w:rFonts w:ascii="黑体" w:hAnsi="黑体" w:eastAsia="黑体"/>
          <w:b/>
          <w:color w:val="000000" w:themeColor="text1"/>
          <w:sz w:val="28"/>
          <w:szCs w:val="28"/>
          <w14:textFill>
            <w14:solidFill>
              <w14:schemeClr w14:val="tx1"/>
            </w14:solidFill>
          </w14:textFill>
        </w:rPr>
        <w:t>郑重</w:t>
      </w:r>
      <w:r>
        <w:rPr>
          <w:rFonts w:hint="eastAsia" w:ascii="黑体" w:hAnsi="黑体" w:eastAsia="黑体"/>
          <w:b/>
          <w:color w:val="000000" w:themeColor="text1"/>
          <w:sz w:val="28"/>
          <w:szCs w:val="28"/>
          <w14:textFill>
            <w14:solidFill>
              <w14:schemeClr w14:val="tx1"/>
            </w14:solidFill>
          </w14:textFill>
        </w:rPr>
        <w:t>提示：理财产品登记编码是全国银行业理财信息登记系统赋予所有银行（及银行理财子公司）理财产品的标识码，每个登记编码具有唯一性，是您判断理财产品是否合法合规、是否真实可靠的重要依据。如您购买的理财产品未公示登记编码，或通过其公示的登记编码无法在金融产品查询平台（</w:t>
      </w:r>
      <w:r>
        <w:rPr>
          <w:rFonts w:ascii="黑体" w:hAnsi="黑体" w:eastAsia="黑体"/>
          <w:b/>
          <w:color w:val="000000" w:themeColor="text1"/>
          <w:sz w:val="28"/>
          <w:szCs w:val="28"/>
          <w14:textFill>
            <w14:solidFill>
              <w14:schemeClr w14:val="tx1"/>
            </w14:solidFill>
          </w14:textFill>
        </w:rPr>
        <w:t>www.jrcpcx.cn）或</w:t>
      </w:r>
      <w:r>
        <w:rPr>
          <w:rFonts w:hint="eastAsia" w:ascii="黑体" w:hAnsi="黑体" w:eastAsia="黑体"/>
          <w:b/>
          <w:color w:val="000000" w:themeColor="text1"/>
          <w:sz w:val="28"/>
          <w:szCs w:val="28"/>
          <w14:textFill>
            <w14:solidFill>
              <w14:schemeClr w14:val="tx1"/>
            </w14:solidFill>
          </w14:textFill>
        </w:rPr>
        <w:t>中国理财网（</w:t>
      </w:r>
      <w:r>
        <w:rPr>
          <w:rFonts w:ascii="黑体" w:hAnsi="黑体" w:eastAsia="黑体"/>
          <w:b/>
          <w:color w:val="000000" w:themeColor="text1"/>
          <w:sz w:val="28"/>
          <w:szCs w:val="28"/>
          <w14:textFill>
            <w14:solidFill>
              <w14:schemeClr w14:val="tx1"/>
            </w14:solidFill>
          </w14:textFill>
        </w:rPr>
        <w:t>www.chinawealth.com.cn）上查询到产品相关信息，</w:t>
      </w:r>
      <w:r>
        <w:rPr>
          <w:rFonts w:hint="eastAsia" w:ascii="黑体" w:hAnsi="黑体" w:eastAsia="黑体"/>
          <w:b/>
          <w:color w:val="000000" w:themeColor="text1"/>
          <w:sz w:val="28"/>
          <w:szCs w:val="28"/>
          <w14:textFill>
            <w14:solidFill>
              <w14:schemeClr w14:val="tx1"/>
            </w14:solidFill>
          </w14:textFill>
        </w:rPr>
        <w:t>则该</w:t>
      </w:r>
      <w:r>
        <w:rPr>
          <w:rFonts w:ascii="黑体" w:hAnsi="黑体" w:eastAsia="黑体"/>
          <w:b/>
          <w:color w:val="000000" w:themeColor="text1"/>
          <w:sz w:val="28"/>
          <w:szCs w:val="28"/>
          <w14:textFill>
            <w14:solidFill>
              <w14:schemeClr w14:val="tx1"/>
            </w14:solidFill>
          </w14:textFill>
        </w:rPr>
        <w:t>产品非</w:t>
      </w:r>
      <w:r>
        <w:rPr>
          <w:rFonts w:hint="eastAsia" w:ascii="黑体" w:hAnsi="黑体" w:eastAsia="黑体"/>
          <w:b/>
          <w:color w:val="000000" w:themeColor="text1"/>
          <w:sz w:val="28"/>
          <w:szCs w:val="28"/>
          <w14:textFill>
            <w14:solidFill>
              <w14:schemeClr w14:val="tx1"/>
            </w14:solidFill>
          </w14:textFill>
        </w:rPr>
        <w:t>信银</w:t>
      </w:r>
      <w:r>
        <w:rPr>
          <w:rFonts w:ascii="黑体" w:hAnsi="黑体" w:eastAsia="黑体"/>
          <w:b/>
          <w:color w:val="000000" w:themeColor="text1"/>
          <w:sz w:val="28"/>
          <w:szCs w:val="28"/>
          <w14:textFill>
            <w14:solidFill>
              <w14:schemeClr w14:val="tx1"/>
            </w14:solidFill>
          </w14:textFill>
        </w:rPr>
        <w:t>理财发行产品。</w:t>
      </w:r>
    </w:p>
    <w:p w14:paraId="33DDDD18">
      <w:pPr>
        <w:spacing w:line="300" w:lineRule="exact"/>
        <w:ind w:right="-792" w:rightChars="-330"/>
        <w:rPr>
          <w:color w:val="000000" w:themeColor="text1"/>
          <w14:textFill>
            <w14:solidFill>
              <w14:schemeClr w14:val="tx1"/>
            </w14:solidFill>
          </w14:textFill>
        </w:rPr>
      </w:pPr>
    </w:p>
    <w:p w14:paraId="3CF2E906">
      <w:pPr>
        <w:spacing w:line="300" w:lineRule="exact"/>
        <w:ind w:right="-792" w:rightChars="-330"/>
        <w:rPr>
          <w:rFonts w:ascii="楷体" w:hAnsi="楷体" w:eastAsia="楷体" w:cs="黑体"/>
          <w:b/>
          <w:bCs/>
          <w:color w:val="000000" w:themeColor="text1"/>
          <w:sz w:val="21"/>
          <w:szCs w:val="21"/>
          <w14:textFill>
            <w14:solidFill>
              <w14:schemeClr w14:val="tx1"/>
            </w14:solidFill>
          </w14:textFill>
        </w:rPr>
      </w:pPr>
    </w:p>
    <w:p w14:paraId="0A0F9160">
      <w:pPr>
        <w:spacing w:line="300" w:lineRule="exact"/>
        <w:ind w:right="-792" w:rightChars="-330"/>
        <w:jc w:val="center"/>
        <w:rPr>
          <w:rFonts w:ascii="黑体" w:eastAsia="黑体" w:cs="黑体"/>
          <w:b/>
          <w:bCs/>
          <w:color w:val="000000" w:themeColor="text1"/>
          <w14:textFill>
            <w14:solidFill>
              <w14:schemeClr w14:val="tx1"/>
            </w14:solidFill>
          </w14:textFill>
        </w:rPr>
      </w:pPr>
      <w:r>
        <w:rPr>
          <w:rFonts w:hint="eastAsia" w:ascii="黑体" w:eastAsia="黑体" w:cs="黑体"/>
          <w:b/>
          <w:bCs/>
          <w:color w:val="000000" w:themeColor="text1"/>
          <w14:textFill>
            <w14:solidFill>
              <w14:schemeClr w14:val="tx1"/>
            </w14:solidFill>
          </w14:textFill>
        </w:rPr>
        <w:t>信银理财理财产品说明书</w:t>
      </w:r>
    </w:p>
    <w:p w14:paraId="4422B305">
      <w:pPr>
        <w:widowControl w:val="0"/>
        <w:spacing w:line="300" w:lineRule="exact"/>
        <w:ind w:right="-792" w:rightChars="-330"/>
        <w:jc w:val="center"/>
        <w:rPr>
          <w:rFonts w:ascii="黑体" w:hAnsi="Times New Roman" w:eastAsia="黑体" w:cs="黑体"/>
          <w:b/>
          <w:bCs/>
          <w:color w:val="000000" w:themeColor="text1"/>
          <w:sz w:val="20"/>
          <w:szCs w:val="20"/>
          <w14:textFill>
            <w14:solidFill>
              <w14:schemeClr w14:val="tx1"/>
            </w14:solidFill>
          </w14:textFill>
        </w:rPr>
      </w:pPr>
      <w:r>
        <w:rPr>
          <w:rFonts w:hint="eastAsia" w:ascii="黑体" w:hAnsi="Times New Roman" w:eastAsia="黑体" w:cs="黑体"/>
          <w:b/>
          <w:bCs/>
          <w:color w:val="000000" w:themeColor="text1"/>
          <w:sz w:val="20"/>
          <w:szCs w:val="20"/>
          <w14:textFill>
            <w14:solidFill>
              <w14:schemeClr w14:val="tx1"/>
            </w14:solidFill>
          </w14:textFill>
        </w:rPr>
        <w:t>（</w:t>
      </w:r>
      <w:r>
        <w:rPr>
          <w:rFonts w:hint="eastAsia" w:ascii="黑体" w:hAnsi="Calibri" w:eastAsia="黑体" w:cs="黑体"/>
          <w:b/>
          <w:bCs/>
          <w:color w:val="000000" w:themeColor="text1"/>
          <w:sz w:val="20"/>
          <w:szCs w:val="20"/>
          <w14:textFill>
            <w14:solidFill>
              <w14:schemeClr w14:val="tx1"/>
            </w14:solidFill>
          </w14:textFill>
        </w:rPr>
        <w:t>产品</w:t>
      </w:r>
      <w:r>
        <w:rPr>
          <w:rFonts w:hint="eastAsia" w:ascii="黑体" w:hAnsi="Times New Roman" w:eastAsia="黑体" w:cs="黑体"/>
          <w:b/>
          <w:bCs/>
          <w:color w:val="000000" w:themeColor="text1"/>
          <w:sz w:val="20"/>
          <w:szCs w:val="20"/>
          <w14:textFill>
            <w14:solidFill>
              <w14:schemeClr w14:val="tx1"/>
            </w14:solidFill>
          </w14:textFill>
        </w:rPr>
        <w:t>名称：</w:t>
      </w:r>
      <w:r>
        <w:rPr>
          <w:rFonts w:hint="eastAsia" w:ascii="黑体" w:hAnsi="Calibri" w:eastAsia="黑体" w:cs="黑体"/>
          <w:b/>
          <w:bCs/>
          <w:color w:val="000000" w:themeColor="text1"/>
          <w:sz w:val="20"/>
          <w:szCs w:val="20"/>
          <w14:textFill>
            <w14:solidFill>
              <w14:schemeClr w14:val="tx1"/>
            </w14:solidFill>
          </w14:textFill>
        </w:rPr>
        <w:t>【</w:t>
      </w:r>
      <w:r>
        <w:rPr>
          <w:rFonts w:ascii="黑体" w:hAnsi="Calibri" w:eastAsia="黑体" w:cs="黑体"/>
          <w:b/>
          <w:bCs/>
          <w:color w:val="000000" w:themeColor="text1"/>
          <w:sz w:val="20"/>
          <w:szCs w:val="20"/>
          <w14:textFill>
            <w14:solidFill>
              <w14:schemeClr w14:val="tx1"/>
            </w14:solidFill>
          </w14:textFill>
        </w:rPr>
        <w:t>信银理财安盈象固收稳利三个月持有期27号理财产品</w:t>
      </w:r>
      <w:r>
        <w:rPr>
          <w:rFonts w:hint="eastAsia" w:ascii="黑体" w:hAnsi="Calibri" w:eastAsia="黑体" w:cs="黑体"/>
          <w:b/>
          <w:bCs/>
          <w:color w:val="000000" w:themeColor="text1"/>
          <w:sz w:val="20"/>
          <w:szCs w:val="20"/>
          <w14:textFill>
            <w14:solidFill>
              <w14:schemeClr w14:val="tx1"/>
            </w14:solidFill>
          </w14:textFill>
        </w:rPr>
        <w:t>】</w:t>
      </w:r>
      <w:r>
        <w:rPr>
          <w:rFonts w:ascii="黑体" w:hAnsi="Times New Roman" w:eastAsia="黑体" w:cs="黑体"/>
          <w:b/>
          <w:bCs/>
          <w:color w:val="000000" w:themeColor="text1"/>
          <w:sz w:val="20"/>
          <w:szCs w:val="20"/>
          <w14:textFill>
            <w14:solidFill>
              <w14:schemeClr w14:val="tx1"/>
            </w14:solidFill>
          </w14:textFill>
        </w:rPr>
        <w:t xml:space="preserve">  </w:t>
      </w:r>
    </w:p>
    <w:p w14:paraId="54AB2CE9">
      <w:pPr>
        <w:widowControl w:val="0"/>
        <w:spacing w:line="300" w:lineRule="exact"/>
        <w:ind w:right="-792" w:rightChars="-330"/>
        <w:jc w:val="center"/>
        <w:rPr>
          <w:rFonts w:ascii="黑体" w:hAnsi="Times New Roman" w:eastAsia="黑体" w:cs="黑体"/>
          <w:b/>
          <w:bCs/>
          <w:color w:val="000000" w:themeColor="text1"/>
          <w:sz w:val="20"/>
          <w:szCs w:val="20"/>
          <w14:textFill>
            <w14:solidFill>
              <w14:schemeClr w14:val="tx1"/>
            </w14:solidFill>
          </w14:textFill>
        </w:rPr>
      </w:pPr>
      <w:r>
        <w:rPr>
          <w:rFonts w:hint="eastAsia" w:ascii="黑体" w:hAnsi="Times New Roman" w:eastAsia="黑体" w:cs="黑体"/>
          <w:b/>
          <w:bCs/>
          <w:color w:val="000000" w:themeColor="text1"/>
          <w:sz w:val="20"/>
          <w:szCs w:val="20"/>
          <w14:textFill>
            <w14:solidFill>
              <w14:schemeClr w14:val="tx1"/>
            </w14:solidFill>
          </w14:textFill>
        </w:rPr>
        <w:t>产品代码</w:t>
      </w:r>
      <w:r>
        <w:rPr>
          <w:rFonts w:ascii="黑体" w:hAnsi="Times New Roman" w:eastAsia="黑体" w:cs="黑体"/>
          <w:b/>
          <w:bCs/>
          <w:color w:val="000000" w:themeColor="text1"/>
          <w:sz w:val="20"/>
          <w:szCs w:val="20"/>
          <w14:textFill>
            <w14:solidFill>
              <w14:schemeClr w14:val="tx1"/>
            </w14:solidFill>
          </w14:textFill>
        </w:rPr>
        <w:t>：【AF247784】</w:t>
      </w:r>
      <w:r>
        <w:rPr>
          <w:rFonts w:hint="eastAsia" w:ascii="黑体" w:hAnsi="Times New Roman" w:eastAsia="黑体" w:cs="黑体"/>
          <w:b/>
          <w:bCs/>
          <w:color w:val="000000" w:themeColor="text1"/>
          <w:sz w:val="20"/>
          <w:szCs w:val="20"/>
          <w14:textFill>
            <w14:solidFill>
              <w14:schemeClr w14:val="tx1"/>
            </w14:solidFill>
          </w14:textFill>
        </w:rPr>
        <w:t>）</w:t>
      </w:r>
    </w:p>
    <w:p w14:paraId="2969538B">
      <w:pPr>
        <w:spacing w:line="300" w:lineRule="exact"/>
        <w:ind w:right="-792" w:rightChars="-330"/>
        <w:rPr>
          <w:color w:val="000000" w:themeColor="text1"/>
          <w14:textFill>
            <w14:solidFill>
              <w14:schemeClr w14:val="tx1"/>
            </w14:solidFill>
          </w14:textFill>
        </w:rPr>
      </w:pPr>
      <w:r>
        <w:rPr>
          <w:rFonts w:ascii="黑体" w:hAnsi="Times New Roman" w:eastAsia="黑体"/>
          <w:b/>
          <w:bCs/>
          <w:color w:val="000000" w:themeColor="text1"/>
          <w:sz w:val="20"/>
          <w:szCs w:val="20"/>
          <w14:textFill>
            <w14:solidFill>
              <w14:schemeClr w14:val="tx1"/>
            </w14:solidFill>
          </w14:textFill>
        </w:rPr>
        <w:t> </w:t>
      </w:r>
    </w:p>
    <w:p w14:paraId="3182EB1C">
      <w:pPr>
        <w:spacing w:line="300" w:lineRule="exact"/>
        <w:ind w:right="-792" w:rightChars="-330"/>
        <w:rPr>
          <w:color w:val="000000" w:themeColor="text1"/>
          <w14:textFill>
            <w14:solidFill>
              <w14:schemeClr w14:val="tx1"/>
            </w14:solidFill>
          </w14:textFill>
        </w:rPr>
      </w:pPr>
      <w:r>
        <w:rPr>
          <w:rFonts w:hint="eastAsia" w:ascii="黑体" w:hAnsi="Times New Roman" w:eastAsia="黑体" w:cs="黑体"/>
          <w:b/>
          <w:bCs/>
          <w:color w:val="000000" w:themeColor="text1"/>
          <w:sz w:val="20"/>
          <w:szCs w:val="20"/>
          <w14:textFill>
            <w14:solidFill>
              <w14:schemeClr w14:val="tx1"/>
            </w14:solidFill>
          </w14:textFill>
        </w:rPr>
        <w:t>重要须知</w:t>
      </w:r>
      <w:r>
        <w:rPr>
          <w:rFonts w:hint="eastAsia" w:ascii="黑体" w:hAnsi="Times New Roman" w:eastAsia="黑体" w:cs="黑体"/>
          <w:color w:val="000000" w:themeColor="text1"/>
          <w:sz w:val="20"/>
          <w:szCs w:val="20"/>
          <w14:textFill>
            <w14:solidFill>
              <w14:schemeClr w14:val="tx1"/>
            </w14:solidFill>
          </w14:textFill>
        </w:rPr>
        <w:t>：</w:t>
      </w:r>
    </w:p>
    <w:p w14:paraId="28FBCAAD">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ascii="黑体" w:hAnsi="Times New Roman" w:eastAsia="黑体" w:cs="黑体"/>
          <w:b/>
          <w:color w:val="000000" w:themeColor="text1"/>
          <w:sz w:val="20"/>
          <w:szCs w:val="20"/>
          <w14:textFill>
            <w14:solidFill>
              <w14:schemeClr w14:val="tx1"/>
            </w14:solidFill>
          </w14:textFill>
        </w:rPr>
        <w:t>1</w:t>
      </w:r>
      <w:r>
        <w:rPr>
          <w:rFonts w:hint="eastAsia" w:ascii="黑体" w:hAnsi="Times New Roman" w:eastAsia="黑体" w:cs="黑体"/>
          <w:b/>
          <w:color w:val="000000" w:themeColor="text1"/>
          <w:sz w:val="20"/>
          <w:szCs w:val="20"/>
          <w14:textFill>
            <w14:solidFill>
              <w14:schemeClr w14:val="tx1"/>
            </w14:solidFill>
          </w14:textFill>
        </w:rPr>
        <w:t>．本产品最短持有期为【</w:t>
      </w:r>
      <w:r>
        <w:rPr>
          <w:rFonts w:ascii="黑体" w:hAnsi="Times New Roman" w:eastAsia="黑体" w:cs="黑体"/>
          <w:b/>
          <w:color w:val="000000" w:themeColor="text1"/>
          <w:sz w:val="20"/>
          <w:szCs w:val="20"/>
          <w14:textFill>
            <w14:solidFill>
              <w14:schemeClr w14:val="tx1"/>
            </w14:solidFill>
          </w14:textFill>
        </w:rPr>
        <w:t>90</w:t>
      </w:r>
      <w:r>
        <w:rPr>
          <w:rFonts w:hint="eastAsia" w:ascii="黑体" w:hAnsi="Times New Roman" w:eastAsia="黑体" w:cs="黑体"/>
          <w:b/>
          <w:color w:val="000000" w:themeColor="text1"/>
          <w:sz w:val="20"/>
          <w:szCs w:val="20"/>
          <w14:textFill>
            <w14:solidFill>
              <w14:schemeClr w14:val="tx1"/>
            </w14:solidFill>
          </w14:textFill>
        </w:rPr>
        <w:t>】自然日。</w:t>
      </w:r>
    </w:p>
    <w:p w14:paraId="2955F5C1">
      <w:pPr>
        <w:snapToGrid w:val="0"/>
        <w:ind w:firstLine="400" w:firstLineChars="200"/>
        <w:jc w:val="both"/>
        <w:rPr>
          <w:color w:val="000000" w:themeColor="text1"/>
          <w14:textFill>
            <w14:solidFill>
              <w14:schemeClr w14:val="tx1"/>
            </w14:solidFill>
          </w14:textFill>
        </w:rPr>
      </w:pPr>
      <w:r>
        <w:rPr>
          <w:rFonts w:ascii="黑体" w:hAnsi="Times New Roman" w:eastAsia="黑体" w:cs="黑体"/>
          <w:color w:val="000000" w:themeColor="text1"/>
          <w:sz w:val="20"/>
          <w:szCs w:val="20"/>
          <w14:textFill>
            <w14:solidFill>
              <w14:schemeClr w14:val="tx1"/>
            </w14:solidFill>
          </w14:textFill>
        </w:rPr>
        <w:t>2</w:t>
      </w:r>
      <w:r>
        <w:rPr>
          <w:rFonts w:hint="eastAsia" w:ascii="黑体" w:hAnsi="Times New Roman" w:eastAsia="黑体" w:cs="黑体"/>
          <w:color w:val="000000" w:themeColor="text1"/>
          <w:sz w:val="20"/>
          <w:szCs w:val="20"/>
          <w14:textFill>
            <w14:solidFill>
              <w14:schemeClr w14:val="tx1"/>
            </w14:solidFill>
          </w14:textFill>
        </w:rPr>
        <w:t>．本理财产品的《信银理财理财产品说明书》、《信银理财理财产品风险揭示书》、《信银理财理财产品投资协议书》与《信银理财理财产品销售总协议》（含附件：客户权益须知专页）（或合作销售机构向投资者提供的理财产品销售协议文本）等文件及其不时有效修订与补充共同构成理财产品销售文件。</w:t>
      </w:r>
    </w:p>
    <w:p w14:paraId="251DA361">
      <w:pPr>
        <w:snapToGrid w:val="0"/>
        <w:ind w:firstLine="400" w:firstLineChars="200"/>
        <w:jc w:val="both"/>
        <w:rPr>
          <w:color w:val="000000" w:themeColor="text1"/>
          <w14:textFill>
            <w14:solidFill>
              <w14:schemeClr w14:val="tx1"/>
            </w14:solidFill>
          </w14:textFill>
        </w:rPr>
      </w:pPr>
      <w:r>
        <w:rPr>
          <w:rFonts w:ascii="黑体" w:hAnsi="Times New Roman" w:eastAsia="黑体" w:cs="黑体"/>
          <w:color w:val="000000" w:themeColor="text1"/>
          <w:sz w:val="20"/>
          <w:szCs w:val="20"/>
          <w14:textFill>
            <w14:solidFill>
              <w14:schemeClr w14:val="tx1"/>
            </w14:solidFill>
          </w14:textFill>
        </w:rPr>
        <w:t>3</w:t>
      </w:r>
      <w:r>
        <w:rPr>
          <w:rFonts w:hint="eastAsia" w:ascii="黑体" w:hAnsi="Times New Roman" w:eastAsia="黑体" w:cs="黑体"/>
          <w:color w:val="000000" w:themeColor="text1"/>
          <w:sz w:val="20"/>
          <w:szCs w:val="20"/>
          <w14:textFill>
            <w14:solidFill>
              <w14:schemeClr w14:val="tx1"/>
            </w14:solidFill>
          </w14:textFill>
        </w:rPr>
        <w:t>．本理财产品不等同于银行存款。</w:t>
      </w:r>
    </w:p>
    <w:p w14:paraId="5D4B64F0">
      <w:pPr>
        <w:snapToGrid w:val="0"/>
        <w:ind w:firstLine="400" w:firstLineChars="200"/>
        <w:jc w:val="both"/>
        <w:rPr>
          <w:color w:val="000000" w:themeColor="text1"/>
          <w14:textFill>
            <w14:solidFill>
              <w14:schemeClr w14:val="tx1"/>
            </w14:solidFill>
          </w14:textFill>
        </w:rPr>
      </w:pPr>
      <w:r>
        <w:rPr>
          <w:rFonts w:ascii="黑体" w:hAnsi="Times New Roman" w:eastAsia="黑体" w:cs="黑体"/>
          <w:color w:val="000000" w:themeColor="text1"/>
          <w:sz w:val="20"/>
          <w:szCs w:val="20"/>
          <w14:textFill>
            <w14:solidFill>
              <w14:schemeClr w14:val="tx1"/>
            </w14:solidFill>
          </w14:textFill>
        </w:rPr>
        <w:t>4</w:t>
      </w:r>
      <w:r>
        <w:rPr>
          <w:rFonts w:hint="eastAsia" w:ascii="黑体" w:hAnsi="Times New Roman" w:eastAsia="黑体" w:cs="黑体"/>
          <w:color w:val="000000" w:themeColor="text1"/>
          <w:sz w:val="20"/>
          <w:szCs w:val="20"/>
          <w14:textFill>
            <w14:solidFill>
              <w14:schemeClr w14:val="tx1"/>
            </w14:solidFill>
          </w14:textFill>
        </w:rPr>
        <w:t>．在购买本理财产品前，请投资者确保完全明白本理财产品的性质、其中涉及的风险以及投资者的自身情况。投资者若对本产品说明书的内容有任何疑问，请向信银理财或</w:t>
      </w:r>
      <w:r>
        <w:rPr>
          <w:rFonts w:ascii="黑体" w:hAnsi="Times New Roman" w:eastAsia="黑体" w:cs="黑体"/>
          <w:color w:val="000000" w:themeColor="text1"/>
          <w:sz w:val="20"/>
          <w:szCs w:val="20"/>
          <w14:textFill>
            <w14:solidFill>
              <w14:schemeClr w14:val="tx1"/>
            </w14:solidFill>
          </w14:textFill>
        </w:rPr>
        <w:t>代销机构</w:t>
      </w:r>
      <w:r>
        <w:rPr>
          <w:rFonts w:hint="eastAsia" w:ascii="黑体" w:hAnsi="Times New Roman" w:eastAsia="黑体" w:cs="黑体"/>
          <w:color w:val="000000" w:themeColor="text1"/>
          <w:sz w:val="20"/>
          <w:szCs w:val="20"/>
          <w14:textFill>
            <w14:solidFill>
              <w14:schemeClr w14:val="tx1"/>
            </w14:solidFill>
          </w14:textFill>
        </w:rPr>
        <w:t>各营业场所或营业网点咨询。</w:t>
      </w:r>
    </w:p>
    <w:p w14:paraId="47EA8AA5">
      <w:pPr>
        <w:snapToGrid w:val="0"/>
        <w:ind w:firstLine="400" w:firstLineChars="200"/>
        <w:jc w:val="both"/>
        <w:rPr>
          <w:color w:val="000000" w:themeColor="text1"/>
          <w14:textFill>
            <w14:solidFill>
              <w14:schemeClr w14:val="tx1"/>
            </w14:solidFill>
          </w14:textFill>
        </w:rPr>
      </w:pPr>
      <w:r>
        <w:rPr>
          <w:rFonts w:ascii="黑体" w:hAnsi="Times New Roman" w:eastAsia="黑体" w:cs="黑体"/>
          <w:color w:val="000000" w:themeColor="text1"/>
          <w:sz w:val="20"/>
          <w:szCs w:val="20"/>
          <w14:textFill>
            <w14:solidFill>
              <w14:schemeClr w14:val="tx1"/>
            </w14:solidFill>
          </w14:textFill>
        </w:rPr>
        <w:t>5</w:t>
      </w:r>
      <w:r>
        <w:rPr>
          <w:rFonts w:hint="eastAsia" w:ascii="黑体" w:hAnsi="Times New Roman" w:eastAsia="黑体" w:cs="黑体"/>
          <w:color w:val="000000" w:themeColor="text1"/>
          <w:sz w:val="20"/>
          <w:szCs w:val="20"/>
          <w14:textFill>
            <w14:solidFill>
              <w14:schemeClr w14:val="tx1"/>
            </w14:solidFill>
          </w14:textFill>
        </w:rPr>
        <w:t>．除本产品说明书中明确规定的收益及收益分配方式外，任何预期收益、预计收益、测算收益或类似表述均属不具有法律约束力的用语，不代表投资者可能获得的实际收益，亦不构成信银理财对本理财产品的任何收益承诺。投资者所能获得的最终收益以信银理财实际支付的为准，且不超过按照本产品期末总净值计算得出的收益。</w:t>
      </w:r>
    </w:p>
    <w:p w14:paraId="555CDC23">
      <w:pPr>
        <w:snapToGrid w:val="0"/>
        <w:ind w:firstLine="402" w:firstLineChars="200"/>
        <w:jc w:val="both"/>
        <w:rPr>
          <w:b/>
          <w:color w:val="000000" w:themeColor="text1"/>
          <w14:textFill>
            <w14:solidFill>
              <w14:schemeClr w14:val="tx1"/>
            </w14:solidFill>
          </w14:textFill>
        </w:rPr>
      </w:pPr>
      <w:r>
        <w:rPr>
          <w:rFonts w:ascii="黑体" w:hAnsi="Times New Roman" w:eastAsia="黑体" w:cs="黑体"/>
          <w:b/>
          <w:color w:val="000000" w:themeColor="text1"/>
          <w:sz w:val="20"/>
          <w:szCs w:val="20"/>
          <w14:textFill>
            <w14:solidFill>
              <w14:schemeClr w14:val="tx1"/>
            </w14:solidFill>
          </w14:textFill>
        </w:rPr>
        <w:t>6</w:t>
      </w:r>
      <w:r>
        <w:rPr>
          <w:rFonts w:hint="eastAsia" w:ascii="黑体" w:hAnsi="Times New Roman" w:eastAsia="黑体" w:cs="黑体"/>
          <w:b/>
          <w:color w:val="000000" w:themeColor="text1"/>
          <w:sz w:val="20"/>
          <w:szCs w:val="20"/>
          <w14:textFill>
            <w14:solidFill>
              <w14:schemeClr w14:val="tx1"/>
            </w14:solidFill>
          </w14:textFill>
        </w:rPr>
        <w:t>．本理财产品不保障理财本金和收益，投资者所能获得的最终收益以理财产品最终清算的投资者可得收益为准。产品过往业绩不代表其未来表现，不构成新发理财产品业绩表现的保证。</w:t>
      </w:r>
    </w:p>
    <w:p w14:paraId="2F231DAA">
      <w:pPr>
        <w:snapToGrid w:val="0"/>
        <w:ind w:right="53" w:rightChars="22" w:firstLine="400" w:firstLineChars="200"/>
        <w:rPr>
          <w:color w:val="000000" w:themeColor="text1"/>
          <w14:textFill>
            <w14:solidFill>
              <w14:schemeClr w14:val="tx1"/>
            </w14:solidFill>
          </w14:textFill>
        </w:rPr>
      </w:pPr>
      <w:r>
        <w:rPr>
          <w:rFonts w:ascii="黑体" w:hAnsi="Times New Roman" w:eastAsia="黑体"/>
          <w:color w:val="000000" w:themeColor="text1"/>
          <w:sz w:val="20"/>
          <w:szCs w:val="20"/>
          <w14:textFill>
            <w14:solidFill>
              <w14:schemeClr w14:val="tx1"/>
            </w14:solidFill>
          </w14:textFill>
        </w:rPr>
        <w:t> </w:t>
      </w:r>
    </w:p>
    <w:p w14:paraId="1E413A69">
      <w:pPr>
        <w:snapToGrid w:val="0"/>
        <w:ind w:left="-2" w:leftChars="-1" w:right="53" w:rightChars="22"/>
        <w:rPr>
          <w:b/>
          <w:color w:val="000000" w:themeColor="text1"/>
          <w14:textFill>
            <w14:solidFill>
              <w14:schemeClr w14:val="tx1"/>
            </w14:solidFill>
          </w14:textFill>
        </w:rPr>
      </w:pPr>
      <w:r>
        <w:rPr>
          <w:rFonts w:hint="eastAsia" w:ascii="黑体" w:hAnsi="Times New Roman" w:eastAsia="黑体" w:cs="黑体"/>
          <w:b/>
          <w:bCs/>
          <w:color w:val="000000" w:themeColor="text1"/>
          <w:sz w:val="20"/>
          <w:szCs w:val="20"/>
          <w14:textFill>
            <w14:solidFill>
              <w14:schemeClr w14:val="tx1"/>
            </w14:solidFill>
          </w14:textFill>
        </w:rPr>
        <w:t>风险提示：</w:t>
      </w:r>
    </w:p>
    <w:p w14:paraId="43617898">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本产品不保证本金和收益，投资者的本金有可能蒙受损失，极端情况下，可能全部或部分受损。投资者应充分认识投资风险，谨慎投资。具体风险如下：</w:t>
      </w:r>
    </w:p>
    <w:p w14:paraId="250A4090">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1．信用风险：本产品收益来源于产品项下投资对象的回报。如果投资对象发生信用违约事件，在此情况下，本产品收益将根据基于其偿还比率测算出的投资资产价格予以确定，同时，本产品将保留向发生违约事件的发行主体或融资主体的追索权利，信银理财有权以产品管理人名义代表投资者利益行使诉讼权利或实施其他法律行为，若这些权利在未来得以实现，在扣除相关费用后，将继续向投资者进行清偿。</w:t>
      </w:r>
    </w:p>
    <w:p w14:paraId="21C2523C">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2．市场风险：由于金融市场存在波动性，投资者投资本产品将承担一定投资资产市值下跌的市场风险，包括但不限于投资债券面临的利率变化及债券价格波动带来的风险，投资股票面临的股票价格波动带来的风险，投资商品及金融衍生品面临的持仓风险等。产品投资涉及外币资产时，存在汇率波动带来的风险。</w:t>
      </w:r>
    </w:p>
    <w:p w14:paraId="148B78D0">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3．流动性风险：投资者不能随时提前终止本产品，在本产品存续期内的非开放日，投资者不得赎回，在开放日，可能因达到本说明书中约定的限制赎回情况，导致投资者在需要资金时无法随时变现，并可能导致投资者丧失其他投资机会。本产品投资资产的流动性风险情况为：【本产品主要投资于固定收益类资产，投资范围包括债券、债券回购、货币市场工具等，上述资产均存在规范的交易场所交易，监管主体明确，市场透明度高，运作方式规范，因此对产品整体的流动性风险影响较小。管理人将着重分析个券的信用风险和流动性风险，在保障组合安全性和流动性的前提下追求组合收益率的提高】。</w:t>
      </w:r>
    </w:p>
    <w:p w14:paraId="16CB6055">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为应对流动性风险，保护投资者利益，管理人可以综合运用以下理财产品流动性风险应对措施：（a）认购风险应对措施，包括：设定单一投资者认购金额上限、设定理财产品单日净认购比例上限、拒绝大额认购、暂停认购，以及国务院银行业监督管理机构规定的其他措施。（b）赎回风险应对措施，包括：设置赎回上限、延期办理巨额赎回申请、暂停接受赎回申请、延缓支付赎回款项、收取短期赎回费、暂停理财产品估值、摆动定价，以及国务院银行业监督管理机构规定的其他措施。</w:t>
      </w:r>
    </w:p>
    <w:p w14:paraId="655429E3">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4．提前终止风险：如发生提前终止条款约定情形，可能导致本产品提前终止。</w:t>
      </w:r>
      <w:r>
        <w:rPr>
          <w:rFonts w:hint="eastAsia" w:ascii="黑体" w:eastAsia="黑体"/>
          <w:b/>
          <w:color w:val="000000" w:themeColor="text1"/>
          <w:sz w:val="20"/>
          <w:szCs w:val="20"/>
          <w14:textFill>
            <w14:solidFill>
              <w14:schemeClr w14:val="tx1"/>
            </w14:solidFill>
          </w14:textFill>
        </w:rPr>
        <w:t>如本理财产品提前终止，则投资者实际理财投资期可能小于预定期限。</w:t>
      </w:r>
    </w:p>
    <w:p w14:paraId="6B13FFBD">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5．政策风险：本产品是根据当前的相关法律法规和国家政策设计的，如国家政策以及相关法律法规等发生变化，可能影响本产品的投资、兑付等环节的正常进行，从而可能对本产品造成重大影响，导致投资收益降低或无法取得任何收益，甚至导致投资本金部分或全部损失。</w:t>
      </w:r>
    </w:p>
    <w:p w14:paraId="6A56763C">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6．</w:t>
      </w:r>
      <w:r>
        <w:rPr>
          <w:rFonts w:hint="eastAsia" w:ascii="黑体" w:hAnsi="Times New Roman" w:eastAsia="黑体"/>
          <w:b/>
          <w:color w:val="000000" w:themeColor="text1"/>
          <w:sz w:val="20"/>
          <w:szCs w:val="20"/>
          <w14:textFill>
            <w14:solidFill>
              <w14:schemeClr w14:val="tx1"/>
            </w14:solidFill>
          </w14:textFill>
        </w:rPr>
        <w:t>信息传递风险：投资者应根据本产品说明书载明的信息披露方式及时查询相关信息。信银理财按照法律法规、监管规定要求及本产品说明书有关信息披露条款的约定，向投资者发布理财产品信息，投资者应根据信息披露条款的约定及时到本说明书约定的发布信息的渠道查询，以获知有关本理财产品相关信息。</w:t>
      </w:r>
      <w:r>
        <w:rPr>
          <w:rFonts w:hint="eastAsia" w:ascii="黑体" w:eastAsia="黑体"/>
          <w:b/>
          <w:color w:val="000000" w:themeColor="text1"/>
          <w:sz w:val="20"/>
          <w:szCs w:val="20"/>
          <w14:textFill>
            <w14:solidFill>
              <w14:schemeClr w14:val="tx1"/>
            </w14:solidFill>
          </w14:textFill>
        </w:rPr>
        <w:t>如果投资者未及时查询，或由于通讯故障、系统故障以及其他不可抗力等因素的影响使得投资者无法及时了解产品信息，因此而产生的责任和风险由投资者自行承担。另外，投资者预留在信银理财或</w:t>
      </w:r>
      <w:r>
        <w:rPr>
          <w:rFonts w:ascii="黑体" w:eastAsia="黑体"/>
          <w:b/>
          <w:color w:val="000000" w:themeColor="text1"/>
          <w:sz w:val="20"/>
          <w:szCs w:val="20"/>
          <w14:textFill>
            <w14:solidFill>
              <w14:schemeClr w14:val="tx1"/>
            </w14:solidFill>
          </w14:textFill>
        </w:rPr>
        <w:t>代销机构</w:t>
      </w:r>
      <w:r>
        <w:rPr>
          <w:rFonts w:hint="eastAsia" w:ascii="黑体" w:eastAsia="黑体"/>
          <w:b/>
          <w:color w:val="000000" w:themeColor="text1"/>
          <w:sz w:val="20"/>
          <w:szCs w:val="20"/>
          <w14:textFill>
            <w14:solidFill>
              <w14:schemeClr w14:val="tx1"/>
            </w14:solidFill>
          </w14:textFill>
        </w:rPr>
        <w:t>的有效联系方式变更的，应及时通知信银理财或</w:t>
      </w:r>
      <w:r>
        <w:rPr>
          <w:rFonts w:ascii="黑体" w:eastAsia="黑体"/>
          <w:b/>
          <w:color w:val="000000" w:themeColor="text1"/>
          <w:sz w:val="20"/>
          <w:szCs w:val="20"/>
          <w14:textFill>
            <w14:solidFill>
              <w14:schemeClr w14:val="tx1"/>
            </w14:solidFill>
          </w14:textFill>
        </w:rPr>
        <w:t>代销机构</w:t>
      </w:r>
      <w:r>
        <w:rPr>
          <w:rFonts w:hint="eastAsia" w:ascii="黑体" w:eastAsia="黑体"/>
          <w:b/>
          <w:color w:val="000000" w:themeColor="text1"/>
          <w:sz w:val="20"/>
          <w:szCs w:val="20"/>
          <w14:textFill>
            <w14:solidFill>
              <w14:schemeClr w14:val="tx1"/>
            </w14:solidFill>
          </w14:textFill>
        </w:rPr>
        <w:t>。如投资者未及时告知信银理财或</w:t>
      </w:r>
      <w:r>
        <w:rPr>
          <w:rFonts w:ascii="黑体" w:eastAsia="黑体"/>
          <w:b/>
          <w:color w:val="000000" w:themeColor="text1"/>
          <w:sz w:val="20"/>
          <w:szCs w:val="20"/>
          <w14:textFill>
            <w14:solidFill>
              <w14:schemeClr w14:val="tx1"/>
            </w14:solidFill>
          </w14:textFill>
        </w:rPr>
        <w:t>代销机构</w:t>
      </w:r>
      <w:r>
        <w:rPr>
          <w:rFonts w:hint="eastAsia" w:ascii="黑体" w:eastAsia="黑体"/>
          <w:b/>
          <w:color w:val="000000" w:themeColor="text1"/>
          <w:sz w:val="20"/>
          <w:szCs w:val="20"/>
          <w14:textFill>
            <w14:solidFill>
              <w14:schemeClr w14:val="tx1"/>
            </w14:solidFill>
          </w14:textFill>
        </w:rPr>
        <w:t>联系方式变更的，或因投资者其他原因导致信银理财或</w:t>
      </w:r>
      <w:r>
        <w:rPr>
          <w:rFonts w:ascii="黑体" w:eastAsia="黑体"/>
          <w:b/>
          <w:color w:val="000000" w:themeColor="text1"/>
          <w:sz w:val="20"/>
          <w:szCs w:val="20"/>
          <w14:textFill>
            <w14:solidFill>
              <w14:schemeClr w14:val="tx1"/>
            </w14:solidFill>
          </w14:textFill>
        </w:rPr>
        <w:t>代销机构</w:t>
      </w:r>
      <w:r>
        <w:rPr>
          <w:rFonts w:hint="eastAsia" w:ascii="黑体" w:eastAsia="黑体"/>
          <w:b/>
          <w:color w:val="000000" w:themeColor="text1"/>
          <w:sz w:val="20"/>
          <w:szCs w:val="20"/>
          <w14:textFill>
            <w14:solidFill>
              <w14:schemeClr w14:val="tx1"/>
            </w14:solidFill>
          </w14:textFill>
        </w:rPr>
        <w:t>在其需联系时无法及时联系上投资者，可能会由此影响投资者的投资决策，由此而产生的责任和风险由投资者自行承担。</w:t>
      </w:r>
    </w:p>
    <w:p w14:paraId="0D0BEF4F">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7．管理风险：由于产品管理人、所投资资管产品的受托人/管理人、投资顾问等受经验、技能等因素的限制，可能会影响本理财产品的管理，导致本产品项下的理财收益降低。</w:t>
      </w:r>
    </w:p>
    <w:p w14:paraId="450C7510">
      <w:pPr>
        <w:snapToGrid w:val="0"/>
        <w:ind w:firstLine="402" w:firstLineChars="200"/>
        <w:jc w:val="both"/>
        <w:rPr>
          <w:rFonts w:ascii="黑体" w:eastAsia="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8．延期清算风险：</w:t>
      </w:r>
      <w:r>
        <w:rPr>
          <w:rFonts w:hint="eastAsia" w:ascii="黑体" w:eastAsia="黑体"/>
          <w:b/>
          <w:color w:val="000000" w:themeColor="text1"/>
          <w:sz w:val="20"/>
          <w:szCs w:val="20"/>
          <w14:textFill>
            <w14:solidFill>
              <w14:schemeClr w14:val="tx1"/>
            </w14:solidFill>
          </w14:textFill>
        </w:rPr>
        <w:t>如在产品到期时本产品所投资资产市场流动性不足或受限导致未能正常买卖结算，或投资资产正常到期发行人或融资主体未能及时偿付本息，从而导致所投资工具不能全部变现，则本产品存在延期清算的风险。</w:t>
      </w:r>
    </w:p>
    <w:p w14:paraId="52342AE1">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ascii="黑体" w:eastAsia="黑体"/>
          <w:b/>
          <w:color w:val="000000" w:themeColor="text1"/>
          <w:sz w:val="20"/>
          <w:szCs w:val="20"/>
          <w14:textFill>
            <w14:solidFill>
              <w14:schemeClr w14:val="tx1"/>
            </w14:solidFill>
          </w14:textFill>
        </w:rPr>
        <w:t>9</w:t>
      </w:r>
      <w:r>
        <w:rPr>
          <w:rFonts w:hint="eastAsia" w:ascii="黑体" w:eastAsia="黑体"/>
          <w:b/>
          <w:color w:val="000000" w:themeColor="text1"/>
          <w:sz w:val="20"/>
          <w:szCs w:val="20"/>
          <w14:textFill>
            <w14:solidFill>
              <w14:schemeClr w14:val="tx1"/>
            </w14:solidFill>
          </w14:textFill>
        </w:rPr>
        <w:t>．</w:t>
      </w:r>
      <w:r>
        <w:rPr>
          <w:rFonts w:ascii="黑体" w:eastAsia="黑体"/>
          <w:b/>
          <w:color w:val="000000" w:themeColor="text1"/>
          <w:sz w:val="20"/>
          <w:szCs w:val="20"/>
          <w14:textFill>
            <w14:solidFill>
              <w14:schemeClr w14:val="tx1"/>
            </w14:solidFill>
          </w14:textFill>
        </w:rPr>
        <w:t>理财产品不成立风险：如发生理财产品不成立条款约定之情形，</w:t>
      </w:r>
      <w:r>
        <w:rPr>
          <w:rFonts w:hint="eastAsia" w:ascii="黑体" w:eastAsia="黑体"/>
          <w:b/>
          <w:color w:val="000000" w:themeColor="text1"/>
          <w:sz w:val="20"/>
          <w:szCs w:val="20"/>
          <w14:textFill>
            <w14:solidFill>
              <w14:schemeClr w14:val="tx1"/>
            </w14:solidFill>
          </w14:textFill>
        </w:rPr>
        <w:t>信银理财</w:t>
      </w:r>
      <w:r>
        <w:rPr>
          <w:rFonts w:ascii="黑体" w:eastAsia="黑体"/>
          <w:b/>
          <w:color w:val="000000" w:themeColor="text1"/>
          <w:sz w:val="20"/>
          <w:szCs w:val="20"/>
          <w14:textFill>
            <w14:solidFill>
              <w14:schemeClr w14:val="tx1"/>
            </w14:solidFill>
          </w14:textFill>
        </w:rPr>
        <w:t>有权通知</w:t>
      </w:r>
      <w:r>
        <w:rPr>
          <w:rFonts w:hint="eastAsia" w:ascii="黑体" w:eastAsia="黑体"/>
          <w:b/>
          <w:color w:val="000000" w:themeColor="text1"/>
          <w:sz w:val="20"/>
          <w:szCs w:val="20"/>
          <w14:textFill>
            <w14:solidFill>
              <w14:schemeClr w14:val="tx1"/>
            </w14:solidFill>
          </w14:textFill>
        </w:rPr>
        <w:t>（或</w:t>
      </w:r>
      <w:r>
        <w:rPr>
          <w:rFonts w:ascii="黑体" w:eastAsia="黑体"/>
          <w:b/>
          <w:color w:val="000000" w:themeColor="text1"/>
          <w:sz w:val="20"/>
          <w:szCs w:val="20"/>
          <w14:textFill>
            <w14:solidFill>
              <w14:schemeClr w14:val="tx1"/>
            </w14:solidFill>
          </w14:textFill>
        </w:rPr>
        <w:t>通过代销机构通知）投资者产品不成立。</w:t>
      </w:r>
    </w:p>
    <w:p w14:paraId="3908B912">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10．不可抗力及意外事件风险：由于自然灾害、战争等不可抗力因素的出现或系统故障、通讯故障、投资市场停止交易、金融市场危机等意外事件的出现，将严重影响金融市场的正常运行，从而导致本产品投资收益降低或损失，甚至影响本产品的成立、受理、投资、兑付、信息披露等的正常进行，进而影响本产品的资金安全。投资者将面临本金和收益遭受损失的风险。对于由不可抗力及意外事件风险导致的任何损失，投资者须自行承担，信银理财对此不承担任何责任，但因信银理财故意或重大过失造成的系统故障、通讯故障的除外。</w:t>
      </w:r>
    </w:p>
    <w:p w14:paraId="5A60FEB1">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 xml:space="preserve">11．理财本金全部损失风险：本产品不保证本金和收益，由于发生本产品风险提示的相应风险，包括但不限于市场价格波动导致本产品投资工具贬值，或者投资工具发生信用违约，或不可抗力风险导致相应损失，则有可能造成本产品投资资金部分或全部损失。  </w:t>
      </w:r>
    </w:p>
    <w:p w14:paraId="14E905D7">
      <w:pPr>
        <w:spacing w:line="300" w:lineRule="atLeast"/>
        <w:ind w:firstLine="402" w:firstLineChars="200"/>
        <w:jc w:val="both"/>
        <w:rPr>
          <w:rFonts w:ascii="黑体" w:hAnsi="黑体" w:eastAsia="黑体"/>
          <w:b/>
          <w:color w:val="000000" w:themeColor="text1"/>
          <w:sz w:val="20"/>
          <w:szCs w:val="20"/>
          <w14:textFill>
            <w14:solidFill>
              <w14:schemeClr w14:val="tx1"/>
            </w14:solidFill>
          </w14:textFill>
        </w:rPr>
      </w:pPr>
      <w:r>
        <w:rPr>
          <w:rFonts w:ascii="黑体" w:hAnsi="黑体" w:eastAsia="黑体"/>
          <w:b/>
          <w:color w:val="000000" w:themeColor="text1"/>
          <w:sz w:val="20"/>
          <w:szCs w:val="20"/>
          <w14:textFill>
            <w14:solidFill>
              <w14:schemeClr w14:val="tx1"/>
            </w14:solidFill>
          </w14:textFill>
        </w:rPr>
        <w:t>12</w:t>
      </w:r>
      <w:r>
        <w:rPr>
          <w:rFonts w:hint="eastAsia" w:ascii="黑体" w:hAnsi="黑体" w:eastAsia="黑体"/>
          <w:b/>
          <w:color w:val="000000" w:themeColor="text1"/>
          <w:sz w:val="20"/>
          <w:szCs w:val="20"/>
          <w14:textFill>
            <w14:solidFill>
              <w14:schemeClr w14:val="tx1"/>
            </w14:solidFill>
          </w14:textFill>
        </w:rPr>
        <w:t>．</w:t>
      </w:r>
      <w:r>
        <w:rPr>
          <w:rFonts w:ascii="黑体" w:hAnsi="黑体" w:eastAsia="黑体"/>
          <w:b/>
          <w:color w:val="000000" w:themeColor="text1"/>
          <w:sz w:val="20"/>
          <w:szCs w:val="20"/>
          <w14:textFill>
            <w14:solidFill>
              <w14:schemeClr w14:val="tx1"/>
            </w14:solidFill>
          </w14:textFill>
        </w:rPr>
        <w:t>合作销售机构</w:t>
      </w:r>
      <w:r>
        <w:rPr>
          <w:rFonts w:hint="eastAsia" w:ascii="黑体" w:hAnsi="黑体" w:eastAsia="黑体"/>
          <w:b/>
          <w:color w:val="000000" w:themeColor="text1"/>
          <w:sz w:val="20"/>
          <w:szCs w:val="20"/>
          <w14:textFill>
            <w14:solidFill>
              <w14:schemeClr w14:val="tx1"/>
            </w14:solidFill>
          </w14:textFill>
        </w:rPr>
        <w:t>（代销</w:t>
      </w:r>
      <w:r>
        <w:rPr>
          <w:rFonts w:ascii="黑体" w:hAnsi="黑体" w:eastAsia="黑体"/>
          <w:b/>
          <w:color w:val="000000" w:themeColor="text1"/>
          <w:sz w:val="20"/>
          <w:szCs w:val="20"/>
          <w14:textFill>
            <w14:solidFill>
              <w14:schemeClr w14:val="tx1"/>
            </w14:solidFill>
          </w14:textFill>
        </w:rPr>
        <w:t>机构）风险：投资者</w:t>
      </w:r>
      <w:r>
        <w:rPr>
          <w:rFonts w:hint="eastAsia" w:ascii="黑体" w:hAnsi="黑体" w:eastAsia="黑体"/>
          <w:b/>
          <w:color w:val="000000" w:themeColor="text1"/>
          <w:sz w:val="20"/>
          <w:szCs w:val="20"/>
          <w14:textFill>
            <w14:solidFill>
              <w14:schemeClr w14:val="tx1"/>
            </w14:solidFill>
          </w14:textFill>
        </w:rPr>
        <w:t>通过</w:t>
      </w:r>
      <w:r>
        <w:rPr>
          <w:rFonts w:ascii="黑体" w:hAnsi="黑体" w:eastAsia="黑体"/>
          <w:b/>
          <w:color w:val="000000" w:themeColor="text1"/>
          <w:sz w:val="20"/>
          <w:szCs w:val="20"/>
          <w14:textFill>
            <w14:solidFill>
              <w14:schemeClr w14:val="tx1"/>
            </w14:solidFill>
          </w14:textFill>
        </w:rPr>
        <w:t>合作销售机构购买本理财产品</w:t>
      </w:r>
      <w:r>
        <w:rPr>
          <w:rFonts w:hint="eastAsia" w:ascii="黑体" w:hAnsi="黑体" w:eastAsia="黑体"/>
          <w:b/>
          <w:color w:val="000000" w:themeColor="text1"/>
          <w:sz w:val="20"/>
          <w:szCs w:val="20"/>
          <w14:textFill>
            <w14:solidFill>
              <w14:schemeClr w14:val="tx1"/>
            </w14:solidFill>
          </w14:textFill>
        </w:rPr>
        <w:t>的</w:t>
      </w:r>
      <w:r>
        <w:rPr>
          <w:rFonts w:ascii="黑体" w:hAnsi="黑体" w:eastAsia="黑体"/>
          <w:b/>
          <w:color w:val="000000" w:themeColor="text1"/>
          <w:sz w:val="20"/>
          <w:szCs w:val="20"/>
          <w14:textFill>
            <w14:solidFill>
              <w14:schemeClr w14:val="tx1"/>
            </w14:solidFill>
          </w14:textFill>
        </w:rPr>
        <w:t>，资金清算将通过合作销售机构进行</w:t>
      </w:r>
      <w:r>
        <w:rPr>
          <w:rFonts w:hint="eastAsia" w:ascii="黑体" w:hAnsi="黑体" w:eastAsia="黑体"/>
          <w:b/>
          <w:color w:val="000000" w:themeColor="text1"/>
          <w:sz w:val="20"/>
          <w:szCs w:val="20"/>
          <w14:textFill>
            <w14:solidFill>
              <w14:schemeClr w14:val="tx1"/>
            </w14:solidFill>
          </w14:textFill>
        </w:rPr>
        <w:t>，</w:t>
      </w:r>
      <w:r>
        <w:rPr>
          <w:rFonts w:ascii="黑体" w:hAnsi="黑体" w:eastAsia="黑体"/>
          <w:b/>
          <w:color w:val="000000" w:themeColor="text1"/>
          <w:sz w:val="20"/>
          <w:szCs w:val="20"/>
          <w14:textFill>
            <w14:solidFill>
              <w14:schemeClr w14:val="tx1"/>
            </w14:solidFill>
          </w14:textFill>
        </w:rPr>
        <w:t>如因合作销售机构</w:t>
      </w:r>
      <w:r>
        <w:rPr>
          <w:rFonts w:hint="eastAsia" w:ascii="黑体" w:hAnsi="黑体" w:eastAsia="黑体"/>
          <w:b/>
          <w:color w:val="000000" w:themeColor="text1"/>
          <w:sz w:val="20"/>
          <w:szCs w:val="20"/>
          <w14:textFill>
            <w14:solidFill>
              <w14:schemeClr w14:val="tx1"/>
            </w14:solidFill>
          </w14:textFill>
        </w:rPr>
        <w:t>资金清算</w:t>
      </w:r>
      <w:r>
        <w:rPr>
          <w:rFonts w:ascii="黑体" w:hAnsi="黑体" w:eastAsia="黑体"/>
          <w:b/>
          <w:color w:val="000000" w:themeColor="text1"/>
          <w:sz w:val="20"/>
          <w:szCs w:val="20"/>
          <w14:textFill>
            <w14:solidFill>
              <w14:schemeClr w14:val="tx1"/>
            </w14:solidFill>
          </w14:textFill>
        </w:rPr>
        <w:t>账户余额不足或合作销售机构未及时办理资金清算或违背相关合作协议约定、处理事务不当等，可能导致</w:t>
      </w:r>
      <w:r>
        <w:rPr>
          <w:rFonts w:hint="eastAsia" w:ascii="黑体" w:hAnsi="黑体" w:eastAsia="黑体"/>
          <w:b/>
          <w:color w:val="000000" w:themeColor="text1"/>
          <w:sz w:val="20"/>
          <w:szCs w:val="20"/>
          <w14:textFill>
            <w14:solidFill>
              <w14:schemeClr w14:val="tx1"/>
            </w14:solidFill>
          </w14:textFill>
        </w:rPr>
        <w:t>投资者</w:t>
      </w:r>
      <w:r>
        <w:rPr>
          <w:rFonts w:ascii="黑体" w:hAnsi="黑体" w:eastAsia="黑体"/>
          <w:b/>
          <w:color w:val="000000" w:themeColor="text1"/>
          <w:sz w:val="20"/>
          <w:szCs w:val="20"/>
          <w14:textFill>
            <w14:solidFill>
              <w14:schemeClr w14:val="tx1"/>
            </w14:solidFill>
          </w14:textFill>
        </w:rPr>
        <w:t>认购/申购失败或</w:t>
      </w:r>
      <w:r>
        <w:rPr>
          <w:rFonts w:hint="eastAsia" w:ascii="黑体" w:hAnsi="黑体" w:eastAsia="黑体"/>
          <w:b/>
          <w:color w:val="000000" w:themeColor="text1"/>
          <w:sz w:val="20"/>
          <w:szCs w:val="20"/>
          <w14:textFill>
            <w14:solidFill>
              <w14:schemeClr w14:val="tx1"/>
            </w14:solidFill>
          </w14:textFill>
        </w:rPr>
        <w:t>理财</w:t>
      </w:r>
      <w:r>
        <w:rPr>
          <w:rFonts w:ascii="黑体" w:hAnsi="黑体" w:eastAsia="黑体"/>
          <w:b/>
          <w:color w:val="000000" w:themeColor="text1"/>
          <w:sz w:val="20"/>
          <w:szCs w:val="20"/>
          <w14:textFill>
            <w14:solidFill>
              <w14:schemeClr w14:val="tx1"/>
            </w14:solidFill>
          </w14:textFill>
        </w:rPr>
        <w:t>资金遭受损失。</w:t>
      </w:r>
      <w:r>
        <w:rPr>
          <w:rFonts w:hint="eastAsia" w:ascii="黑体" w:hAnsi="黑体" w:eastAsia="黑体"/>
          <w:b/>
          <w:color w:val="000000" w:themeColor="text1"/>
          <w:sz w:val="20"/>
          <w:szCs w:val="20"/>
          <w14:textFill>
            <w14:solidFill>
              <w14:schemeClr w14:val="tx1"/>
            </w14:solidFill>
          </w14:textFill>
        </w:rPr>
        <w:t>在</w:t>
      </w:r>
      <w:r>
        <w:rPr>
          <w:rFonts w:ascii="黑体" w:hAnsi="黑体" w:eastAsia="黑体"/>
          <w:b/>
          <w:color w:val="000000" w:themeColor="text1"/>
          <w:sz w:val="20"/>
          <w:szCs w:val="20"/>
          <w14:textFill>
            <w14:solidFill>
              <w14:schemeClr w14:val="tx1"/>
            </w14:solidFill>
          </w14:textFill>
        </w:rPr>
        <w:t>认购/申购时，如果投资者在合作销售机构的资金账户余额</w:t>
      </w:r>
      <w:r>
        <w:rPr>
          <w:rFonts w:hint="eastAsia" w:ascii="黑体" w:hAnsi="黑体" w:eastAsia="黑体"/>
          <w:b/>
          <w:color w:val="000000" w:themeColor="text1"/>
          <w:sz w:val="20"/>
          <w:szCs w:val="20"/>
          <w14:textFill>
            <w14:solidFill>
              <w14:schemeClr w14:val="tx1"/>
            </w14:solidFill>
          </w14:textFill>
        </w:rPr>
        <w:t>不足</w:t>
      </w:r>
      <w:r>
        <w:rPr>
          <w:rFonts w:ascii="黑体" w:hAnsi="黑体" w:eastAsia="黑体"/>
          <w:b/>
          <w:color w:val="000000" w:themeColor="text1"/>
          <w:sz w:val="20"/>
          <w:szCs w:val="20"/>
          <w14:textFill>
            <w14:solidFill>
              <w14:schemeClr w14:val="tx1"/>
            </w14:solidFill>
          </w14:textFill>
        </w:rPr>
        <w:t>，或合作销售机构</w:t>
      </w:r>
      <w:r>
        <w:rPr>
          <w:rFonts w:hint="eastAsia" w:ascii="黑体" w:hAnsi="黑体" w:eastAsia="黑体"/>
          <w:b/>
          <w:color w:val="000000" w:themeColor="text1"/>
          <w:sz w:val="20"/>
          <w:szCs w:val="20"/>
          <w14:textFill>
            <w14:solidFill>
              <w14:schemeClr w14:val="tx1"/>
            </w14:solidFill>
          </w14:textFill>
        </w:rPr>
        <w:t>未及时</w:t>
      </w:r>
      <w:r>
        <w:rPr>
          <w:rFonts w:ascii="黑体" w:hAnsi="黑体" w:eastAsia="黑体"/>
          <w:b/>
          <w:color w:val="000000" w:themeColor="text1"/>
          <w:sz w:val="20"/>
          <w:szCs w:val="20"/>
          <w14:textFill>
            <w14:solidFill>
              <w14:schemeClr w14:val="tx1"/>
            </w14:solidFill>
          </w14:textFill>
        </w:rPr>
        <w:t>将投资者认购/申购资金划转至信银理财，将导致投资者无法完成认购/申购，因此造成的损失</w:t>
      </w:r>
      <w:r>
        <w:rPr>
          <w:rFonts w:hint="eastAsia" w:ascii="黑体" w:hAnsi="黑体" w:eastAsia="黑体"/>
          <w:b/>
          <w:color w:val="000000" w:themeColor="text1"/>
          <w:sz w:val="20"/>
          <w:szCs w:val="20"/>
          <w14:textFill>
            <w14:solidFill>
              <w14:schemeClr w14:val="tx1"/>
            </w14:solidFill>
          </w14:textFill>
        </w:rPr>
        <w:t>信银理财</w:t>
      </w:r>
      <w:r>
        <w:rPr>
          <w:rFonts w:ascii="黑体" w:hAnsi="黑体" w:eastAsia="黑体"/>
          <w:b/>
          <w:color w:val="000000" w:themeColor="text1"/>
          <w:sz w:val="20"/>
          <w:szCs w:val="20"/>
          <w14:textFill>
            <w14:solidFill>
              <w14:schemeClr w14:val="tx1"/>
            </w14:solidFill>
          </w14:textFill>
        </w:rPr>
        <w:t>不承担责任；在赎回和到期时，</w:t>
      </w:r>
      <w:r>
        <w:rPr>
          <w:rFonts w:hint="eastAsia" w:ascii="黑体" w:hAnsi="黑体" w:eastAsia="黑体"/>
          <w:b/>
          <w:color w:val="000000" w:themeColor="text1"/>
          <w:sz w:val="20"/>
          <w:szCs w:val="20"/>
          <w14:textFill>
            <w14:solidFill>
              <w14:schemeClr w14:val="tx1"/>
            </w14:solidFill>
          </w14:textFill>
        </w:rPr>
        <w:t>信银理财</w:t>
      </w:r>
      <w:r>
        <w:rPr>
          <w:rFonts w:ascii="黑体" w:hAnsi="黑体" w:eastAsia="黑体"/>
          <w:b/>
          <w:color w:val="000000" w:themeColor="text1"/>
          <w:sz w:val="20"/>
          <w:szCs w:val="20"/>
          <w14:textFill>
            <w14:solidFill>
              <w14:schemeClr w14:val="tx1"/>
            </w14:solidFill>
          </w14:textFill>
        </w:rPr>
        <w:t>将投资者应得资金划转至合作</w:t>
      </w:r>
      <w:r>
        <w:rPr>
          <w:rFonts w:hint="eastAsia" w:ascii="黑体" w:hAnsi="黑体" w:eastAsia="黑体"/>
          <w:b/>
          <w:color w:val="000000" w:themeColor="text1"/>
          <w:sz w:val="20"/>
          <w:szCs w:val="20"/>
          <w14:textFill>
            <w14:solidFill>
              <w14:schemeClr w14:val="tx1"/>
            </w14:solidFill>
          </w14:textFill>
        </w:rPr>
        <w:t>销售</w:t>
      </w:r>
      <w:r>
        <w:rPr>
          <w:rFonts w:ascii="黑体" w:hAnsi="黑体" w:eastAsia="黑体"/>
          <w:b/>
          <w:color w:val="000000" w:themeColor="text1"/>
          <w:sz w:val="20"/>
          <w:szCs w:val="20"/>
          <w14:textFill>
            <w14:solidFill>
              <w14:schemeClr w14:val="tx1"/>
            </w14:solidFill>
          </w14:textFill>
        </w:rPr>
        <w:t>机构</w:t>
      </w:r>
      <w:r>
        <w:rPr>
          <w:rFonts w:hint="eastAsia" w:ascii="黑体" w:hAnsi="黑体" w:eastAsia="黑体"/>
          <w:b/>
          <w:color w:val="000000" w:themeColor="text1"/>
          <w:sz w:val="20"/>
          <w:szCs w:val="20"/>
          <w14:textFill>
            <w14:solidFill>
              <w14:schemeClr w14:val="tx1"/>
            </w14:solidFill>
          </w14:textFill>
        </w:rPr>
        <w:t>指定账户</w:t>
      </w:r>
      <w:r>
        <w:rPr>
          <w:rFonts w:ascii="黑体" w:hAnsi="黑体" w:eastAsia="黑体"/>
          <w:b/>
          <w:color w:val="000000" w:themeColor="text1"/>
          <w:sz w:val="20"/>
          <w:szCs w:val="20"/>
          <w14:textFill>
            <w14:solidFill>
              <w14:schemeClr w14:val="tx1"/>
            </w14:solidFill>
          </w14:textFill>
        </w:rPr>
        <w:t>后，由合作销售机构将相应应得资金划转至投资者账户</w:t>
      </w:r>
      <w:r>
        <w:rPr>
          <w:rFonts w:hint="eastAsia" w:ascii="黑体" w:hAnsi="黑体" w:eastAsia="黑体"/>
          <w:b/>
          <w:color w:val="000000" w:themeColor="text1"/>
          <w:sz w:val="20"/>
          <w:szCs w:val="20"/>
          <w14:textFill>
            <w14:solidFill>
              <w14:schemeClr w14:val="tx1"/>
            </w14:solidFill>
          </w14:textFill>
        </w:rPr>
        <w:t>。</w:t>
      </w:r>
      <w:r>
        <w:rPr>
          <w:rFonts w:ascii="黑体" w:hAnsi="黑体" w:eastAsia="黑体"/>
          <w:b/>
          <w:color w:val="000000" w:themeColor="text1"/>
          <w:sz w:val="20"/>
          <w:szCs w:val="20"/>
          <w14:textFill>
            <w14:solidFill>
              <w14:schemeClr w14:val="tx1"/>
            </w14:solidFill>
          </w14:textFill>
        </w:rPr>
        <w:t>若</w:t>
      </w:r>
      <w:r>
        <w:rPr>
          <w:rFonts w:hint="eastAsia" w:ascii="黑体" w:hAnsi="黑体" w:eastAsia="黑体"/>
          <w:b/>
          <w:color w:val="000000" w:themeColor="text1"/>
          <w:sz w:val="20"/>
          <w:szCs w:val="20"/>
          <w14:textFill>
            <w14:solidFill>
              <w14:schemeClr w14:val="tx1"/>
            </w14:solidFill>
          </w14:textFill>
        </w:rPr>
        <w:t>合作</w:t>
      </w:r>
      <w:r>
        <w:rPr>
          <w:rFonts w:ascii="黑体" w:hAnsi="黑体" w:eastAsia="黑体"/>
          <w:b/>
          <w:color w:val="000000" w:themeColor="text1"/>
          <w:sz w:val="20"/>
          <w:szCs w:val="20"/>
          <w14:textFill>
            <w14:solidFill>
              <w14:schemeClr w14:val="tx1"/>
            </w14:solidFill>
          </w14:textFill>
        </w:rPr>
        <w:t>销售机构未及时进行划付，因此造成的</w:t>
      </w:r>
      <w:r>
        <w:rPr>
          <w:rFonts w:hint="eastAsia" w:ascii="黑体" w:hAnsi="黑体" w:eastAsia="黑体"/>
          <w:b/>
          <w:color w:val="000000" w:themeColor="text1"/>
          <w:sz w:val="20"/>
          <w:szCs w:val="20"/>
          <w14:textFill>
            <w14:solidFill>
              <w14:schemeClr w14:val="tx1"/>
            </w14:solidFill>
          </w14:textFill>
        </w:rPr>
        <w:t>损失信银理财</w:t>
      </w:r>
      <w:r>
        <w:rPr>
          <w:rFonts w:ascii="黑体" w:hAnsi="黑体" w:eastAsia="黑体"/>
          <w:b/>
          <w:color w:val="000000" w:themeColor="text1"/>
          <w:sz w:val="20"/>
          <w:szCs w:val="20"/>
          <w14:textFill>
            <w14:solidFill>
              <w14:schemeClr w14:val="tx1"/>
            </w14:solidFill>
          </w14:textFill>
        </w:rPr>
        <w:t>不承担任何责任。</w:t>
      </w:r>
    </w:p>
    <w:p w14:paraId="4BB14BA1">
      <w:pPr>
        <w:spacing w:line="300" w:lineRule="atLeast"/>
        <w:ind w:firstLine="402" w:firstLineChars="200"/>
        <w:jc w:val="both"/>
        <w:rPr>
          <w:rFonts w:ascii="黑体" w:hAnsi="黑体" w:eastAsia="黑体"/>
          <w:b/>
          <w:color w:val="000000" w:themeColor="text1"/>
          <w:sz w:val="20"/>
          <w:szCs w:val="20"/>
          <w14:textFill>
            <w14:solidFill>
              <w14:schemeClr w14:val="tx1"/>
            </w14:solidFill>
          </w14:textFill>
        </w:rPr>
      </w:pPr>
      <w:r>
        <w:rPr>
          <w:rFonts w:ascii="黑体" w:hAnsi="黑体" w:eastAsia="黑体"/>
          <w:b/>
          <w:color w:val="000000" w:themeColor="text1"/>
          <w:sz w:val="20"/>
          <w:szCs w:val="20"/>
          <w14:textFill>
            <w14:solidFill>
              <w14:schemeClr w14:val="tx1"/>
            </w14:solidFill>
          </w14:textFill>
        </w:rPr>
        <w:t>13</w:t>
      </w:r>
      <w:r>
        <w:rPr>
          <w:rFonts w:hint="eastAsia" w:ascii="黑体" w:hAnsi="黑体" w:eastAsia="黑体"/>
          <w:b/>
          <w:color w:val="000000" w:themeColor="text1"/>
          <w:sz w:val="20"/>
          <w:szCs w:val="20"/>
          <w14:textFill>
            <w14:solidFill>
              <w14:schemeClr w14:val="tx1"/>
            </w14:solidFill>
          </w14:textFill>
        </w:rPr>
        <w:t>．操作风险：如本理财产品管理人、</w:t>
      </w:r>
      <w:r>
        <w:rPr>
          <w:rFonts w:ascii="黑体" w:hAnsi="黑体" w:eastAsia="黑体"/>
          <w:b/>
          <w:color w:val="000000" w:themeColor="text1"/>
          <w:sz w:val="20"/>
          <w:szCs w:val="20"/>
          <w14:textFill>
            <w14:solidFill>
              <w14:schemeClr w14:val="tx1"/>
            </w14:solidFill>
          </w14:textFill>
        </w:rPr>
        <w:t>代销机构</w:t>
      </w:r>
      <w:r>
        <w:rPr>
          <w:rFonts w:hint="eastAsia" w:ascii="黑体" w:hAnsi="黑体" w:eastAsia="黑体"/>
          <w:b/>
          <w:color w:val="000000" w:themeColor="text1"/>
          <w:sz w:val="20"/>
          <w:szCs w:val="20"/>
          <w14:textFill>
            <w14:solidFill>
              <w14:schemeClr w14:val="tx1"/>
            </w14:solidFill>
          </w14:textFill>
        </w:rPr>
        <w:t>由于内部作业、人员管理、系统操作及事务处理不当或失误等，可能导致本理财产品的本金及收益遭受损失。</w:t>
      </w:r>
    </w:p>
    <w:p w14:paraId="4C3B617C">
      <w:pPr>
        <w:spacing w:line="300" w:lineRule="atLeast"/>
        <w:ind w:firstLine="402" w:firstLineChars="200"/>
        <w:jc w:val="both"/>
        <w:rPr>
          <w:rFonts w:ascii="黑体" w:hAnsi="黑体" w:eastAsia="黑体"/>
          <w:b/>
          <w:color w:val="000000" w:themeColor="text1"/>
          <w:sz w:val="20"/>
          <w:szCs w:val="20"/>
          <w14:textFill>
            <w14:solidFill>
              <w14:schemeClr w14:val="tx1"/>
            </w14:solidFill>
          </w14:textFill>
        </w:rPr>
      </w:pPr>
      <w:r>
        <w:rPr>
          <w:rFonts w:ascii="黑体" w:hAnsi="黑体" w:eastAsia="黑体"/>
          <w:b/>
          <w:color w:val="000000" w:themeColor="text1"/>
          <w:sz w:val="20"/>
          <w:szCs w:val="20"/>
          <w14:textFill>
            <w14:solidFill>
              <w14:schemeClr w14:val="tx1"/>
            </w14:solidFill>
          </w14:textFill>
        </w:rPr>
        <w:t>14</w:t>
      </w:r>
      <w:r>
        <w:rPr>
          <w:rFonts w:hint="eastAsia" w:ascii="黑体" w:hAnsi="黑体" w:eastAsia="黑体"/>
          <w:b/>
          <w:color w:val="000000" w:themeColor="text1"/>
          <w:sz w:val="20"/>
          <w:szCs w:val="20"/>
          <w14:textFill>
            <w14:solidFill>
              <w14:schemeClr w14:val="tx1"/>
            </w14:solidFill>
          </w14:textFill>
        </w:rPr>
        <w:t>．</w:t>
      </w:r>
      <w:r>
        <w:rPr>
          <w:rFonts w:ascii="黑体" w:hAnsi="黑体" w:eastAsia="黑体"/>
          <w:b/>
          <w:color w:val="000000" w:themeColor="text1"/>
          <w:sz w:val="20"/>
          <w:szCs w:val="20"/>
          <w14:textFill>
            <w14:solidFill>
              <w14:schemeClr w14:val="tx1"/>
            </w14:solidFill>
          </w14:textFill>
        </w:rPr>
        <w:t>关联交易风险：</w:t>
      </w:r>
      <w:r>
        <w:rPr>
          <w:rFonts w:hint="eastAsia" w:ascii="黑体" w:hAnsi="黑体" w:eastAsia="黑体"/>
          <w:b/>
          <w:color w:val="000000" w:themeColor="text1"/>
          <w:sz w:val="20"/>
          <w:szCs w:val="20"/>
          <w14:textFill>
            <w14:solidFill>
              <w14:schemeClr w14:val="tx1"/>
            </w14:solidFill>
          </w14:textFill>
        </w:rPr>
        <w:t>在合法合规且履行应履行的内外部程序后，理财产品可能与管理人及其控股股东、实际控制人等发生关联交易。本</w:t>
      </w:r>
      <w:r>
        <w:rPr>
          <w:rFonts w:ascii="黑体" w:hAnsi="黑体" w:eastAsia="黑体"/>
          <w:b/>
          <w:color w:val="000000" w:themeColor="text1"/>
          <w:sz w:val="20"/>
          <w:szCs w:val="20"/>
          <w14:textFill>
            <w14:solidFill>
              <w14:schemeClr w14:val="tx1"/>
            </w14:solidFill>
          </w14:textFill>
        </w:rPr>
        <w:t>理财产品可能</w:t>
      </w:r>
      <w:r>
        <w:rPr>
          <w:rFonts w:hint="eastAsia" w:ascii="黑体" w:hAnsi="黑体" w:eastAsia="黑体"/>
          <w:b/>
          <w:color w:val="000000" w:themeColor="text1"/>
          <w:sz w:val="20"/>
          <w:szCs w:val="20"/>
          <w14:textFill>
            <w14:solidFill>
              <w14:schemeClr w14:val="tx1"/>
            </w14:solidFill>
          </w14:textFill>
        </w:rPr>
        <w:t>通过</w:t>
      </w:r>
      <w:r>
        <w:rPr>
          <w:rFonts w:ascii="黑体" w:hAnsi="黑体" w:eastAsia="黑体"/>
          <w:b/>
          <w:color w:val="000000" w:themeColor="text1"/>
          <w:sz w:val="20"/>
          <w:szCs w:val="20"/>
          <w14:textFill>
            <w14:solidFill>
              <w14:schemeClr w14:val="tx1"/>
            </w14:solidFill>
          </w14:textFill>
        </w:rPr>
        <w:t>管理人的关联方</w:t>
      </w:r>
      <w:r>
        <w:rPr>
          <w:rFonts w:hint="eastAsia" w:ascii="黑体" w:hAnsi="黑体" w:eastAsia="黑体"/>
          <w:b/>
          <w:color w:val="000000" w:themeColor="text1"/>
          <w:sz w:val="20"/>
          <w:szCs w:val="20"/>
          <w14:textFill>
            <w14:solidFill>
              <w14:schemeClr w14:val="tx1"/>
            </w14:solidFill>
          </w14:textFill>
        </w:rPr>
        <w:t>进行</w:t>
      </w:r>
      <w:r>
        <w:rPr>
          <w:rFonts w:ascii="黑体" w:hAnsi="黑体" w:eastAsia="黑体"/>
          <w:b/>
          <w:color w:val="000000" w:themeColor="text1"/>
          <w:sz w:val="20"/>
          <w:szCs w:val="20"/>
          <w14:textFill>
            <w14:solidFill>
              <w14:schemeClr w14:val="tx1"/>
            </w14:solidFill>
          </w14:textFill>
        </w:rPr>
        <w:t>销售。</w:t>
      </w:r>
      <w:r>
        <w:rPr>
          <w:rFonts w:hint="eastAsia" w:ascii="黑体" w:hAnsi="黑体" w:eastAsia="黑体"/>
          <w:b/>
          <w:color w:val="000000" w:themeColor="text1"/>
          <w:sz w:val="20"/>
          <w:szCs w:val="20"/>
          <w14:textFill>
            <w14:solidFill>
              <w14:schemeClr w14:val="tx1"/>
            </w14:solidFill>
          </w14:textFill>
        </w:rPr>
        <w:t>上述各方在业务执行及实施上具有隔离机制，并符合相关法律法规要求，且上述各方将依照恪尽职守、诚实信用、谨慎勤勉的原则进行业务操作，但仍可能存在利益冲突。如果发生道德风险等情形将对投资者权益产生不利影响。</w:t>
      </w:r>
    </w:p>
    <w:p w14:paraId="6142861A">
      <w:pPr>
        <w:snapToGrid w:val="0"/>
        <w:ind w:left="-2" w:leftChars="-1" w:right="53" w:rightChars="22"/>
        <w:rPr>
          <w:rFonts w:ascii="黑体" w:hAnsi="Times New Roman" w:eastAsia="黑体" w:cs="黑体"/>
          <w:b/>
          <w:sz w:val="20"/>
          <w:szCs w:val="20"/>
        </w:rPr>
      </w:pPr>
      <w:r>
        <w:rPr>
          <w:rFonts w:hint="eastAsia" w:ascii="黑体" w:hAnsi="Times New Roman" w:eastAsia="黑体" w:cs="黑体"/>
          <w:b/>
          <w:sz w:val="20"/>
          <w:szCs w:val="20"/>
        </w:rPr>
        <w:t xml:space="preserve"> </w:t>
      </w:r>
    </w:p>
    <w:p w14:paraId="404612CA">
      <w:pPr>
        <w:snapToGrid w:val="0"/>
        <w:ind w:left="-2" w:leftChars="-1" w:right="53" w:rightChars="22"/>
        <w:rPr>
          <w:rFonts w:ascii="黑体" w:hAnsi="Times New Roman" w:eastAsia="黑体" w:cs="黑体"/>
          <w:b/>
          <w:bCs/>
          <w:color w:val="000000" w:themeColor="text1"/>
          <w:sz w:val="20"/>
          <w:szCs w:val="20"/>
          <w14:textFill>
            <w14:solidFill>
              <w14:schemeClr w14:val="tx1"/>
            </w14:solidFill>
          </w14:textFill>
        </w:rPr>
      </w:pPr>
      <w:r>
        <w:rPr>
          <w:rFonts w:hint="eastAsia" w:ascii="黑体" w:hAnsi="Times New Roman" w:eastAsia="黑体" w:cs="黑体"/>
          <w:b/>
          <w:bCs/>
          <w:color w:val="000000" w:themeColor="text1"/>
          <w:sz w:val="20"/>
          <w:szCs w:val="20"/>
          <w14:textFill>
            <w14:solidFill>
              <w14:schemeClr w14:val="tx1"/>
            </w14:solidFill>
          </w14:textFill>
        </w:rPr>
        <w:t>释义与定义：</w:t>
      </w:r>
    </w:p>
    <w:p w14:paraId="053B3B2C">
      <w:p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在</w:t>
      </w:r>
      <w:r>
        <w:rPr>
          <w:rFonts w:ascii="黑体" w:hAnsi="黑体" w:eastAsia="黑体"/>
          <w:color w:val="000000" w:themeColor="text1"/>
          <w:sz w:val="20"/>
          <w:szCs w:val="20"/>
          <w14:textFill>
            <w14:solidFill>
              <w14:schemeClr w14:val="tx1"/>
            </w14:solidFill>
          </w14:textFill>
        </w:rPr>
        <w:t>本产品说明书中，除非上下文另有明确约定，下列用词将具有如下含义：</w:t>
      </w:r>
    </w:p>
    <w:p w14:paraId="35A60A19">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1．信银理财有限责任公司（简称“信银理财”）：为中信银行股份有限公司经国务院银行业监督管理机构批准设立的主要从事理财业务的金融机构。</w:t>
      </w:r>
    </w:p>
    <w:p w14:paraId="726C6F5C">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2．理财业务：指信银理财接受投资者委托，按照与投资者约定的投资策略、风险承担和收益分配方式，对受托的投资者财产进行投资和管理的金融服务。</w:t>
      </w:r>
    </w:p>
    <w:p w14:paraId="51C6A155">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3．理财产品/产品：是指信银理财按照约定条件和实际投资收益情况向投资者支付收益、不保证本金支付和收益水平的非保本理财产品。根据募集方式、运作方式、投资性质的不同，理财产品分为多种类型。</w:t>
      </w:r>
    </w:p>
    <w:p w14:paraId="66FDD22D">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4．投资者/客户：指符合相关法律法规、监管规定要求的，可以购买理财产品的自然人、法人和非法人组织。其中，个人投资者指符合相关法律法规、监管规定要求的，经管理人或代销机构的个人投资者投资风险承受能力评估体系评定为适合的自然人；机构投资者指符合相关法律法规、监管规定要求的法人和非法人组织。个人投资者和机构投资者合称投资者。</w:t>
      </w:r>
    </w:p>
    <w:p w14:paraId="46382A83">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5．理财产品资产净值</w:t>
      </w:r>
      <w:r>
        <w:rPr>
          <w:rFonts w:ascii="黑体" w:hAnsi="黑体" w:eastAsia="黑体"/>
          <w:color w:val="000000" w:themeColor="text1"/>
          <w:sz w:val="20"/>
          <w:szCs w:val="20"/>
          <w14:textFill>
            <w14:solidFill>
              <w14:schemeClr w14:val="tx1"/>
            </w14:solidFill>
          </w14:textFill>
        </w:rPr>
        <w:t>/资产净值</w:t>
      </w:r>
      <w:r>
        <w:rPr>
          <w:rFonts w:hint="eastAsia" w:ascii="黑体" w:hAnsi="黑体" w:eastAsia="黑体"/>
          <w:color w:val="000000" w:themeColor="text1"/>
          <w:sz w:val="20"/>
          <w:szCs w:val="20"/>
          <w14:textFill>
            <w14:solidFill>
              <w14:schemeClr w14:val="tx1"/>
            </w14:solidFill>
          </w14:textFill>
        </w:rPr>
        <w:t>/净</w:t>
      </w:r>
      <w:r>
        <w:rPr>
          <w:rFonts w:ascii="黑体" w:hAnsi="黑体" w:eastAsia="黑体"/>
          <w:color w:val="000000" w:themeColor="text1"/>
          <w:sz w:val="20"/>
          <w:szCs w:val="20"/>
          <w14:textFill>
            <w14:solidFill>
              <w14:schemeClr w14:val="tx1"/>
            </w14:solidFill>
          </w14:textFill>
        </w:rPr>
        <w:t>资产：资产净值=产品资产总值-产品负</w:t>
      </w:r>
      <w:r>
        <w:rPr>
          <w:rFonts w:hint="eastAsia" w:ascii="黑体" w:hAnsi="黑体" w:eastAsia="黑体"/>
          <w:color w:val="000000" w:themeColor="text1"/>
          <w:sz w:val="20"/>
          <w:szCs w:val="20"/>
          <w14:textFill>
            <w14:solidFill>
              <w14:schemeClr w14:val="tx1"/>
            </w14:solidFill>
          </w14:textFill>
        </w:rPr>
        <w:t>债总值。产品资产总值是指产品拥有的各类有价证券、银行存款、应收款项及其他资产的价值总和。产品负债总值是指产品运作及融资时形成的负债价值总和，包括融资资金本息、应付各项费用、应付税金及其他应付款项等。</w:t>
      </w:r>
    </w:p>
    <w:p w14:paraId="6CF5D648">
      <w:pPr>
        <w:snapToGrid w:val="0"/>
        <w:ind w:firstLine="400" w:firstLineChars="200"/>
        <w:jc w:val="both"/>
        <w:rPr>
          <w:rFonts w:ascii="黑体" w:hAnsi="Times New Roman"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6．</w:t>
      </w:r>
      <w:r>
        <w:rPr>
          <w:rFonts w:ascii="黑体" w:hAnsi="黑体" w:eastAsia="黑体"/>
          <w:color w:val="000000" w:themeColor="text1"/>
          <w:sz w:val="20"/>
          <w:szCs w:val="20"/>
          <w14:textFill>
            <w14:solidFill>
              <w14:schemeClr w14:val="tx1"/>
            </w14:solidFill>
          </w14:textFill>
        </w:rPr>
        <w:t>理财产品单位净值/单位净值</w:t>
      </w:r>
      <w:r>
        <w:rPr>
          <w:rFonts w:hint="eastAsia" w:ascii="黑体" w:hAnsi="黑体" w:eastAsia="黑体"/>
          <w:color w:val="000000" w:themeColor="text1"/>
          <w:sz w:val="20"/>
          <w:szCs w:val="20"/>
          <w14:textFill>
            <w14:solidFill>
              <w14:schemeClr w14:val="tx1"/>
            </w14:solidFill>
          </w14:textFill>
        </w:rPr>
        <w:t>/份额净值</w:t>
      </w:r>
      <w:r>
        <w:rPr>
          <w:rFonts w:ascii="黑体" w:hAnsi="黑体" w:eastAsia="黑体"/>
          <w:color w:val="000000" w:themeColor="text1"/>
          <w:sz w:val="20"/>
          <w:szCs w:val="20"/>
          <w14:textFill>
            <w14:solidFill>
              <w14:schemeClr w14:val="tx1"/>
            </w14:solidFill>
          </w14:textFill>
        </w:rPr>
        <w:t>：指理财产品份额的单位净值，即每1</w:t>
      </w:r>
      <w:r>
        <w:rPr>
          <w:rFonts w:hint="eastAsia" w:ascii="黑体" w:hAnsi="黑体" w:eastAsia="黑体"/>
          <w:color w:val="000000" w:themeColor="text1"/>
          <w:sz w:val="20"/>
          <w:szCs w:val="20"/>
          <w14:textFill>
            <w14:solidFill>
              <w14:schemeClr w14:val="tx1"/>
            </w14:solidFill>
          </w14:textFill>
        </w:rPr>
        <w:t>份理财产品份额以人民币计价的价格。理财产品单位净值</w:t>
      </w:r>
      <w:r>
        <w:rPr>
          <w:rFonts w:ascii="黑体" w:hAnsi="黑体" w:eastAsia="黑体"/>
          <w:color w:val="000000" w:themeColor="text1"/>
          <w:sz w:val="20"/>
          <w:szCs w:val="20"/>
          <w14:textFill>
            <w14:solidFill>
              <w14:schemeClr w14:val="tx1"/>
            </w14:solidFill>
          </w14:textFill>
        </w:rPr>
        <w:t>=当日理财产品资产净值/当日理财产品存续份额，投资者按该</w:t>
      </w:r>
      <w:r>
        <w:rPr>
          <w:rFonts w:hint="eastAsia" w:ascii="黑体" w:hAnsi="黑体" w:eastAsia="黑体"/>
          <w:color w:val="000000" w:themeColor="text1"/>
          <w:sz w:val="20"/>
          <w:szCs w:val="20"/>
          <w14:textFill>
            <w14:solidFill>
              <w14:schemeClr w14:val="tx1"/>
            </w14:solidFill>
          </w14:textFill>
        </w:rPr>
        <w:t>理财产品单位净值进行理财产品申购、赎回。</w:t>
      </w:r>
      <w:r>
        <w:rPr>
          <w:rFonts w:ascii="黑体" w:hAnsi="Times New Roman" w:eastAsia="黑体"/>
          <w:color w:val="000000" w:themeColor="text1"/>
          <w:sz w:val="20"/>
          <w:szCs w:val="20"/>
          <w14:textFill>
            <w14:solidFill>
              <w14:schemeClr w14:val="tx1"/>
            </w14:solidFill>
          </w14:textFill>
        </w:rPr>
        <w:t> </w:t>
      </w:r>
    </w:p>
    <w:p w14:paraId="32A7E039">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7．理财</w:t>
      </w:r>
      <w:r>
        <w:rPr>
          <w:rFonts w:ascii="黑体" w:hAnsi="黑体" w:eastAsia="黑体"/>
          <w:color w:val="000000" w:themeColor="text1"/>
          <w:sz w:val="20"/>
          <w:szCs w:val="20"/>
          <w14:textFill>
            <w14:solidFill>
              <w14:schemeClr w14:val="tx1"/>
            </w14:solidFill>
          </w14:textFill>
        </w:rPr>
        <w:t>产品本金</w:t>
      </w:r>
      <w:r>
        <w:rPr>
          <w:rFonts w:hint="eastAsia" w:ascii="黑体" w:hAnsi="黑体" w:eastAsia="黑体"/>
          <w:color w:val="000000" w:themeColor="text1"/>
          <w:sz w:val="20"/>
          <w:szCs w:val="20"/>
          <w14:textFill>
            <w14:solidFill>
              <w14:schemeClr w14:val="tx1"/>
            </w14:solidFill>
          </w14:textFill>
        </w:rPr>
        <w:t>/投资本金/本金</w:t>
      </w:r>
      <w:r>
        <w:rPr>
          <w:rFonts w:ascii="黑体" w:hAnsi="黑体" w:eastAsia="黑体"/>
          <w:color w:val="000000" w:themeColor="text1"/>
          <w:sz w:val="20"/>
          <w:szCs w:val="20"/>
          <w14:textFill>
            <w14:solidFill>
              <w14:schemeClr w14:val="tx1"/>
            </w14:solidFill>
          </w14:textFill>
        </w:rPr>
        <w:t>：指投资者为认购</w:t>
      </w:r>
      <w:r>
        <w:rPr>
          <w:rFonts w:hint="eastAsia" w:ascii="黑体" w:hAnsi="黑体" w:eastAsia="黑体"/>
          <w:color w:val="000000" w:themeColor="text1"/>
          <w:sz w:val="20"/>
          <w:szCs w:val="20"/>
          <w14:textFill>
            <w14:solidFill>
              <w14:schemeClr w14:val="tx1"/>
            </w14:solidFill>
          </w14:textFill>
        </w:rPr>
        <w:t>/申购</w:t>
      </w:r>
      <w:r>
        <w:rPr>
          <w:rFonts w:ascii="黑体" w:hAnsi="黑体" w:eastAsia="黑体"/>
          <w:color w:val="000000" w:themeColor="text1"/>
          <w:sz w:val="20"/>
          <w:szCs w:val="20"/>
          <w14:textFill>
            <w14:solidFill>
              <w14:schemeClr w14:val="tx1"/>
            </w14:solidFill>
          </w14:textFill>
        </w:rPr>
        <w:t>理财</w:t>
      </w:r>
      <w:r>
        <w:rPr>
          <w:rFonts w:hint="eastAsia" w:ascii="黑体" w:hAnsi="黑体" w:eastAsia="黑体"/>
          <w:color w:val="000000" w:themeColor="text1"/>
          <w:sz w:val="20"/>
          <w:szCs w:val="20"/>
          <w14:textFill>
            <w14:solidFill>
              <w14:schemeClr w14:val="tx1"/>
            </w14:solidFill>
          </w14:textFill>
        </w:rPr>
        <w:t>产品</w:t>
      </w:r>
      <w:r>
        <w:rPr>
          <w:rFonts w:ascii="黑体" w:hAnsi="黑体" w:eastAsia="黑体"/>
          <w:color w:val="000000" w:themeColor="text1"/>
          <w:sz w:val="20"/>
          <w:szCs w:val="20"/>
          <w14:textFill>
            <w14:solidFill>
              <w14:schemeClr w14:val="tx1"/>
            </w14:solidFill>
          </w14:textFill>
        </w:rPr>
        <w:t>份额而向理财产品管理人交付的货币资金</w:t>
      </w:r>
      <w:r>
        <w:rPr>
          <w:rFonts w:hint="eastAsia" w:ascii="黑体" w:hAnsi="黑体" w:eastAsia="黑体"/>
          <w:color w:val="000000" w:themeColor="text1"/>
          <w:sz w:val="20"/>
          <w:szCs w:val="20"/>
          <w14:textFill>
            <w14:solidFill>
              <w14:schemeClr w14:val="tx1"/>
            </w14:solidFill>
          </w14:textFill>
        </w:rPr>
        <w:t>，扣除</w:t>
      </w:r>
      <w:r>
        <w:rPr>
          <w:rFonts w:ascii="黑体" w:hAnsi="黑体" w:eastAsia="黑体"/>
          <w:color w:val="000000" w:themeColor="text1"/>
          <w:sz w:val="20"/>
          <w:szCs w:val="20"/>
          <w14:textFill>
            <w14:solidFill>
              <w14:schemeClr w14:val="tx1"/>
            </w14:solidFill>
          </w14:textFill>
        </w:rPr>
        <w:t>认购费</w:t>
      </w:r>
      <w:r>
        <w:rPr>
          <w:rFonts w:hint="eastAsia" w:ascii="黑体" w:hAnsi="黑体" w:eastAsia="黑体"/>
          <w:color w:val="000000" w:themeColor="text1"/>
          <w:sz w:val="20"/>
          <w:szCs w:val="20"/>
          <w14:textFill>
            <w14:solidFill>
              <w14:schemeClr w14:val="tx1"/>
            </w14:solidFill>
          </w14:textFill>
        </w:rPr>
        <w:t>/申购费</w:t>
      </w:r>
      <w:r>
        <w:rPr>
          <w:rFonts w:ascii="黑体" w:hAnsi="黑体" w:eastAsia="黑体"/>
          <w:color w:val="000000" w:themeColor="text1"/>
          <w:sz w:val="20"/>
          <w:szCs w:val="20"/>
          <w14:textFill>
            <w14:solidFill>
              <w14:schemeClr w14:val="tx1"/>
            </w14:solidFill>
          </w14:textFill>
        </w:rPr>
        <w:t>后即投资者的投资</w:t>
      </w:r>
      <w:r>
        <w:rPr>
          <w:rFonts w:hint="eastAsia" w:ascii="黑体" w:hAnsi="黑体" w:eastAsia="黑体"/>
          <w:color w:val="000000" w:themeColor="text1"/>
          <w:sz w:val="20"/>
          <w:szCs w:val="20"/>
          <w14:textFill>
            <w14:solidFill>
              <w14:schemeClr w14:val="tx1"/>
            </w14:solidFill>
          </w14:textFill>
        </w:rPr>
        <w:t>本金。</w:t>
      </w:r>
      <w:r>
        <w:rPr>
          <w:rFonts w:ascii="黑体" w:hAnsi="黑体" w:eastAsia="黑体"/>
          <w:color w:val="000000" w:themeColor="text1"/>
          <w:sz w:val="20"/>
          <w:szCs w:val="20"/>
          <w14:textFill>
            <w14:solidFill>
              <w14:schemeClr w14:val="tx1"/>
            </w14:solidFill>
          </w14:textFill>
        </w:rPr>
        <w:t>本金</w:t>
      </w:r>
      <w:r>
        <w:rPr>
          <w:rFonts w:hint="eastAsia" w:ascii="黑体" w:hAnsi="黑体" w:eastAsia="黑体"/>
          <w:color w:val="000000" w:themeColor="text1"/>
          <w:sz w:val="20"/>
          <w:szCs w:val="20"/>
          <w14:textFill>
            <w14:solidFill>
              <w14:schemeClr w14:val="tx1"/>
            </w14:solidFill>
          </w14:textFill>
        </w:rPr>
        <w:t>的</w:t>
      </w:r>
      <w:r>
        <w:rPr>
          <w:rFonts w:ascii="黑体" w:hAnsi="黑体" w:eastAsia="黑体"/>
          <w:color w:val="000000" w:themeColor="text1"/>
          <w:sz w:val="20"/>
          <w:szCs w:val="20"/>
          <w14:textFill>
            <w14:solidFill>
              <w14:schemeClr w14:val="tx1"/>
            </w14:solidFill>
          </w14:textFill>
        </w:rPr>
        <w:t>称谓</w:t>
      </w:r>
      <w:r>
        <w:rPr>
          <w:rFonts w:ascii="黑体" w:hAnsi="黑体" w:eastAsia="黑体"/>
          <w:sz w:val="20"/>
          <w:szCs w:val="20"/>
        </w:rPr>
        <w:t>仅为产品估值和核算方便而设，</w:t>
      </w:r>
      <w:r>
        <w:rPr>
          <w:rFonts w:hint="eastAsia" w:ascii="黑体" w:hAnsi="黑体" w:eastAsia="黑体"/>
          <w:color w:val="000000" w:themeColor="text1"/>
          <w:sz w:val="20"/>
          <w:szCs w:val="20"/>
          <w14:textFill>
            <w14:solidFill>
              <w14:schemeClr w14:val="tx1"/>
            </w14:solidFill>
          </w14:textFill>
        </w:rPr>
        <w:t>不代表对</w:t>
      </w:r>
      <w:r>
        <w:rPr>
          <w:rFonts w:ascii="黑体" w:hAnsi="黑体" w:eastAsia="黑体"/>
          <w:color w:val="000000" w:themeColor="text1"/>
          <w:sz w:val="20"/>
          <w:szCs w:val="20"/>
          <w14:textFill>
            <w14:solidFill>
              <w14:schemeClr w14:val="tx1"/>
            </w14:solidFill>
          </w14:textFill>
        </w:rPr>
        <w:t>投资资金不受损失的承诺。</w:t>
      </w:r>
    </w:p>
    <w:p w14:paraId="445AC90F">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8．理财产品</w:t>
      </w:r>
      <w:r>
        <w:rPr>
          <w:rFonts w:ascii="黑体" w:hAnsi="黑体" w:eastAsia="黑体"/>
          <w:color w:val="000000" w:themeColor="text1"/>
          <w:sz w:val="20"/>
          <w:szCs w:val="20"/>
          <w14:textFill>
            <w14:solidFill>
              <w14:schemeClr w14:val="tx1"/>
            </w14:solidFill>
          </w14:textFill>
        </w:rPr>
        <w:t>收益</w:t>
      </w:r>
      <w:r>
        <w:rPr>
          <w:rFonts w:hint="eastAsia" w:ascii="黑体" w:hAnsi="黑体" w:eastAsia="黑体"/>
          <w:color w:val="000000" w:themeColor="text1"/>
          <w:sz w:val="20"/>
          <w:szCs w:val="20"/>
          <w14:textFill>
            <w14:solidFill>
              <w14:schemeClr w14:val="tx1"/>
            </w14:solidFill>
          </w14:textFill>
        </w:rPr>
        <w:t>/投资</w:t>
      </w:r>
      <w:r>
        <w:rPr>
          <w:rFonts w:ascii="黑体" w:hAnsi="黑体" w:eastAsia="黑体"/>
          <w:color w:val="000000" w:themeColor="text1"/>
          <w:sz w:val="20"/>
          <w:szCs w:val="20"/>
          <w14:textFill>
            <w14:solidFill>
              <w14:schemeClr w14:val="tx1"/>
            </w14:solidFill>
          </w14:textFill>
        </w:rPr>
        <w:t>收益</w:t>
      </w:r>
      <w:r>
        <w:rPr>
          <w:rFonts w:hint="eastAsia" w:ascii="黑体" w:hAnsi="黑体" w:eastAsia="黑体"/>
          <w:color w:val="000000" w:themeColor="text1"/>
          <w:sz w:val="20"/>
          <w:szCs w:val="20"/>
          <w14:textFill>
            <w14:solidFill>
              <w14:schemeClr w14:val="tx1"/>
            </w14:solidFill>
          </w14:textFill>
        </w:rPr>
        <w:t>/收益</w:t>
      </w:r>
      <w:r>
        <w:rPr>
          <w:rFonts w:ascii="黑体" w:hAnsi="黑体" w:eastAsia="黑体"/>
          <w:color w:val="000000" w:themeColor="text1"/>
          <w:sz w:val="20"/>
          <w:szCs w:val="20"/>
          <w14:textFill>
            <w14:solidFill>
              <w14:schemeClr w14:val="tx1"/>
            </w14:solidFill>
          </w14:textFill>
        </w:rPr>
        <w:t>：</w:t>
      </w:r>
      <w:r>
        <w:rPr>
          <w:rFonts w:hint="eastAsia" w:ascii="黑体" w:hAnsi="黑体" w:eastAsia="黑体"/>
          <w:color w:val="000000" w:themeColor="text1"/>
          <w:sz w:val="20"/>
          <w:szCs w:val="20"/>
          <w14:textFill>
            <w14:solidFill>
              <w14:schemeClr w14:val="tx1"/>
            </w14:solidFill>
          </w14:textFill>
        </w:rPr>
        <w:t>指</w:t>
      </w:r>
      <w:r>
        <w:rPr>
          <w:rFonts w:ascii="黑体" w:hAnsi="黑体" w:eastAsia="黑体"/>
          <w:color w:val="000000" w:themeColor="text1"/>
          <w:sz w:val="20"/>
          <w:szCs w:val="20"/>
          <w14:textFill>
            <w14:solidFill>
              <w14:schemeClr w14:val="tx1"/>
            </w14:solidFill>
          </w14:textFill>
        </w:rPr>
        <w:t>投资者投资理财产品获得的投资收益。</w:t>
      </w:r>
    </w:p>
    <w:p w14:paraId="63F9E645">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9</w:t>
      </w:r>
      <w:r>
        <w:rPr>
          <w:rFonts w:hint="eastAsia" w:ascii="黑体" w:hAnsi="黑体" w:eastAsia="黑体"/>
          <w:color w:val="000000" w:themeColor="text1"/>
          <w:sz w:val="20"/>
          <w:szCs w:val="20"/>
          <w14:textFill>
            <w14:solidFill>
              <w14:schemeClr w14:val="tx1"/>
            </w14:solidFill>
          </w14:textFill>
        </w:rPr>
        <w:t>．合作销售机构/代销机构：指</w:t>
      </w:r>
      <w:r>
        <w:rPr>
          <w:rFonts w:ascii="黑体" w:hAnsi="黑体" w:eastAsia="黑体"/>
          <w:color w:val="000000" w:themeColor="text1"/>
          <w:sz w:val="20"/>
          <w:szCs w:val="20"/>
          <w14:textFill>
            <w14:solidFill>
              <w14:schemeClr w14:val="tx1"/>
            </w14:solidFill>
          </w14:textFill>
        </w:rPr>
        <w:t>接受</w:t>
      </w:r>
      <w:r>
        <w:rPr>
          <w:rFonts w:hint="eastAsia" w:ascii="黑体" w:hAnsi="黑体" w:eastAsia="黑体"/>
          <w:color w:val="000000" w:themeColor="text1"/>
          <w:sz w:val="20"/>
          <w:szCs w:val="20"/>
          <w14:textFill>
            <w14:solidFill>
              <w14:schemeClr w14:val="tx1"/>
            </w14:solidFill>
          </w14:textFill>
        </w:rPr>
        <w:t>信银</w:t>
      </w:r>
      <w:r>
        <w:rPr>
          <w:rFonts w:ascii="黑体" w:hAnsi="黑体" w:eastAsia="黑体"/>
          <w:color w:val="000000" w:themeColor="text1"/>
          <w:sz w:val="20"/>
          <w:szCs w:val="20"/>
          <w14:textFill>
            <w14:solidFill>
              <w14:schemeClr w14:val="tx1"/>
            </w14:solidFill>
          </w14:textFill>
        </w:rPr>
        <w:t>理财委托</w:t>
      </w:r>
      <w:r>
        <w:rPr>
          <w:rFonts w:hint="eastAsia" w:ascii="黑体" w:hAnsi="黑体" w:eastAsia="黑体"/>
          <w:color w:val="000000" w:themeColor="text1"/>
          <w:sz w:val="20"/>
          <w:szCs w:val="20"/>
          <w14:textFill>
            <w14:solidFill>
              <w14:schemeClr w14:val="tx1"/>
            </w14:solidFill>
          </w14:textFill>
        </w:rPr>
        <w:t>在</w:t>
      </w:r>
      <w:r>
        <w:rPr>
          <w:rFonts w:ascii="黑体" w:hAnsi="黑体" w:eastAsia="黑体"/>
          <w:color w:val="000000" w:themeColor="text1"/>
          <w:sz w:val="20"/>
          <w:szCs w:val="20"/>
          <w14:textFill>
            <w14:solidFill>
              <w14:schemeClr w14:val="tx1"/>
            </w14:solidFill>
          </w14:textFill>
        </w:rPr>
        <w:t>其销售渠道</w:t>
      </w:r>
      <w:r>
        <w:rPr>
          <w:rFonts w:hint="eastAsia" w:ascii="黑体" w:hAnsi="黑体" w:eastAsia="黑体"/>
          <w:color w:val="000000" w:themeColor="text1"/>
          <w:sz w:val="20"/>
          <w:szCs w:val="20"/>
          <w14:textFill>
            <w14:solidFill>
              <w14:schemeClr w14:val="tx1"/>
            </w14:solidFill>
          </w14:textFill>
        </w:rPr>
        <w:t>代理</w:t>
      </w:r>
      <w:r>
        <w:rPr>
          <w:rFonts w:ascii="黑体" w:hAnsi="黑体" w:eastAsia="黑体"/>
          <w:color w:val="000000" w:themeColor="text1"/>
          <w:sz w:val="20"/>
          <w:szCs w:val="20"/>
          <w14:textFill>
            <w14:solidFill>
              <w14:schemeClr w14:val="tx1"/>
            </w14:solidFill>
          </w14:textFill>
        </w:rPr>
        <w:t>销售信银理财依法发行的理财产品的机构。</w:t>
      </w:r>
    </w:p>
    <w:p w14:paraId="3AE0654A">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10</w:t>
      </w:r>
      <w:r>
        <w:rPr>
          <w:rFonts w:hint="eastAsia" w:ascii="黑体" w:hAnsi="黑体" w:eastAsia="黑体"/>
          <w:color w:val="000000" w:themeColor="text1"/>
          <w:sz w:val="20"/>
          <w:szCs w:val="20"/>
          <w14:textFill>
            <w14:solidFill>
              <w14:schemeClr w14:val="tx1"/>
            </w14:solidFill>
          </w14:textFill>
        </w:rPr>
        <w:t>．监管</w:t>
      </w:r>
      <w:r>
        <w:rPr>
          <w:rFonts w:ascii="黑体" w:hAnsi="黑体" w:eastAsia="黑体"/>
          <w:color w:val="000000" w:themeColor="text1"/>
          <w:sz w:val="20"/>
          <w:szCs w:val="20"/>
          <w14:textFill>
            <w14:solidFill>
              <w14:schemeClr w14:val="tx1"/>
            </w14:solidFill>
          </w14:textFill>
        </w:rPr>
        <w:t>机构：</w:t>
      </w:r>
      <w:r>
        <w:rPr>
          <w:rFonts w:hint="eastAsia" w:ascii="黑体" w:hAnsi="黑体" w:eastAsia="黑体"/>
          <w:color w:val="000000" w:themeColor="text1"/>
          <w:sz w:val="20"/>
          <w:szCs w:val="20"/>
          <w14:textFill>
            <w14:solidFill>
              <w14:schemeClr w14:val="tx1"/>
            </w14:solidFill>
          </w14:textFill>
        </w:rPr>
        <w:t>指对管理人（包括理财产品管理人、理财</w:t>
      </w:r>
      <w:r>
        <w:rPr>
          <w:rFonts w:ascii="黑体" w:hAnsi="黑体" w:eastAsia="黑体"/>
          <w:color w:val="000000" w:themeColor="text1"/>
          <w:sz w:val="20"/>
          <w:szCs w:val="20"/>
          <w14:textFill>
            <w14:solidFill>
              <w14:schemeClr w14:val="tx1"/>
            </w14:solidFill>
          </w14:textFill>
        </w:rPr>
        <w:t>产品</w:t>
      </w:r>
      <w:r>
        <w:rPr>
          <w:rFonts w:hint="eastAsia" w:ascii="黑体" w:hAnsi="黑体" w:eastAsia="黑体"/>
          <w:color w:val="000000" w:themeColor="text1"/>
          <w:sz w:val="20"/>
          <w:szCs w:val="20"/>
          <w14:textFill>
            <w14:solidFill>
              <w14:schemeClr w14:val="tx1"/>
            </w14:solidFill>
          </w14:textFill>
        </w:rPr>
        <w:t>所投资的资管产品的管理人</w:t>
      </w:r>
      <w:r>
        <w:rPr>
          <w:rFonts w:ascii="黑体" w:hAnsi="黑体" w:eastAsia="黑体"/>
          <w:color w:val="000000" w:themeColor="text1"/>
          <w:sz w:val="20"/>
          <w:szCs w:val="20"/>
          <w14:textFill>
            <w14:solidFill>
              <w14:schemeClr w14:val="tx1"/>
            </w14:solidFill>
          </w14:textFill>
        </w:rPr>
        <w:t>/</w:t>
      </w:r>
      <w:r>
        <w:rPr>
          <w:rFonts w:hint="eastAsia" w:ascii="黑体" w:hAnsi="黑体" w:eastAsia="黑体"/>
          <w:color w:val="000000" w:themeColor="text1"/>
          <w:sz w:val="20"/>
          <w:szCs w:val="20"/>
          <w14:textFill>
            <w14:solidFill>
              <w14:schemeClr w14:val="tx1"/>
            </w14:solidFill>
          </w14:textFill>
        </w:rPr>
        <w:t>受托人、相关投资顾问（如有）等）实施监督管理的机构，包括但不限于中国人民银行、国家金融监督管理总局、中国证券监督管理委员会、外汇管理局、银行业理财登记托管中心等</w:t>
      </w:r>
      <w:r>
        <w:rPr>
          <w:rFonts w:ascii="黑体" w:hAnsi="黑体" w:eastAsia="黑体"/>
          <w:color w:val="000000" w:themeColor="text1"/>
          <w:sz w:val="20"/>
          <w:szCs w:val="20"/>
          <w14:textFill>
            <w14:solidFill>
              <w14:schemeClr w14:val="tx1"/>
            </w14:solidFill>
          </w14:textFill>
        </w:rPr>
        <w:t>。</w:t>
      </w:r>
    </w:p>
    <w:p w14:paraId="1F3C456F">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11</w:t>
      </w:r>
      <w:r>
        <w:rPr>
          <w:rFonts w:hint="eastAsia" w:ascii="黑体" w:hAnsi="黑体" w:eastAsia="黑体"/>
          <w:color w:val="000000" w:themeColor="text1"/>
          <w:sz w:val="20"/>
          <w:szCs w:val="20"/>
          <w14:textFill>
            <w14:solidFill>
              <w14:schemeClr w14:val="tx1"/>
            </w14:solidFill>
          </w14:textFill>
        </w:rPr>
        <w:t>．适用</w:t>
      </w:r>
      <w:r>
        <w:rPr>
          <w:rFonts w:ascii="黑体" w:hAnsi="黑体" w:eastAsia="黑体"/>
          <w:color w:val="000000" w:themeColor="text1"/>
          <w:sz w:val="20"/>
          <w:szCs w:val="20"/>
          <w14:textFill>
            <w14:solidFill>
              <w14:schemeClr w14:val="tx1"/>
            </w14:solidFill>
          </w14:textFill>
        </w:rPr>
        <w:t>法律：</w:t>
      </w:r>
      <w:r>
        <w:rPr>
          <w:rFonts w:hint="eastAsia" w:ascii="黑体" w:hAnsi="黑体" w:eastAsia="黑体"/>
          <w:color w:val="000000" w:themeColor="text1"/>
          <w:sz w:val="20"/>
          <w:szCs w:val="20"/>
          <w14:textFill>
            <w14:solidFill>
              <w14:schemeClr w14:val="tx1"/>
            </w14:solidFill>
          </w14:textFill>
        </w:rPr>
        <w:t>指中国任何立法机构、政府部门、银行间交易商协会、证券交易所、证券登记结算机构、基金业协会依法颁布的，适用于本理财产品相关事宜的法律、行政法规、地方法规、部委规章、地方政府规章、规范性文件、规则、通知、须知、业务指南、指引或操作规程，及其有效的修改、更新或补充。</w:t>
      </w:r>
    </w:p>
    <w:p w14:paraId="6F15ED87">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w:t>
      </w:r>
      <w:r>
        <w:rPr>
          <w:rFonts w:ascii="黑体" w:hAnsi="黑体" w:eastAsia="黑体"/>
          <w:color w:val="000000" w:themeColor="text1"/>
          <w:sz w:val="20"/>
          <w:szCs w:val="20"/>
          <w14:textFill>
            <w14:solidFill>
              <w14:schemeClr w14:val="tx1"/>
            </w14:solidFill>
          </w14:textFill>
        </w:rPr>
        <w:t>2</w:t>
      </w:r>
      <w:r>
        <w:rPr>
          <w:rFonts w:hint="eastAsia" w:ascii="黑体" w:hAnsi="黑体" w:eastAsia="黑体"/>
          <w:color w:val="000000" w:themeColor="text1"/>
          <w:sz w:val="20"/>
          <w:szCs w:val="20"/>
          <w14:textFill>
            <w14:solidFill>
              <w14:schemeClr w14:val="tx1"/>
            </w14:solidFill>
          </w14:textFill>
        </w:rPr>
        <w:t>．不可抗力：指理财</w:t>
      </w:r>
      <w:r>
        <w:rPr>
          <w:rFonts w:ascii="黑体" w:hAnsi="黑体" w:eastAsia="黑体"/>
          <w:color w:val="000000" w:themeColor="text1"/>
          <w:sz w:val="20"/>
          <w:szCs w:val="20"/>
          <w14:textFill>
            <w14:solidFill>
              <w14:schemeClr w14:val="tx1"/>
            </w14:solidFill>
          </w14:textFill>
        </w:rPr>
        <w:t>产品</w:t>
      </w:r>
      <w:r>
        <w:rPr>
          <w:rFonts w:hint="eastAsia" w:ascii="黑体" w:hAnsi="黑体" w:eastAsia="黑体"/>
          <w:color w:val="000000" w:themeColor="text1"/>
          <w:sz w:val="20"/>
          <w:szCs w:val="20"/>
          <w14:textFill>
            <w14:solidFill>
              <w14:schemeClr w14:val="tx1"/>
            </w14:solidFill>
          </w14:textFill>
        </w:rPr>
        <w:t>当事各方不能预见、不能避免且不能克服的客观情况，该事件妨碍、影响或延误任何一方依相关理财产品文件履行其全部或部分义务。该事件包括但不限于：</w:t>
      </w:r>
    </w:p>
    <w:p w14:paraId="75E15322">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1</w:t>
      </w:r>
      <w:r>
        <w:rPr>
          <w:rFonts w:hint="eastAsia" w:ascii="黑体" w:hAnsi="黑体" w:eastAsia="黑体"/>
          <w:color w:val="000000" w:themeColor="text1"/>
          <w:sz w:val="20"/>
          <w:szCs w:val="20"/>
          <w14:textFill>
            <w14:solidFill>
              <w14:schemeClr w14:val="tx1"/>
            </w14:solidFill>
          </w14:textFill>
        </w:rPr>
        <w:t>）地震、台风、海啸、洪水、火灾、停电、瘟疫；</w:t>
      </w:r>
    </w:p>
    <w:p w14:paraId="1C0670AA">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2</w:t>
      </w:r>
      <w:r>
        <w:rPr>
          <w:rFonts w:hint="eastAsia" w:ascii="黑体" w:hAnsi="黑体" w:eastAsia="黑体"/>
          <w:color w:val="000000" w:themeColor="text1"/>
          <w:sz w:val="20"/>
          <w:szCs w:val="20"/>
          <w14:textFill>
            <w14:solidFill>
              <w14:schemeClr w14:val="tx1"/>
            </w14:solidFill>
          </w14:textFill>
        </w:rPr>
        <w:t>）战争、政变、恐怖主义行动、骚乱、罢工；</w:t>
      </w:r>
    </w:p>
    <w:p w14:paraId="30674A54">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3</w:t>
      </w:r>
      <w:r>
        <w:rPr>
          <w:rFonts w:hint="eastAsia" w:ascii="黑体" w:hAnsi="黑体" w:eastAsia="黑体"/>
          <w:color w:val="000000" w:themeColor="text1"/>
          <w:sz w:val="20"/>
          <w:szCs w:val="20"/>
          <w14:textFill>
            <w14:solidFill>
              <w14:schemeClr w14:val="tx1"/>
            </w14:solidFill>
          </w14:textFill>
        </w:rPr>
        <w:t>）新的适用法律或国家政策的颁布或实施、对原适用法律或国家政策的修改；</w:t>
      </w:r>
    </w:p>
    <w:p w14:paraId="693C916F">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4</w:t>
      </w:r>
      <w:r>
        <w:rPr>
          <w:rFonts w:hint="eastAsia" w:ascii="黑体" w:hAnsi="黑体" w:eastAsia="黑体"/>
          <w:color w:val="000000" w:themeColor="text1"/>
          <w:sz w:val="20"/>
          <w:szCs w:val="20"/>
          <w14:textFill>
            <w14:solidFill>
              <w14:schemeClr w14:val="tx1"/>
            </w14:solidFill>
          </w14:textFill>
        </w:rPr>
        <w:t>）金融管理部门强制要求（该等强制要求不可归咎于任何一方）；</w:t>
      </w:r>
      <w:r>
        <w:rPr>
          <w:rFonts w:ascii="黑体" w:hAnsi="黑体" w:eastAsia="黑体"/>
          <w:color w:val="000000" w:themeColor="text1"/>
          <w:sz w:val="20"/>
          <w:szCs w:val="20"/>
          <w14:textFill>
            <w14:solidFill>
              <w14:schemeClr w14:val="tx1"/>
            </w14:solidFill>
          </w14:textFill>
        </w:rPr>
        <w:t xml:space="preserve"> </w:t>
      </w:r>
    </w:p>
    <w:p w14:paraId="4D3B7D1F">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5</w:t>
      </w:r>
      <w:r>
        <w:rPr>
          <w:rFonts w:hint="eastAsia" w:ascii="黑体" w:hAnsi="黑体" w:eastAsia="黑体"/>
          <w:color w:val="000000" w:themeColor="text1"/>
          <w:sz w:val="20"/>
          <w:szCs w:val="20"/>
          <w14:textFill>
            <w14:solidFill>
              <w14:schemeClr w14:val="tx1"/>
            </w14:solidFill>
          </w14:textFill>
        </w:rPr>
        <w:t>）因理财产品各方和</w:t>
      </w:r>
      <w:r>
        <w:rPr>
          <w:rFonts w:ascii="黑体" w:hAnsi="黑体" w:eastAsia="黑体"/>
          <w:color w:val="000000" w:themeColor="text1"/>
          <w:sz w:val="20"/>
          <w:szCs w:val="20"/>
          <w14:textFill>
            <w14:solidFill>
              <w14:schemeClr w14:val="tx1"/>
            </w14:solidFill>
          </w14:textFill>
        </w:rPr>
        <w:t>/</w:t>
      </w:r>
      <w:r>
        <w:rPr>
          <w:rFonts w:hint="eastAsia" w:ascii="黑体" w:hAnsi="黑体" w:eastAsia="黑体"/>
          <w:color w:val="000000" w:themeColor="text1"/>
          <w:sz w:val="20"/>
          <w:szCs w:val="20"/>
          <w14:textFill>
            <w14:solidFill>
              <w14:schemeClr w14:val="tx1"/>
            </w14:solidFill>
          </w14:textFill>
        </w:rPr>
        <w:t>或其关联方运营网络系统遭受黑客攻击、电信部门技术调整或故障等原因而造成的理财产品各方和</w:t>
      </w:r>
      <w:r>
        <w:rPr>
          <w:rFonts w:ascii="黑体" w:hAnsi="黑体" w:eastAsia="黑体"/>
          <w:color w:val="000000" w:themeColor="text1"/>
          <w:sz w:val="20"/>
          <w:szCs w:val="20"/>
          <w14:textFill>
            <w14:solidFill>
              <w14:schemeClr w14:val="tx1"/>
            </w14:solidFill>
          </w14:textFill>
        </w:rPr>
        <w:t>/</w:t>
      </w:r>
      <w:r>
        <w:rPr>
          <w:rFonts w:hint="eastAsia" w:ascii="黑体" w:hAnsi="黑体" w:eastAsia="黑体"/>
          <w:color w:val="000000" w:themeColor="text1"/>
          <w:sz w:val="20"/>
          <w:szCs w:val="20"/>
          <w14:textFill>
            <w14:solidFill>
              <w14:schemeClr w14:val="tx1"/>
            </w14:solidFill>
          </w14:textFill>
        </w:rPr>
        <w:t>或其关联方之服务、营业的中断或者延迟。</w:t>
      </w:r>
    </w:p>
    <w:p w14:paraId="7C6ECF82">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13．摆动定价机制：是指当产品遭遇大额认购或赎回时，通过调整理财产品份额净值的方式，将理财产品调整投资组合的市场冲击成本分配给实际认购、赎回的投资者，从而减少对存量理财产品份额持有人利益的不利影响。</w:t>
      </w:r>
    </w:p>
    <w:p w14:paraId="113A5F9F">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14．流动性受限资产：是指由于法律法规、监管、合同或操作障碍等原因无法以合理价格予以变现的资产，包括到期日在</w:t>
      </w:r>
      <w:r>
        <w:rPr>
          <w:rFonts w:ascii="黑体" w:hAnsi="黑体" w:eastAsia="黑体"/>
          <w:color w:val="000000" w:themeColor="text1"/>
          <w:sz w:val="20"/>
          <w:szCs w:val="20"/>
          <w14:textFill>
            <w14:solidFill>
              <w14:schemeClr w14:val="tx1"/>
            </w14:solidFill>
          </w14:textFill>
        </w:rPr>
        <w:t>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14:paraId="6C2703A9">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w:t>
      </w:r>
      <w:r>
        <w:rPr>
          <w:rFonts w:ascii="黑体" w:hAnsi="黑体" w:eastAsia="黑体"/>
          <w:color w:val="000000" w:themeColor="text1"/>
          <w:sz w:val="20"/>
          <w:szCs w:val="20"/>
          <w14:textFill>
            <w14:solidFill>
              <w14:schemeClr w14:val="tx1"/>
            </w14:solidFill>
          </w14:textFill>
        </w:rPr>
        <w:t>5</w:t>
      </w: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7个工作日可变现资产</w:t>
      </w: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包括可在交易所、银行间市场正常交易的股票、债券、非金融企业债务融资工具、期货及期权合约以及同业存单，7个工作日内到期或可支取的买入返售、银行存款，7个工作日内能够确认收到的各类应收款项等。</w:t>
      </w:r>
    </w:p>
    <w:p w14:paraId="7FB87732">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16</w:t>
      </w:r>
      <w:r>
        <w:rPr>
          <w:rFonts w:hint="eastAsia" w:ascii="黑体" w:hAnsi="黑体" w:eastAsia="黑体"/>
          <w:color w:val="000000" w:themeColor="text1"/>
          <w:sz w:val="20"/>
          <w:szCs w:val="20"/>
          <w14:textFill>
            <w14:solidFill>
              <w14:schemeClr w14:val="tx1"/>
            </w14:solidFill>
          </w14:textFill>
        </w:rPr>
        <w:t>．定期开放周期：</w:t>
      </w:r>
      <w:r>
        <w:rPr>
          <w:rFonts w:ascii="黑体" w:hAnsi="黑体" w:eastAsia="黑体"/>
          <w:color w:val="000000" w:themeColor="text1"/>
          <w:sz w:val="20"/>
          <w:szCs w:val="20"/>
          <w14:textFill>
            <w14:solidFill>
              <w14:schemeClr w14:val="tx1"/>
            </w14:solidFill>
          </w14:textFill>
        </w:rPr>
        <w:t>指定期开放式理财产品</w:t>
      </w:r>
      <w:r>
        <w:rPr>
          <w:rFonts w:hint="eastAsia" w:ascii="黑体" w:hAnsi="黑体" w:eastAsia="黑体"/>
          <w:color w:val="000000" w:themeColor="text1"/>
          <w:sz w:val="20"/>
          <w:szCs w:val="20"/>
          <w14:textFill>
            <w14:solidFill>
              <w14:schemeClr w14:val="tx1"/>
            </w14:solidFill>
          </w14:textFill>
        </w:rPr>
        <w:t>2个</w:t>
      </w:r>
      <w:r>
        <w:rPr>
          <w:rFonts w:ascii="黑体" w:hAnsi="黑体" w:eastAsia="黑体"/>
          <w:color w:val="000000" w:themeColor="text1"/>
          <w:sz w:val="20"/>
          <w:szCs w:val="20"/>
          <w14:textFill>
            <w14:solidFill>
              <w14:schemeClr w14:val="tx1"/>
            </w14:solidFill>
          </w14:textFill>
        </w:rPr>
        <w:t>开放期的最短间隔天数。</w:t>
      </w:r>
    </w:p>
    <w:p w14:paraId="13886490">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17．信银理财电子渠道：指信银理财官方网站（</w:t>
      </w:r>
      <w:r>
        <w:fldChar w:fldCharType="begin"/>
      </w:r>
      <w:r>
        <w:instrText xml:space="preserve"> HYPERLINK "http://www.citic-wealth.com" </w:instrText>
      </w:r>
      <w:r>
        <w:fldChar w:fldCharType="separate"/>
      </w:r>
      <w:r>
        <w:rPr>
          <w:rStyle w:val="11"/>
          <w:rFonts w:ascii="黑体" w:hAnsi="黑体" w:eastAsia="黑体"/>
          <w:sz w:val="20"/>
          <w:szCs w:val="20"/>
        </w:rPr>
        <w:t>http://www.citic-wealth.com</w:t>
      </w:r>
      <w:r>
        <w:rPr>
          <w:rStyle w:val="11"/>
          <w:rFonts w:ascii="黑体" w:hAnsi="黑体" w:eastAsia="黑体"/>
          <w:sz w:val="20"/>
          <w:szCs w:val="20"/>
        </w:rPr>
        <w:fldChar w:fldCharType="end"/>
      </w: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、信银理财APP。</w:t>
      </w:r>
    </w:p>
    <w:p w14:paraId="0AFCCC17">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18．信银理财直销渠道：指信银理财电子渠道及营业场所。</w:t>
      </w:r>
    </w:p>
    <w:p w14:paraId="26AAE534">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19．销售机构：指信银理财及代销机构。</w:t>
      </w:r>
    </w:p>
    <w:p w14:paraId="40A38117">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20．理财产品合同：指本理财产品的《信银理财理财产品说明书》、《信银理财理财产品风险揭示书》和《信银理财理财产品投资协议书》及其不时有效修订与补充。</w:t>
      </w:r>
    </w:p>
    <w:p w14:paraId="53F60759">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21．销售文件：指本理财产品的理财产品合同及《信银理财理财产品销售总协议》（含附件：客户权益须知专页）（或合作销售机构向投资者提供的理财产品销售协议文本）等文件及其不时有效修订与补充。</w:t>
      </w:r>
    </w:p>
    <w:p w14:paraId="5BA56C23">
      <w:pPr>
        <w:snapToGrid w:val="0"/>
        <w:ind w:left="-2" w:leftChars="-1" w:right="53" w:rightChars="22" w:firstLine="400" w:firstLineChars="200"/>
        <w:rPr>
          <w:rFonts w:ascii="黑体" w:hAnsi="Times New Roman" w:eastAsia="黑体"/>
          <w:color w:val="000000" w:themeColor="text1"/>
          <w:sz w:val="20"/>
          <w:szCs w:val="20"/>
          <w14:textFill>
            <w14:solidFill>
              <w14:schemeClr w14:val="tx1"/>
            </w14:solidFill>
          </w14:textFill>
        </w:rPr>
      </w:pPr>
    </w:p>
    <w:p w14:paraId="4050E095">
      <w:pPr>
        <w:snapToGrid w:val="0"/>
        <w:ind w:left="-2" w:leftChars="-1" w:right="53" w:rightChars="22"/>
        <w:rPr>
          <w:rFonts w:ascii="黑体" w:hAnsi="Times New Roman" w:eastAsia="黑体" w:cs="黑体"/>
          <w:b/>
          <w:bCs/>
          <w:color w:val="000000" w:themeColor="text1"/>
          <w:sz w:val="20"/>
          <w:szCs w:val="20"/>
          <w14:textFill>
            <w14:solidFill>
              <w14:schemeClr w14:val="tx1"/>
            </w14:solidFill>
          </w14:textFill>
        </w:rPr>
      </w:pPr>
      <w:r>
        <w:rPr>
          <w:rFonts w:ascii="黑体" w:hAnsi="Times New Roman" w:eastAsia="黑体" w:cs="黑体"/>
          <w:b/>
          <w:bCs/>
          <w:color w:val="000000" w:themeColor="text1"/>
          <w:sz w:val="20"/>
          <w:szCs w:val="20"/>
          <w14:textFill>
            <w14:solidFill>
              <w14:schemeClr w14:val="tx1"/>
            </w14:solidFill>
          </w14:textFill>
        </w:rPr>
        <w:t> </w:t>
      </w:r>
      <w:r>
        <w:rPr>
          <w:rFonts w:hint="eastAsia" w:ascii="黑体" w:hAnsi="Times New Roman" w:eastAsia="黑体" w:cs="黑体"/>
          <w:b/>
          <w:bCs/>
          <w:color w:val="000000" w:themeColor="text1"/>
          <w:sz w:val="20"/>
          <w:szCs w:val="20"/>
          <w14:textFill>
            <w14:solidFill>
              <w14:schemeClr w14:val="tx1"/>
            </w14:solidFill>
          </w14:textFill>
        </w:rPr>
        <w:t>理财产品风险评级及</w:t>
      </w:r>
      <w:r>
        <w:rPr>
          <w:rFonts w:ascii="黑体" w:hAnsi="Times New Roman" w:eastAsia="黑体" w:cs="黑体"/>
          <w:b/>
          <w:bCs/>
          <w:color w:val="000000" w:themeColor="text1"/>
          <w:sz w:val="20"/>
          <w:szCs w:val="20"/>
          <w14:textFill>
            <w14:solidFill>
              <w14:schemeClr w14:val="tx1"/>
            </w14:solidFill>
          </w14:textFill>
        </w:rPr>
        <w:t>与投资者</w:t>
      </w:r>
      <w:r>
        <w:rPr>
          <w:rFonts w:hint="eastAsia" w:ascii="黑体" w:hAnsi="Times New Roman" w:eastAsia="黑体" w:cs="黑体"/>
          <w:b/>
          <w:bCs/>
          <w:color w:val="000000" w:themeColor="text1"/>
          <w:sz w:val="20"/>
          <w:szCs w:val="20"/>
          <w14:textFill>
            <w14:solidFill>
              <w14:schemeClr w14:val="tx1"/>
            </w14:solidFill>
          </w14:textFill>
        </w:rPr>
        <w:t>类型</w:t>
      </w:r>
      <w:r>
        <w:rPr>
          <w:rFonts w:ascii="黑体" w:hAnsi="Times New Roman" w:eastAsia="黑体" w:cs="黑体"/>
          <w:b/>
          <w:bCs/>
          <w:color w:val="000000" w:themeColor="text1"/>
          <w:sz w:val="20"/>
          <w:szCs w:val="20"/>
          <w14:textFill>
            <w14:solidFill>
              <w14:schemeClr w14:val="tx1"/>
            </w14:solidFill>
          </w14:textFill>
        </w:rPr>
        <w:t>对应关系</w:t>
      </w:r>
      <w:r>
        <w:rPr>
          <w:rFonts w:hint="eastAsia" w:ascii="黑体" w:hAnsi="Times New Roman" w:eastAsia="黑体" w:cs="黑体"/>
          <w:b/>
          <w:bCs/>
          <w:color w:val="000000" w:themeColor="text1"/>
          <w:sz w:val="20"/>
          <w:szCs w:val="20"/>
          <w14:textFill>
            <w14:solidFill>
              <w14:schemeClr w14:val="tx1"/>
            </w14:solidFill>
          </w14:textFill>
        </w:rPr>
        <w:t>：</w:t>
      </w:r>
    </w:p>
    <w:p w14:paraId="224B0D63">
      <w:pPr>
        <w:snapToGrid w:val="0"/>
        <w:ind w:left="-2" w:leftChars="-1" w:right="53" w:rightChars="22"/>
        <w:rPr>
          <w:rFonts w:ascii="黑体" w:hAnsi="Times New Roman" w:eastAsia="黑体" w:cs="黑体"/>
          <w:b/>
          <w:bCs/>
          <w:color w:val="000000" w:themeColor="text1"/>
          <w:sz w:val="20"/>
          <w:szCs w:val="20"/>
          <w14:textFill>
            <w14:solidFill>
              <w14:schemeClr w14:val="tx1"/>
            </w14:solidFill>
          </w14:textFill>
        </w:rPr>
      </w:pP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2"/>
        <w:gridCol w:w="2554"/>
        <w:gridCol w:w="3412"/>
      </w:tblGrid>
      <w:tr w14:paraId="38A93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32FDC08B">
            <w:pPr>
              <w:adjustRightInd w:val="0"/>
              <w:jc w:val="center"/>
              <w:textAlignment w:val="baseline"/>
              <w:outlineLvl w:val="0"/>
              <w:rPr>
                <w:rFonts w:ascii="楷体" w:hAnsi="楷体" w:eastAsia="楷体" w:cs="楷体"/>
                <w:b/>
                <w:color w:val="000000"/>
              </w:rPr>
            </w:pPr>
            <w:r>
              <w:rPr>
                <w:rFonts w:hint="eastAsia" w:ascii="楷体" w:hAnsi="楷体" w:eastAsia="楷体" w:cs="楷体"/>
                <w:b/>
                <w:color w:val="000000"/>
              </w:rPr>
              <w:t>产品</w:t>
            </w:r>
            <w:r>
              <w:rPr>
                <w:rFonts w:ascii="楷体" w:hAnsi="楷体" w:eastAsia="楷体" w:cs="楷体"/>
                <w:b/>
                <w:color w:val="000000"/>
              </w:rPr>
              <w:t>风险评级</w:t>
            </w:r>
          </w:p>
        </w:tc>
        <w:tc>
          <w:tcPr>
            <w:tcW w:w="2710" w:type="dxa"/>
            <w:vAlign w:val="center"/>
          </w:tcPr>
          <w:p w14:paraId="26CB86A9">
            <w:pPr>
              <w:adjustRightInd w:val="0"/>
              <w:jc w:val="center"/>
              <w:textAlignment w:val="baseline"/>
              <w:outlineLvl w:val="0"/>
              <w:rPr>
                <w:rFonts w:ascii="楷体" w:hAnsi="楷体" w:eastAsia="楷体" w:cs="楷体"/>
                <w:b/>
                <w:color w:val="000000"/>
              </w:rPr>
            </w:pPr>
            <w:r>
              <w:rPr>
                <w:rFonts w:ascii="楷体" w:hAnsi="楷体" w:eastAsia="楷体" w:cs="楷体"/>
                <w:b/>
                <w:color w:val="000000"/>
              </w:rPr>
              <w:t>风险程度</w:t>
            </w:r>
          </w:p>
        </w:tc>
        <w:tc>
          <w:tcPr>
            <w:tcW w:w="3619" w:type="dxa"/>
            <w:vAlign w:val="center"/>
          </w:tcPr>
          <w:p w14:paraId="218A1567">
            <w:pPr>
              <w:adjustRightInd w:val="0"/>
              <w:jc w:val="center"/>
              <w:textAlignment w:val="baseline"/>
              <w:outlineLvl w:val="0"/>
              <w:rPr>
                <w:rFonts w:ascii="楷体" w:hAnsi="楷体" w:eastAsia="楷体" w:cs="楷体"/>
                <w:b/>
                <w:color w:val="000000"/>
              </w:rPr>
            </w:pPr>
            <w:r>
              <w:rPr>
                <w:rFonts w:hint="eastAsia" w:ascii="楷体" w:hAnsi="楷体" w:eastAsia="楷体" w:cs="楷体"/>
                <w:b/>
                <w:color w:val="000000"/>
                <w:kern w:val="2"/>
              </w:rPr>
              <w:t>适合投资者类型</w:t>
            </w:r>
          </w:p>
        </w:tc>
      </w:tr>
      <w:tr w14:paraId="1CEC9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4A1FC3F0">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PR1级</w:t>
            </w:r>
          </w:p>
        </w:tc>
        <w:tc>
          <w:tcPr>
            <w:tcW w:w="2710" w:type="dxa"/>
            <w:vAlign w:val="center"/>
          </w:tcPr>
          <w:p w14:paraId="151556EE">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低</w:t>
            </w:r>
          </w:p>
        </w:tc>
        <w:tc>
          <w:tcPr>
            <w:tcW w:w="3619" w:type="dxa"/>
            <w:vAlign w:val="center"/>
          </w:tcPr>
          <w:p w14:paraId="4215F3DB">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kern w:val="2"/>
                <w:sz w:val="21"/>
                <w:szCs w:val="21"/>
              </w:rPr>
              <w:t>谨慎型、稳健型、平衡型、进取型、激进型</w:t>
            </w:r>
          </w:p>
        </w:tc>
      </w:tr>
      <w:tr w14:paraId="725FF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580337BD">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PR2级</w:t>
            </w:r>
          </w:p>
        </w:tc>
        <w:tc>
          <w:tcPr>
            <w:tcW w:w="2710" w:type="dxa"/>
            <w:vAlign w:val="center"/>
          </w:tcPr>
          <w:p w14:paraId="16E94548">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中低</w:t>
            </w:r>
          </w:p>
        </w:tc>
        <w:tc>
          <w:tcPr>
            <w:tcW w:w="3619" w:type="dxa"/>
            <w:vAlign w:val="center"/>
          </w:tcPr>
          <w:p w14:paraId="61D6FA71">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kern w:val="2"/>
                <w:sz w:val="21"/>
                <w:szCs w:val="21"/>
              </w:rPr>
              <w:t>稳健型、平衡型、进取型、激进型</w:t>
            </w:r>
          </w:p>
        </w:tc>
      </w:tr>
      <w:tr w14:paraId="6D0E6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16823A2D">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PR3级</w:t>
            </w:r>
          </w:p>
        </w:tc>
        <w:tc>
          <w:tcPr>
            <w:tcW w:w="2710" w:type="dxa"/>
            <w:vAlign w:val="center"/>
          </w:tcPr>
          <w:p w14:paraId="238FFE2F">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中等</w:t>
            </w:r>
          </w:p>
        </w:tc>
        <w:tc>
          <w:tcPr>
            <w:tcW w:w="3619" w:type="dxa"/>
            <w:vAlign w:val="center"/>
          </w:tcPr>
          <w:p w14:paraId="545D1C56">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kern w:val="2"/>
                <w:sz w:val="21"/>
                <w:szCs w:val="21"/>
              </w:rPr>
              <w:t>平衡型、进取型、激进型</w:t>
            </w:r>
          </w:p>
        </w:tc>
      </w:tr>
      <w:tr w14:paraId="72E25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6FC75FC8">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PR4级</w:t>
            </w:r>
          </w:p>
        </w:tc>
        <w:tc>
          <w:tcPr>
            <w:tcW w:w="2710" w:type="dxa"/>
            <w:vAlign w:val="center"/>
          </w:tcPr>
          <w:p w14:paraId="71000AFD">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中高</w:t>
            </w:r>
          </w:p>
        </w:tc>
        <w:tc>
          <w:tcPr>
            <w:tcW w:w="3619" w:type="dxa"/>
            <w:vAlign w:val="center"/>
          </w:tcPr>
          <w:p w14:paraId="360CB3FE">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kern w:val="2"/>
                <w:sz w:val="21"/>
                <w:szCs w:val="21"/>
              </w:rPr>
              <w:t>进取型、激进型</w:t>
            </w:r>
          </w:p>
        </w:tc>
      </w:tr>
      <w:tr w14:paraId="5CD33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2CE83BDA">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PR5级</w:t>
            </w:r>
          </w:p>
        </w:tc>
        <w:tc>
          <w:tcPr>
            <w:tcW w:w="2710" w:type="dxa"/>
            <w:vAlign w:val="center"/>
          </w:tcPr>
          <w:p w14:paraId="782F679E">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高</w:t>
            </w:r>
          </w:p>
        </w:tc>
        <w:tc>
          <w:tcPr>
            <w:tcW w:w="3619" w:type="dxa"/>
            <w:vAlign w:val="center"/>
          </w:tcPr>
          <w:p w14:paraId="3D95B0F4">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kern w:val="2"/>
                <w:sz w:val="21"/>
                <w:szCs w:val="21"/>
              </w:rPr>
              <w:t>激进型</w:t>
            </w:r>
          </w:p>
        </w:tc>
      </w:tr>
    </w:tbl>
    <w:p w14:paraId="257DD839">
      <w:pPr>
        <w:snapToGrid w:val="0"/>
        <w:ind w:left="-2" w:leftChars="-1" w:right="53" w:rightChars="22" w:firstLine="422"/>
        <w:jc w:val="both"/>
        <w:rPr>
          <w:color w:val="000000" w:themeColor="text1"/>
          <w14:textFill>
            <w14:solidFill>
              <w14:schemeClr w14:val="tx1"/>
            </w14:solidFill>
          </w14:textFill>
        </w:rPr>
      </w:pPr>
    </w:p>
    <w:p w14:paraId="3EDB6492">
      <w:pPr>
        <w:snapToGrid w:val="0"/>
        <w:ind w:left="433" w:right="53" w:rightChars="22" w:hanging="435"/>
        <w:outlineLvl w:val="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一、</w:t>
      </w:r>
      <w:r>
        <w:rPr>
          <w:rFonts w:ascii="Times New Roman" w:hAnsi="Times New Roman" w:eastAsia="黑体"/>
          <w:color w:val="000000" w:themeColor="text1"/>
          <w:sz w:val="14"/>
          <w:szCs w:val="14"/>
          <w14:textFill>
            <w14:solidFill>
              <w14:schemeClr w14:val="tx1"/>
            </w14:solidFill>
          </w14:textFill>
        </w:rPr>
        <w:t xml:space="preserve"> </w:t>
      </w:r>
      <w:r>
        <w:rPr>
          <w:rFonts w:hint="eastAsia" w:ascii="黑体" w:hAnsi="Times New Roman" w:eastAsia="黑体" w:cs="黑体"/>
          <w:color w:val="000000" w:themeColor="text1"/>
          <w:sz w:val="20"/>
          <w:szCs w:val="20"/>
          <w14:textFill>
            <w14:solidFill>
              <w14:schemeClr w14:val="tx1"/>
            </w14:solidFill>
          </w14:textFill>
        </w:rPr>
        <w:t>产品投资范围</w:t>
      </w:r>
    </w:p>
    <w:p w14:paraId="4F68DED9">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1．产品</w:t>
      </w:r>
      <w:r>
        <w:rPr>
          <w:rFonts w:ascii="楷体_GB2312" w:eastAsia="楷体_GB2312"/>
          <w:color w:val="000000" w:themeColor="text1"/>
          <w:sz w:val="20"/>
          <w:szCs w:val="20"/>
          <w14:textFill>
            <w14:solidFill>
              <w14:schemeClr w14:val="tx1"/>
            </w14:solidFill>
          </w14:textFill>
        </w:rPr>
        <w:t>投资策略：</w:t>
      </w:r>
    </w:p>
    <w:p w14:paraId="2BDA1088">
      <w:pPr>
        <w:spacing w:line="300" w:lineRule="exact"/>
        <w:ind w:firstLine="400"/>
        <w:jc w:val="both"/>
        <w:rPr>
          <w:rFonts w:ascii="楷体_GB2312" w:eastAsia="楷体_GB2312"/>
          <w:color w:val="000000" w:themeColor="text1"/>
          <w:sz w:val="20"/>
          <w:szCs w:val="20"/>
          <w14:textFill>
            <w14:solidFill>
              <w14:schemeClr w14:val="tx1"/>
            </w14:solidFill>
          </w14:textFill>
        </w:rPr>
      </w:pPr>
      <w:r>
        <w:rPr>
          <w:rFonts w:hint="eastAsia" w:ascii="楷体_GB2312" w:hAnsi="楷体_GB2312" w:eastAsia="楷体_GB2312"/>
          <w:color w:val="000000" w:themeColor="text1"/>
          <w:sz w:val="20"/>
          <w:szCs w:val="20"/>
          <w14:textFill>
            <w14:solidFill>
              <w14:schemeClr w14:val="tx1"/>
            </w14:solidFill>
          </w14:textFill>
        </w:rPr>
        <w:t>本产品通过综合分析经济形势、货币政策、利率走势、行业状况、信用风险等因素，自上而下判断宏观趋势和利率趋势，并自下而上结合内部信用评级制度，分析企业的市场地位、管理水平、发展趋势和财务状况等，作为产品投资的重要依据，以获取长期稳定的收益，本产品不投资衍生品。</w:t>
      </w:r>
    </w:p>
    <w:p w14:paraId="3EAE1212">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2</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本理财产品存续期间，投资于以下投资对象：</w:t>
      </w:r>
    </w:p>
    <w:p w14:paraId="0C4DD0FC">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（1）债权类资产</w:t>
      </w:r>
    </w:p>
    <w:p w14:paraId="1176DEF8">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a</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货币市场类：现金</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存款、大额</w:t>
      </w:r>
      <w:r>
        <w:rPr>
          <w:rFonts w:ascii="楷体_GB2312" w:eastAsia="楷体_GB2312"/>
          <w:color w:val="000000" w:themeColor="text1"/>
          <w:sz w:val="20"/>
          <w:szCs w:val="20"/>
          <w14:textFill>
            <w14:solidFill>
              <w14:schemeClr w14:val="tx1"/>
            </w14:solidFill>
          </w14:textFill>
        </w:rPr>
        <w:t>存单、同业存单、</w:t>
      </w:r>
      <w:r>
        <w:rPr>
          <w:rFonts w:hint="eastAsia" w:ascii="楷体_GB2312" w:eastAsia="楷体_GB2312"/>
          <w:color w:val="000000" w:themeColor="text1"/>
          <w:sz w:val="20"/>
          <w:szCs w:val="20"/>
          <w14:textFill>
            <w14:solidFill>
              <w14:schemeClr w14:val="tx1"/>
            </w14:solidFill>
          </w14:textFill>
        </w:rPr>
        <w:t>货币基金、质押式回购和其他货币市场类资产；</w:t>
      </w:r>
    </w:p>
    <w:p w14:paraId="1B718801">
      <w:pPr>
        <w:spacing w:line="300" w:lineRule="exact"/>
        <w:ind w:firstLine="422"/>
        <w:jc w:val="both"/>
        <w:rPr>
          <w:rFonts w:ascii="Times New Roman" w:hAnsi="Times New Roman"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b.固定收益类：国债</w:t>
      </w:r>
      <w:r>
        <w:rPr>
          <w:rFonts w:ascii="楷体_GB2312" w:eastAsia="楷体_GB2312"/>
          <w:color w:val="000000" w:themeColor="text1"/>
          <w:sz w:val="20"/>
          <w:szCs w:val="20"/>
          <w14:textFill>
            <w14:solidFill>
              <w14:schemeClr w14:val="tx1"/>
            </w14:solidFill>
          </w14:textFill>
        </w:rPr>
        <w:t>、地方政府债券、中央银行票据、政府机构债券、金融债券、公司信用类债券、在银行间市场和证券交易所市场发行的</w:t>
      </w:r>
      <w:r>
        <w:rPr>
          <w:rFonts w:hint="eastAsia" w:ascii="楷体_GB2312" w:eastAsia="楷体_GB2312"/>
          <w:color w:val="000000" w:themeColor="text1"/>
          <w:sz w:val="20"/>
          <w:szCs w:val="20"/>
          <w14:textFill>
            <w14:solidFill>
              <w14:schemeClr w14:val="tx1"/>
            </w14:solidFill>
          </w14:textFill>
        </w:rPr>
        <w:t>资产支持证券、非公开定向债务融资工具、债券型</w:t>
      </w:r>
      <w:r>
        <w:rPr>
          <w:rFonts w:ascii="楷体_GB2312" w:eastAsia="楷体_GB2312"/>
          <w:color w:val="000000" w:themeColor="text1"/>
          <w:sz w:val="20"/>
          <w:szCs w:val="20"/>
          <w14:textFill>
            <w14:solidFill>
              <w14:schemeClr w14:val="tx1"/>
            </w14:solidFill>
          </w14:textFill>
        </w:rPr>
        <w:t>证券投资</w:t>
      </w:r>
      <w:r>
        <w:rPr>
          <w:rFonts w:hint="eastAsia" w:ascii="楷体_GB2312" w:eastAsia="楷体_GB2312"/>
          <w:color w:val="000000" w:themeColor="text1"/>
          <w:sz w:val="20"/>
          <w:szCs w:val="20"/>
          <w14:textFill>
            <w14:solidFill>
              <w14:schemeClr w14:val="tx1"/>
            </w14:solidFill>
          </w14:textFill>
        </w:rPr>
        <w:t>基金、</w:t>
      </w:r>
      <w:r>
        <w:rPr>
          <w:rFonts w:ascii="楷体_GB2312" w:eastAsia="楷体_GB2312"/>
          <w:color w:val="000000" w:themeColor="text1"/>
          <w:sz w:val="20"/>
          <w:szCs w:val="20"/>
          <w14:textFill>
            <w14:solidFill>
              <w14:schemeClr w14:val="tx1"/>
            </w14:solidFill>
          </w14:textFill>
        </w:rPr>
        <w:t>非标准化债权类资产</w:t>
      </w:r>
      <w:r>
        <w:rPr>
          <w:rFonts w:hint="eastAsia" w:ascii="楷体_GB2312" w:eastAsia="楷体_GB2312"/>
          <w:color w:val="000000" w:themeColor="text1"/>
          <w:sz w:val="20"/>
          <w:szCs w:val="20"/>
          <w14:textFill>
            <w14:solidFill>
              <w14:schemeClr w14:val="tx1"/>
            </w14:solidFill>
          </w14:textFill>
        </w:rPr>
        <w:t>和其他固定收益类资产；</w:t>
      </w:r>
    </w:p>
    <w:p w14:paraId="154243E2">
      <w:pPr>
        <w:spacing w:line="300" w:lineRule="exact"/>
        <w:ind w:firstLine="422"/>
        <w:jc w:val="both"/>
        <w:rPr>
          <w:rFonts w:ascii="Times New Roman" w:hAnsi="Times New Roman"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（2）</w:t>
      </w:r>
      <w:r>
        <w:rPr>
          <w:rFonts w:hint="eastAsia" w:ascii="Times New Roman" w:hAnsi="Times New Roman" w:eastAsia="楷体_GB2312"/>
          <w:color w:val="000000" w:themeColor="text1"/>
          <w:sz w:val="20"/>
          <w:szCs w:val="20"/>
          <w14:textFill>
            <w14:solidFill>
              <w14:schemeClr w14:val="tx1"/>
            </w14:solidFill>
          </w14:textFill>
        </w:rPr>
        <w:t>权益</w:t>
      </w:r>
      <w:r>
        <w:rPr>
          <w:rFonts w:ascii="Times New Roman" w:hAnsi="Times New Roman" w:eastAsia="楷体_GB2312"/>
          <w:color w:val="000000" w:themeColor="text1"/>
          <w:sz w:val="20"/>
          <w:szCs w:val="20"/>
          <w14:textFill>
            <w14:solidFill>
              <w14:schemeClr w14:val="tx1"/>
            </w14:solidFill>
          </w14:textFill>
        </w:rPr>
        <w:t>类</w:t>
      </w:r>
      <w:r>
        <w:rPr>
          <w:rFonts w:hint="eastAsia" w:ascii="Times New Roman" w:hAnsi="Times New Roman" w:eastAsia="楷体_GB2312"/>
          <w:color w:val="000000" w:themeColor="text1"/>
          <w:sz w:val="20"/>
          <w:szCs w:val="20"/>
          <w14:textFill>
            <w14:solidFill>
              <w14:schemeClr w14:val="tx1"/>
            </w14:solidFill>
          </w14:textFill>
        </w:rPr>
        <w:t>资产</w:t>
      </w:r>
      <w:r>
        <w:rPr>
          <w:rFonts w:ascii="Times New Roman" w:hAnsi="Times New Roman" w:eastAsia="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上市</w:t>
      </w:r>
      <w:r>
        <w:rPr>
          <w:rFonts w:ascii="楷体_GB2312" w:eastAsia="楷体_GB2312" w:cs="楷体_GB2312"/>
          <w:color w:val="000000" w:themeColor="text1"/>
          <w:sz w:val="20"/>
          <w:szCs w:val="20"/>
          <w14:textFill>
            <w14:solidFill>
              <w14:schemeClr w14:val="tx1"/>
            </w14:solidFill>
          </w14:textFill>
        </w:rPr>
        <w:t>交易</w:t>
      </w:r>
      <w:r>
        <w:rPr>
          <w:rFonts w:hint="eastAsia" w:ascii="楷体_GB2312" w:eastAsia="楷体_GB2312" w:cs="楷体_GB2312"/>
          <w:color w:val="000000" w:themeColor="text1"/>
          <w:sz w:val="20"/>
          <w:szCs w:val="20"/>
          <w14:textFill>
            <w14:solidFill>
              <w14:schemeClr w14:val="tx1"/>
            </w14:solidFill>
          </w14:textFill>
        </w:rPr>
        <w:t>的</w:t>
      </w:r>
      <w:r>
        <w:rPr>
          <w:rFonts w:ascii="楷体_GB2312" w:eastAsia="楷体_GB2312" w:cs="楷体_GB2312"/>
          <w:color w:val="000000" w:themeColor="text1"/>
          <w:sz w:val="20"/>
          <w:szCs w:val="20"/>
          <w14:textFill>
            <w14:solidFill>
              <w14:schemeClr w14:val="tx1"/>
            </w14:solidFill>
          </w14:textFill>
        </w:rPr>
        <w:t>股票以及法律法规允许或监管部门批准的其他具备权益特征的资产和资产组合</w:t>
      </w:r>
      <w:r>
        <w:rPr>
          <w:rFonts w:ascii="Times New Roman" w:hAnsi="Times New Roman" w:eastAsia="楷体_GB2312"/>
          <w:color w:val="000000" w:themeColor="text1"/>
          <w:sz w:val="20"/>
          <w:szCs w:val="20"/>
          <w14:textFill>
            <w14:solidFill>
              <w14:schemeClr w14:val="tx1"/>
            </w14:solidFill>
          </w14:textFill>
        </w:rPr>
        <w:t>。</w:t>
      </w:r>
    </w:p>
    <w:p w14:paraId="4C0A09EA">
      <w:pPr>
        <w:spacing w:line="300" w:lineRule="exact"/>
        <w:ind w:firstLine="422"/>
        <w:jc w:val="both"/>
        <w:rPr>
          <w:rFonts w:ascii="Times New Roman" w:hAnsi="Times New Roman"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（3）</w:t>
      </w:r>
      <w:r>
        <w:rPr>
          <w:rFonts w:hint="eastAsia" w:ascii="Times New Roman" w:hAnsi="Times New Roman" w:eastAsia="楷体_GB2312"/>
          <w:color w:val="000000" w:themeColor="text1"/>
          <w:sz w:val="20"/>
          <w:szCs w:val="20"/>
          <w14:textFill>
            <w14:solidFill>
              <w14:schemeClr w14:val="tx1"/>
            </w14:solidFill>
          </w14:textFill>
        </w:rPr>
        <w:t>商品</w:t>
      </w:r>
      <w:r>
        <w:rPr>
          <w:rFonts w:ascii="Times New Roman" w:hAnsi="Times New Roman" w:eastAsia="楷体_GB2312"/>
          <w:color w:val="000000" w:themeColor="text1"/>
          <w:sz w:val="20"/>
          <w:szCs w:val="20"/>
          <w14:textFill>
            <w14:solidFill>
              <w14:schemeClr w14:val="tx1"/>
            </w14:solidFill>
          </w14:textFill>
        </w:rPr>
        <w:t>及</w:t>
      </w:r>
      <w:r>
        <w:rPr>
          <w:rFonts w:hint="eastAsia" w:ascii="Times New Roman" w:hAnsi="Times New Roman" w:eastAsia="楷体_GB2312"/>
          <w:color w:val="000000" w:themeColor="text1"/>
          <w:sz w:val="20"/>
          <w:szCs w:val="20"/>
          <w14:textFill>
            <w14:solidFill>
              <w14:schemeClr w14:val="tx1"/>
            </w14:solidFill>
          </w14:textFill>
        </w:rPr>
        <w:t>金融</w:t>
      </w:r>
      <w:r>
        <w:rPr>
          <w:rFonts w:ascii="Times New Roman" w:hAnsi="Times New Roman" w:eastAsia="楷体_GB2312"/>
          <w:color w:val="000000" w:themeColor="text1"/>
          <w:sz w:val="20"/>
          <w:szCs w:val="20"/>
          <w14:textFill>
            <w14:solidFill>
              <w14:schemeClr w14:val="tx1"/>
            </w14:solidFill>
          </w14:textFill>
        </w:rPr>
        <w:t>衍生品类资产：</w:t>
      </w:r>
      <w:r>
        <w:rPr>
          <w:rFonts w:hint="eastAsia" w:ascii="Times New Roman" w:hAnsi="Times New Roman" w:eastAsia="楷体_GB2312"/>
          <w:color w:val="000000" w:themeColor="text1"/>
          <w:sz w:val="20"/>
          <w:szCs w:val="20"/>
          <w14:textFill>
            <w14:solidFill>
              <w14:schemeClr w14:val="tx1"/>
            </w14:solidFill>
          </w14:textFill>
        </w:rPr>
        <w:t>商品现货，互换</w:t>
      </w:r>
      <w:r>
        <w:rPr>
          <w:rFonts w:ascii="Times New Roman" w:hAnsi="Times New Roman" w:eastAsia="楷体_GB2312"/>
          <w:color w:val="000000" w:themeColor="text1"/>
          <w:sz w:val="20"/>
          <w:szCs w:val="20"/>
          <w14:textFill>
            <w14:solidFill>
              <w14:schemeClr w14:val="tx1"/>
            </w14:solidFill>
          </w14:textFill>
        </w:rPr>
        <w:t>、</w:t>
      </w:r>
      <w:r>
        <w:rPr>
          <w:rFonts w:hint="eastAsia" w:ascii="Times New Roman" w:hAnsi="Times New Roman" w:eastAsia="楷体_GB2312"/>
          <w:color w:val="000000" w:themeColor="text1"/>
          <w:sz w:val="20"/>
          <w:szCs w:val="20"/>
          <w14:textFill>
            <w14:solidFill>
              <w14:schemeClr w14:val="tx1"/>
            </w14:solidFill>
          </w14:textFill>
        </w:rPr>
        <w:t>远期、掉期、期货、期权、信用风险缓释工具等衍生工具及其他资产或者资产组合（管理人将通过其他资产管理产品以及其他符合法律法规的投资渠道和方式实现对商品及金融衍生品类资产的投资）。</w:t>
      </w:r>
    </w:p>
    <w:p w14:paraId="7FD46D37">
      <w:pPr>
        <w:spacing w:line="300" w:lineRule="exact"/>
        <w:ind w:firstLine="400" w:firstLineChars="200"/>
        <w:jc w:val="both"/>
        <w:rPr>
          <w:rFonts w:ascii="Times New Roman" w:hAnsi="Times New Roman"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3．</w:t>
      </w:r>
      <w:r>
        <w:rPr>
          <w:rFonts w:hint="eastAsia" w:ascii="Times New Roman" w:hAnsi="Times New Roman" w:eastAsia="楷体_GB2312"/>
          <w:color w:val="000000" w:themeColor="text1"/>
          <w:sz w:val="20"/>
          <w:szCs w:val="20"/>
          <w14:textFill>
            <w14:solidFill>
              <w14:schemeClr w14:val="tx1"/>
            </w14:solidFill>
          </w14:textFill>
        </w:rPr>
        <w:t>各</w:t>
      </w:r>
      <w:r>
        <w:rPr>
          <w:rFonts w:ascii="Times New Roman" w:hAnsi="Times New Roman" w:eastAsia="楷体_GB2312"/>
          <w:color w:val="000000" w:themeColor="text1"/>
          <w:sz w:val="20"/>
          <w:szCs w:val="20"/>
          <w14:textFill>
            <w14:solidFill>
              <w14:schemeClr w14:val="tx1"/>
            </w14:solidFill>
          </w14:textFill>
        </w:rPr>
        <w:t>投资对象投资比例为：</w:t>
      </w:r>
    </w:p>
    <w:tbl>
      <w:tblPr>
        <w:tblStyle w:val="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13"/>
        <w:gridCol w:w="3815"/>
      </w:tblGrid>
      <w:tr w14:paraId="3D7854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7DC3E7E9">
            <w:pPr>
              <w:ind w:right="29" w:rightChars="12"/>
              <w:jc w:val="center"/>
              <w:rPr>
                <w:rFonts w:ascii="楷体" w:hAnsi="楷体" w:eastAsia="楷体"/>
                <w:b/>
                <w:bCs/>
                <w:color w:val="000000" w:themeColor="text1"/>
                <w:sz w:val="20"/>
                <w:szCs w:val="20"/>
                <w14:textFill>
                  <w14:solidFill>
                    <w14:schemeClr w14:val="tx1"/>
                  </w14:solidFill>
                </w14:textFill>
              </w:rPr>
            </w:pPr>
            <w:r>
              <w:rPr>
                <w:rFonts w:hint="eastAsia" w:ascii="楷体" w:hAnsi="楷体" w:eastAsia="楷体"/>
                <w:b/>
                <w:bCs/>
                <w:color w:val="000000" w:themeColor="text1"/>
                <w:sz w:val="20"/>
                <w:szCs w:val="20"/>
                <w14:textFill>
                  <w14:solidFill>
                    <w14:schemeClr w14:val="tx1"/>
                  </w14:solidFill>
                </w14:textFill>
              </w:rPr>
              <w:t>资产种类</w:t>
            </w:r>
          </w:p>
        </w:tc>
        <w:tc>
          <w:tcPr>
            <w:tcW w:w="2237" w:type="pct"/>
            <w:vAlign w:val="center"/>
          </w:tcPr>
          <w:p w14:paraId="0F74556D">
            <w:pPr>
              <w:ind w:right="29" w:rightChars="12"/>
              <w:jc w:val="center"/>
              <w:rPr>
                <w:rFonts w:ascii="楷体" w:hAnsi="楷体" w:eastAsia="楷体"/>
                <w:b/>
                <w:bCs/>
                <w:color w:val="000000" w:themeColor="text1"/>
                <w:sz w:val="20"/>
                <w:szCs w:val="20"/>
                <w14:textFill>
                  <w14:solidFill>
                    <w14:schemeClr w14:val="tx1"/>
                  </w14:solidFill>
                </w14:textFill>
              </w:rPr>
            </w:pPr>
            <w:r>
              <w:rPr>
                <w:rFonts w:hint="eastAsia" w:ascii="楷体" w:hAnsi="楷体" w:eastAsia="楷体"/>
                <w:b/>
                <w:bCs/>
                <w:color w:val="000000" w:themeColor="text1"/>
                <w:sz w:val="20"/>
                <w:szCs w:val="20"/>
                <w14:textFill>
                  <w14:solidFill>
                    <w14:schemeClr w14:val="tx1"/>
                  </w14:solidFill>
                </w14:textFill>
              </w:rPr>
              <w:t>投资比例</w:t>
            </w:r>
          </w:p>
        </w:tc>
      </w:tr>
      <w:tr w14:paraId="4CA5A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6DE2186A">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债权类资产</w:t>
            </w:r>
          </w:p>
        </w:tc>
        <w:tc>
          <w:tcPr>
            <w:tcW w:w="2237" w:type="pct"/>
            <w:vAlign w:val="center"/>
          </w:tcPr>
          <w:p w14:paraId="6ABB5EFD">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w:t>
            </w:r>
            <w:r>
              <w:rPr>
                <w:rFonts w:ascii="楷体" w:hAnsi="楷体" w:eastAsia="楷体"/>
                <w:color w:val="000000" w:themeColor="text1"/>
                <w:sz w:val="20"/>
                <w:szCs w:val="20"/>
                <w14:textFill>
                  <w14:solidFill>
                    <w14:schemeClr w14:val="tx1"/>
                  </w14:solidFill>
                </w14:textFill>
              </w:rPr>
              <w:t>100%</w:t>
            </w:r>
            <w:r>
              <w:rPr>
                <w:rFonts w:hint="eastAsia" w:ascii="楷体" w:hAnsi="楷体" w:eastAsia="楷体"/>
                <w:color w:val="000000" w:themeColor="text1"/>
                <w:sz w:val="20"/>
                <w:szCs w:val="20"/>
                <w14:textFill>
                  <w14:solidFill>
                    <w14:schemeClr w14:val="tx1"/>
                  </w14:solidFill>
                </w14:textFill>
              </w:rPr>
              <w:t>】</w:t>
            </w:r>
          </w:p>
        </w:tc>
      </w:tr>
      <w:tr w14:paraId="575BC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59F46E96">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其中</w:t>
            </w:r>
            <w:r>
              <w:rPr>
                <w:rFonts w:ascii="楷体" w:hAnsi="楷体" w:eastAsia="楷体"/>
                <w:color w:val="000000" w:themeColor="text1"/>
                <w:sz w:val="20"/>
                <w:szCs w:val="20"/>
                <w14:textFill>
                  <w14:solidFill>
                    <w14:schemeClr w14:val="tx1"/>
                  </w14:solidFill>
                </w14:textFill>
              </w:rPr>
              <w:t>，非标准化债权类资产</w:t>
            </w:r>
          </w:p>
        </w:tc>
        <w:tc>
          <w:tcPr>
            <w:tcW w:w="2237" w:type="pct"/>
            <w:vAlign w:val="center"/>
          </w:tcPr>
          <w:p w14:paraId="075FC5B4">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【0%</w:t>
            </w:r>
            <w:r>
              <w:rPr>
                <w:rFonts w:ascii="楷体" w:hAnsi="楷体" w:eastAsia="楷体"/>
                <w:color w:val="000000" w:themeColor="text1"/>
                <w:sz w:val="20"/>
                <w:szCs w:val="20"/>
                <w14:textFill>
                  <w14:solidFill>
                    <w14:schemeClr w14:val="tx1"/>
                  </w14:solidFill>
                </w14:textFill>
              </w:rPr>
              <w:t>】</w:t>
            </w:r>
          </w:p>
        </w:tc>
      </w:tr>
      <w:tr w14:paraId="0EF471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39B610DF">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权益类资产</w:t>
            </w:r>
          </w:p>
        </w:tc>
        <w:tc>
          <w:tcPr>
            <w:tcW w:w="2237" w:type="pct"/>
            <w:vAlign w:val="center"/>
          </w:tcPr>
          <w:p w14:paraId="73BF2347">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【0%】</w:t>
            </w:r>
          </w:p>
        </w:tc>
      </w:tr>
      <w:tr w14:paraId="6807C6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6F51FD56">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商品</w:t>
            </w:r>
            <w:r>
              <w:rPr>
                <w:rFonts w:ascii="楷体" w:hAnsi="楷体" w:eastAsia="楷体"/>
                <w:color w:val="000000" w:themeColor="text1"/>
                <w:sz w:val="20"/>
                <w:szCs w:val="20"/>
                <w14:textFill>
                  <w14:solidFill>
                    <w14:schemeClr w14:val="tx1"/>
                  </w14:solidFill>
                </w14:textFill>
              </w:rPr>
              <w:t>及</w:t>
            </w:r>
            <w:r>
              <w:rPr>
                <w:rFonts w:hint="eastAsia" w:ascii="楷体" w:hAnsi="楷体" w:eastAsia="楷体"/>
                <w:color w:val="000000" w:themeColor="text1"/>
                <w:sz w:val="20"/>
                <w:szCs w:val="20"/>
                <w14:textFill>
                  <w14:solidFill>
                    <w14:schemeClr w14:val="tx1"/>
                  </w14:solidFill>
                </w14:textFill>
              </w:rPr>
              <w:t>金融</w:t>
            </w:r>
            <w:r>
              <w:rPr>
                <w:rFonts w:ascii="楷体" w:hAnsi="楷体" w:eastAsia="楷体"/>
                <w:color w:val="000000" w:themeColor="text1"/>
                <w:sz w:val="20"/>
                <w:szCs w:val="20"/>
                <w14:textFill>
                  <w14:solidFill>
                    <w14:schemeClr w14:val="tx1"/>
                  </w14:solidFill>
                </w14:textFill>
              </w:rPr>
              <w:t>衍生品类</w:t>
            </w:r>
            <w:r>
              <w:rPr>
                <w:rFonts w:hint="eastAsia" w:ascii="楷体" w:hAnsi="楷体" w:eastAsia="楷体"/>
                <w:color w:val="000000" w:themeColor="text1"/>
                <w:sz w:val="20"/>
                <w:szCs w:val="20"/>
                <w14:textFill>
                  <w14:solidFill>
                    <w14:schemeClr w14:val="tx1"/>
                  </w14:solidFill>
                </w14:textFill>
              </w:rPr>
              <w:t>资产：持仓合约价值</w:t>
            </w:r>
          </w:p>
        </w:tc>
        <w:tc>
          <w:tcPr>
            <w:tcW w:w="2237" w:type="pct"/>
            <w:vAlign w:val="center"/>
          </w:tcPr>
          <w:p w14:paraId="3B018FC1">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【0%】</w:t>
            </w:r>
          </w:p>
        </w:tc>
      </w:tr>
      <w:tr w14:paraId="02B93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12C5ED4E">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商品</w:t>
            </w:r>
            <w:r>
              <w:rPr>
                <w:rFonts w:ascii="楷体" w:hAnsi="楷体" w:eastAsia="楷体"/>
                <w:color w:val="000000" w:themeColor="text1"/>
                <w:sz w:val="20"/>
                <w:szCs w:val="20"/>
                <w14:textFill>
                  <w14:solidFill>
                    <w14:schemeClr w14:val="tx1"/>
                  </w14:solidFill>
                </w14:textFill>
              </w:rPr>
              <w:t>及</w:t>
            </w:r>
            <w:r>
              <w:rPr>
                <w:rFonts w:hint="eastAsia" w:ascii="楷体" w:hAnsi="楷体" w:eastAsia="楷体"/>
                <w:color w:val="000000" w:themeColor="text1"/>
                <w:sz w:val="20"/>
                <w:szCs w:val="20"/>
                <w14:textFill>
                  <w14:solidFill>
                    <w14:schemeClr w14:val="tx1"/>
                  </w14:solidFill>
                </w14:textFill>
              </w:rPr>
              <w:t>金融</w:t>
            </w:r>
            <w:r>
              <w:rPr>
                <w:rFonts w:ascii="楷体" w:hAnsi="楷体" w:eastAsia="楷体"/>
                <w:color w:val="000000" w:themeColor="text1"/>
                <w:sz w:val="20"/>
                <w:szCs w:val="20"/>
                <w14:textFill>
                  <w14:solidFill>
                    <w14:schemeClr w14:val="tx1"/>
                  </w14:solidFill>
                </w14:textFill>
              </w:rPr>
              <w:t>衍生品类</w:t>
            </w:r>
            <w:r>
              <w:rPr>
                <w:rFonts w:hint="eastAsia" w:ascii="楷体" w:hAnsi="楷体" w:eastAsia="楷体"/>
                <w:color w:val="000000" w:themeColor="text1"/>
                <w:sz w:val="20"/>
                <w:szCs w:val="20"/>
                <w14:textFill>
                  <w14:solidFill>
                    <w14:schemeClr w14:val="tx1"/>
                  </w14:solidFill>
                </w14:textFill>
              </w:rPr>
              <w:t>资产：衍生品账户权益</w:t>
            </w:r>
          </w:p>
        </w:tc>
        <w:tc>
          <w:tcPr>
            <w:tcW w:w="2237" w:type="pct"/>
            <w:vAlign w:val="center"/>
          </w:tcPr>
          <w:p w14:paraId="3F2F6CB9">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【0%】</w:t>
            </w:r>
          </w:p>
        </w:tc>
      </w:tr>
    </w:tbl>
    <w:p w14:paraId="707FE9CE">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若本产品为商品及金融衍生品类产品，则上表中“持仓合约价值”及“衍生品账户权益”两项比例应同时满足；若本产品为其他类型产品，则上表中“持仓合约价值”及“衍生品账户权益”两项比例仅须满足其一。）</w:t>
      </w:r>
    </w:p>
    <w:p w14:paraId="69CEAFFF">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本产品可通过信托、证券、基金、期货、保险资产管理机构等依法设立的资产管理产品以及其他符合国家相关政策、法律法规的投资渠道和方式实现对上述投资品种的投资，且可以由资产名义持有人按公允价格转让本产品所投资的全部或部分投资标的。</w:t>
      </w:r>
    </w:p>
    <w:p w14:paraId="59E295C4">
      <w:pPr>
        <w:spacing w:line="300" w:lineRule="exact"/>
        <w:ind w:firstLine="400" w:firstLineChars="200"/>
        <w:jc w:val="both"/>
        <w:rPr>
          <w:rFonts w:ascii="楷体_GB2312" w:hAnsi="Times New Roman" w:eastAsia="楷体_GB2312"/>
          <w:color w:val="000000" w:themeColor="text1"/>
          <w:sz w:val="20"/>
          <w:szCs w:val="20"/>
          <w14:textFill>
            <w14:solidFill>
              <w14:schemeClr w14:val="tx1"/>
            </w14:solidFill>
          </w14:textFill>
        </w:rPr>
      </w:pPr>
      <w:r>
        <w:rPr>
          <w:rFonts w:hint="eastAsia" w:ascii="楷体_GB2312" w:hAnsi="Times New Roman" w:eastAsia="楷体_GB2312"/>
          <w:color w:val="000000" w:themeColor="text1"/>
          <w:sz w:val="20"/>
          <w:szCs w:val="20"/>
          <w14:textFill>
            <w14:solidFill>
              <w14:schemeClr w14:val="tx1"/>
            </w14:solidFill>
          </w14:textFill>
        </w:rPr>
        <w:t>产品管理人应确保本产品建仓期后投资比例符合前述要求，非因管理人主观因素导致突破前述比例限制的，管理人应在流动性受限资产可出售、可转让或者恢复交易的15个交易日内调整至符合要求，国务院银行业监督管理机构规定的特殊情形除外。</w:t>
      </w:r>
    </w:p>
    <w:p w14:paraId="72E07B7C">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本产品的上述投资范围将有可能随国家法律法规及监管政策的变化而进行调整，或信银理财基于勤勉尽职从投资者利益出发，对投资范围进行调整。在本产品存续期间，信银理财</w:t>
      </w:r>
      <w:r>
        <w:rPr>
          <w:rFonts w:ascii="楷体_GB2312" w:eastAsia="楷体_GB2312" w:cs="楷体_GB2312"/>
          <w:color w:val="000000" w:themeColor="text1"/>
          <w:sz w:val="20"/>
          <w:szCs w:val="20"/>
          <w14:textFill>
            <w14:solidFill>
              <w14:schemeClr w14:val="tx1"/>
            </w14:solidFill>
          </w14:textFill>
        </w:rPr>
        <w:t>有权根据市场情况，在不损害投资者利益且根据</w:t>
      </w:r>
      <w:r>
        <w:rPr>
          <w:rFonts w:hint="eastAsia" w:ascii="楷体_GB2312" w:eastAsia="楷体_GB2312" w:cs="楷体_GB2312"/>
          <w:color w:val="000000" w:themeColor="text1"/>
          <w:sz w:val="20"/>
          <w:szCs w:val="20"/>
          <w14:textFill>
            <w14:solidFill>
              <w14:schemeClr w14:val="tx1"/>
            </w14:solidFill>
          </w14:textFill>
        </w:rPr>
        <w:t>本</w:t>
      </w:r>
      <w:r>
        <w:rPr>
          <w:rFonts w:ascii="楷体_GB2312" w:eastAsia="楷体_GB2312" w:cs="楷体_GB2312"/>
          <w:color w:val="000000" w:themeColor="text1"/>
          <w:sz w:val="20"/>
          <w:szCs w:val="20"/>
          <w14:textFill>
            <w14:solidFill>
              <w14:schemeClr w14:val="tx1"/>
            </w14:solidFill>
          </w14:textFill>
        </w:rPr>
        <w:t>说明书约定提前</w:t>
      </w:r>
      <w:r>
        <w:rPr>
          <w:rFonts w:hint="eastAsia" w:ascii="楷体_GB2312" w:eastAsia="楷体_GB2312" w:cs="楷体_GB2312"/>
          <w:color w:val="000000" w:themeColor="text1"/>
          <w:sz w:val="20"/>
          <w:szCs w:val="20"/>
          <w14:textFill>
            <w14:solidFill>
              <w14:schemeClr w14:val="tx1"/>
            </w14:solidFill>
          </w14:textFill>
        </w:rPr>
        <w:t>通知</w:t>
      </w:r>
      <w:r>
        <w:rPr>
          <w:rFonts w:ascii="楷体_GB2312" w:eastAsia="楷体_GB2312" w:cs="楷体_GB2312"/>
          <w:color w:val="000000" w:themeColor="text1"/>
          <w:sz w:val="20"/>
          <w:szCs w:val="20"/>
          <w14:textFill>
            <w14:solidFill>
              <w14:schemeClr w14:val="tx1"/>
            </w14:solidFill>
          </w14:textFill>
        </w:rPr>
        <w:t>投资者的情况下，对本</w:t>
      </w:r>
      <w:r>
        <w:rPr>
          <w:rFonts w:hint="eastAsia" w:ascii="楷体_GB2312" w:eastAsia="楷体_GB2312" w:cs="楷体_GB2312"/>
          <w:color w:val="000000" w:themeColor="text1"/>
          <w:sz w:val="20"/>
          <w:szCs w:val="20"/>
          <w14:textFill>
            <w14:solidFill>
              <w14:schemeClr w14:val="tx1"/>
            </w14:solidFill>
          </w14:textFill>
        </w:rPr>
        <w:t>产品</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投资范围、投资品种或投资比例进行</w:t>
      </w:r>
      <w:r>
        <w:rPr>
          <w:rFonts w:ascii="楷体_GB2312" w:eastAsia="楷体_GB2312" w:cs="楷体_GB2312"/>
          <w:color w:val="000000" w:themeColor="text1"/>
          <w:sz w:val="20"/>
          <w:szCs w:val="20"/>
          <w14:textFill>
            <w14:solidFill>
              <w14:schemeClr w14:val="tx1"/>
            </w14:solidFill>
          </w14:textFill>
        </w:rPr>
        <w:t>调整</w:t>
      </w:r>
      <w:r>
        <w:rPr>
          <w:rFonts w:hint="eastAsia" w:ascii="楷体_GB2312" w:eastAsia="楷体_GB2312" w:cs="楷体_GB2312"/>
          <w:color w:val="000000" w:themeColor="text1"/>
          <w:sz w:val="20"/>
          <w:szCs w:val="20"/>
          <w14:textFill>
            <w14:solidFill>
              <w14:schemeClr w14:val="tx1"/>
            </w14:solidFill>
          </w14:textFill>
        </w:rPr>
        <w:t>。投资者</w:t>
      </w:r>
      <w:r>
        <w:rPr>
          <w:rFonts w:ascii="楷体_GB2312" w:eastAsia="楷体_GB2312" w:cs="楷体_GB2312"/>
          <w:color w:val="000000" w:themeColor="text1"/>
          <w:sz w:val="20"/>
          <w:szCs w:val="20"/>
          <w14:textFill>
            <w14:solidFill>
              <w14:schemeClr w14:val="tx1"/>
            </w14:solidFill>
          </w14:textFill>
        </w:rPr>
        <w:t>不接受的，可</w:t>
      </w:r>
      <w:r>
        <w:rPr>
          <w:rFonts w:hint="eastAsia" w:ascii="楷体_GB2312" w:eastAsia="楷体_GB2312" w:cs="楷体_GB2312"/>
          <w:color w:val="000000" w:themeColor="text1"/>
          <w:sz w:val="20"/>
          <w:szCs w:val="20"/>
          <w14:textFill>
            <w14:solidFill>
              <w14:schemeClr w14:val="tx1"/>
            </w14:solidFill>
          </w14:textFill>
        </w:rPr>
        <w:t>于</w:t>
      </w:r>
      <w:r>
        <w:rPr>
          <w:rFonts w:ascii="楷体_GB2312" w:eastAsia="楷体_GB2312" w:cs="楷体_GB2312"/>
          <w:color w:val="000000" w:themeColor="text1"/>
          <w:sz w:val="20"/>
          <w:szCs w:val="20"/>
          <w14:textFill>
            <w14:solidFill>
              <w14:schemeClr w14:val="tx1"/>
            </w14:solidFill>
          </w14:textFill>
        </w:rPr>
        <w:t>最近一期开放日赎回理财产品。</w:t>
      </w:r>
      <w:r>
        <w:rPr>
          <w:rFonts w:hint="eastAsia" w:ascii="楷体_GB2312" w:eastAsia="楷体_GB2312" w:cs="楷体_GB2312"/>
          <w:color w:val="000000" w:themeColor="text1"/>
          <w:sz w:val="20"/>
          <w:szCs w:val="20"/>
          <w14:textFill>
            <w14:solidFill>
              <w14:schemeClr w14:val="tx1"/>
            </w14:solidFill>
          </w14:textFill>
        </w:rPr>
        <w:t>除</w:t>
      </w:r>
      <w:r>
        <w:rPr>
          <w:rFonts w:ascii="楷体_GB2312" w:eastAsia="楷体_GB2312" w:cs="楷体_GB2312"/>
          <w:color w:val="000000" w:themeColor="text1"/>
          <w:sz w:val="20"/>
          <w:szCs w:val="20"/>
          <w14:textFill>
            <w14:solidFill>
              <w14:schemeClr w14:val="tx1"/>
            </w14:solidFill>
          </w14:textFill>
        </w:rPr>
        <w:t>高风险类型的产品超出比例范围投资较低风险资产外，</w:t>
      </w:r>
      <w:r>
        <w:rPr>
          <w:rFonts w:hint="eastAsia" w:ascii="楷体_GB2312" w:eastAsia="楷体_GB2312" w:cs="楷体_GB2312"/>
          <w:color w:val="000000" w:themeColor="text1"/>
          <w:sz w:val="20"/>
          <w:szCs w:val="20"/>
          <w14:textFill>
            <w14:solidFill>
              <w14:schemeClr w14:val="tx1"/>
            </w14:solidFill>
          </w14:textFill>
        </w:rPr>
        <w:t>产品管理人应按</w:t>
      </w:r>
      <w:r>
        <w:rPr>
          <w:rFonts w:ascii="楷体_GB2312" w:eastAsia="楷体_GB2312" w:cs="楷体_GB2312"/>
          <w:color w:val="000000" w:themeColor="text1"/>
          <w:sz w:val="20"/>
          <w:szCs w:val="20"/>
          <w14:textFill>
            <w14:solidFill>
              <w14:schemeClr w14:val="tx1"/>
            </w14:solidFill>
          </w14:textFill>
        </w:rPr>
        <w:t>监管要求</w:t>
      </w:r>
      <w:r>
        <w:rPr>
          <w:rFonts w:hint="eastAsia" w:ascii="楷体_GB2312" w:eastAsia="楷体_GB2312" w:cs="楷体_GB2312"/>
          <w:color w:val="000000" w:themeColor="text1"/>
          <w:sz w:val="20"/>
          <w:szCs w:val="20"/>
          <w14:textFill>
            <w14:solidFill>
              <w14:schemeClr w14:val="tx1"/>
            </w14:solidFill>
          </w14:textFill>
        </w:rPr>
        <w:t>提前</w:t>
      </w:r>
      <w:r>
        <w:rPr>
          <w:rFonts w:ascii="楷体_GB2312" w:eastAsia="楷体_GB2312" w:cs="楷体_GB2312"/>
          <w:color w:val="000000" w:themeColor="text1"/>
          <w:sz w:val="20"/>
          <w:szCs w:val="20"/>
          <w14:textFill>
            <w14:solidFill>
              <w14:schemeClr w14:val="tx1"/>
            </w14:solidFill>
          </w14:textFill>
        </w:rPr>
        <w:t>取得投资者书面同意</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并履行登记备案等法律法规以及金融监督管理部门规定的程序。</w:t>
      </w:r>
    </w:p>
    <w:p w14:paraId="2B07BE2B">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4．</w:t>
      </w:r>
      <w:r>
        <w:rPr>
          <w:rFonts w:hint="eastAsia" w:ascii="楷体_GB2312" w:hAnsi="Times New Roman" w:eastAsia="楷体_GB2312" w:cs="楷体_GB2312"/>
          <w:color w:val="000000" w:themeColor="text1"/>
          <w:sz w:val="20"/>
          <w:szCs w:val="20"/>
          <w14:textFill>
            <w14:solidFill>
              <w14:schemeClr w14:val="tx1"/>
            </w14:solidFill>
          </w14:textFill>
        </w:rPr>
        <w:t>投资限制：</w:t>
      </w:r>
    </w:p>
    <w:p w14:paraId="07B138B3">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（1）本产品总资产不得超过净资产的140%；</w:t>
      </w:r>
    </w:p>
    <w:p w14:paraId="716EEE13">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 xml:space="preserve">（2）产品定期开放周期不低于90天的，在开放日及开放日前7个工作日内持有现金或者到期日在一年以内的国债、中央银行票据和政策性金融债券比例应不低于产品净资产的5%。产品定期开放周期低于90天的，应保证每日日终现金或者到期日在一年以内的国债、中央银行票据和政策性金融债券比例不低于产品净资产的5%; </w:t>
      </w:r>
    </w:p>
    <w:p w14:paraId="6404A138">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3）本产品投资单只证券或者单只证券投资基金的市值不得超过产品净资产的10%，投资于国债、地方政府债券、中央银行票据、政府机构债券、政策性金融债券以及完全按照有关指数的构成比例进行投资的除外；非因产品管理人主观因素导致突破前述比例限制的，产品管理人应当在流动性受限资产可出售、可转让或者恢复交易的10个交易日内调整至符合要求，国务院银行业监督管理机构规定的特殊情形除外。</w:t>
      </w:r>
    </w:p>
    <w:p w14:paraId="0C29927D">
      <w:pPr>
        <w:spacing w:line="300" w:lineRule="exact"/>
        <w:ind w:firstLine="426" w:firstLineChars="213"/>
        <w:jc w:val="both"/>
        <w:rPr>
          <w:rFonts w:ascii="楷体_GB2312" w:hAnsi="Times New Roman" w:eastAsia="楷体_GB2312" w:cs="楷体_GB2312"/>
          <w:b/>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（4）</w:t>
      </w:r>
      <w:r>
        <w:rPr>
          <w:rFonts w:hint="eastAsia" w:ascii="楷体_GB2312" w:hAnsi="Times New Roman" w:eastAsia="楷体_GB2312" w:cs="楷体_GB2312"/>
          <w:b/>
          <w:color w:val="000000" w:themeColor="text1"/>
          <w:sz w:val="20"/>
          <w:szCs w:val="20"/>
          <w14:textFill>
            <w14:solidFill>
              <w14:schemeClr w14:val="tx1"/>
            </w14:solidFill>
          </w14:textFill>
        </w:rPr>
        <w:t>不得同时出现下述情形:</w:t>
      </w:r>
    </w:p>
    <w:p w14:paraId="04FD2332">
      <w:pPr>
        <w:spacing w:line="300" w:lineRule="exact"/>
        <w:ind w:firstLine="426" w:firstLineChars="213"/>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（a）计划投资不存在活跃交易市场，并且需要采用估值技术确定公允价值的资产；</w:t>
      </w:r>
    </w:p>
    <w:p w14:paraId="71B0373B">
      <w:pPr>
        <w:spacing w:line="300" w:lineRule="exact"/>
        <w:ind w:firstLine="426" w:firstLineChars="213"/>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（b）计划投资上述资产的比例达到产品净资产50%以上。</w:t>
      </w:r>
    </w:p>
    <w:p w14:paraId="1CA2D807">
      <w:pPr>
        <w:spacing w:line="300" w:lineRule="exact"/>
        <w:ind w:firstLine="426" w:firstLineChars="213"/>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（5）</w:t>
      </w:r>
      <w:r>
        <w:rPr>
          <w:rFonts w:hint="eastAsia" w:ascii="楷体_GB2312" w:hAnsi="Times New Roman" w:eastAsia="楷体_GB2312" w:cs="楷体_GB2312"/>
          <w:b/>
          <w:color w:val="000000" w:themeColor="text1"/>
          <w:sz w:val="20"/>
          <w:szCs w:val="20"/>
          <w14:textFill>
            <w14:solidFill>
              <w14:schemeClr w14:val="tx1"/>
            </w14:solidFill>
          </w14:textFill>
        </w:rPr>
        <w:t>本产品单一投资者持有份额不得超过产品总份额的50%。</w:t>
      </w:r>
      <w:r>
        <w:rPr>
          <w:rFonts w:hint="eastAsia" w:ascii="楷体_GB2312" w:hAnsi="Times New Roman" w:eastAsia="楷体_GB2312" w:cs="楷体_GB2312"/>
          <w:color w:val="000000" w:themeColor="text1"/>
          <w:sz w:val="20"/>
          <w:szCs w:val="20"/>
          <w14:textFill>
            <w14:solidFill>
              <w14:schemeClr w14:val="tx1"/>
            </w14:solidFill>
          </w14:textFill>
        </w:rPr>
        <w:t>在该种情形下，非因管理人主观因素导致突破前款规定比例限制的，在单一投资者持有比例降至50%以下之前，管理人不得再接受该投资者对该理财产品的认购/申购申请。</w:t>
      </w:r>
    </w:p>
    <w:p w14:paraId="6CA0A54C">
      <w:pPr>
        <w:spacing w:line="300" w:lineRule="exact"/>
        <w:ind w:firstLine="426" w:firstLineChars="213"/>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6）直接投资于流动性受限资产的市值在开放日不得超过产品资产净值的15%。因证券市场波动、上市公司股票停牌、理财产品规模变动等因素导致理财产品不符合本条规定比例限制的，不得主动新增投资流动性受限资产。</w:t>
      </w:r>
    </w:p>
    <w:p w14:paraId="651FD242">
      <w:pPr>
        <w:spacing w:line="300" w:lineRule="exact"/>
        <w:ind w:firstLine="426" w:firstLineChars="213"/>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（7）在开放日前一工作日内，7个工作日可变现资产的可变现价值应当不低于该产品资产净值的10%。</w:t>
      </w:r>
    </w:p>
    <w:p w14:paraId="215CFD8C">
      <w:pPr>
        <w:spacing w:line="300" w:lineRule="exact"/>
        <w:ind w:firstLine="400" w:firstLineChars="200"/>
        <w:jc w:val="both"/>
        <w:rPr>
          <w:rFonts w:ascii="Times New Roman" w:hAnsi="Times New Roman" w:eastAsia="楷体_GB2312" w:cs="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5．</w:t>
      </w:r>
      <w:r>
        <w:rPr>
          <w:rFonts w:hint="eastAsia" w:ascii="Times New Roman" w:hAnsi="Times New Roman" w:eastAsia="楷体_GB2312" w:cs="楷体_GB2312"/>
          <w:color w:val="000000" w:themeColor="text1"/>
          <w:sz w:val="20"/>
          <w:szCs w:val="20"/>
          <w14:textFill>
            <w14:solidFill>
              <w14:schemeClr w14:val="tx1"/>
            </w14:solidFill>
          </w14:textFill>
        </w:rPr>
        <w:t>投资合作机构指理财产品所投资资产管理产品的发行机构、根据合同约定从事理财产品受托投资的机构以及与理财产品投资管理相关的投资顾问等机构。投资合作机构的主要职责为进行受托资金的投资管理、根据合同约定从事受托投资或提供投资顾问等服务，具体职责以管理人与投资合作机构签署的合同为准。</w:t>
      </w:r>
    </w:p>
    <w:p w14:paraId="6D297C46">
      <w:pPr>
        <w:spacing w:line="300" w:lineRule="exact"/>
        <w:ind w:firstLine="400" w:firstLineChars="200"/>
        <w:jc w:val="both"/>
        <w:rPr>
          <w:rFonts w:ascii="Times New Roman" w:hAnsi="Times New Roman" w:eastAsia="楷体_GB2312" w:cs="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6.</w:t>
      </w:r>
      <w:r>
        <w:rPr>
          <w:rFonts w:hint="eastAsia" w:ascii="Times New Roman" w:hAnsi="Times New Roman" w:eastAsia="楷体_GB2312" w:cs="楷体_GB2312"/>
          <w:color w:val="000000" w:themeColor="text1"/>
          <w:sz w:val="20"/>
          <w:szCs w:val="20"/>
          <w14:textFill>
            <w14:solidFill>
              <w14:schemeClr w14:val="tx1"/>
            </w14:solidFill>
          </w14:textFill>
        </w:rPr>
        <w:t>在合法合规且履行应履行的内外部程序后，理财产品可能与管理人及其控股股东、实际控制人等发生关联交易。</w:t>
      </w:r>
    </w:p>
    <w:p w14:paraId="6CC6CF60">
      <w:pPr>
        <w:spacing w:line="300" w:lineRule="exact"/>
        <w:ind w:firstLine="400" w:firstLineChars="200"/>
        <w:jc w:val="both"/>
        <w:rPr>
          <w:rFonts w:ascii="Times New Roman" w:hAnsi="Times New Roman" w:eastAsia="楷体_GB2312" w:cs="楷体_GB2312"/>
          <w:color w:val="000000" w:themeColor="text1"/>
          <w:sz w:val="20"/>
          <w:szCs w:val="20"/>
          <w14:textFill>
            <w14:solidFill>
              <w14:schemeClr w14:val="tx1"/>
            </w14:solidFill>
          </w14:textFill>
        </w:rPr>
      </w:pPr>
    </w:p>
    <w:p w14:paraId="09BDB215">
      <w:pPr>
        <w:snapToGrid w:val="0"/>
        <w:ind w:left="-2" w:leftChars="-1" w:right="53" w:rightChars="22"/>
        <w:outlineLvl w:val="0"/>
        <w:rPr>
          <w:color w:val="000000" w:themeColor="text1"/>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二、产品基本要素</w:t>
      </w:r>
    </w:p>
    <w:tbl>
      <w:tblPr>
        <w:tblStyle w:val="8"/>
        <w:tblW w:w="5000" w:type="pct"/>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9"/>
        <w:gridCol w:w="6379"/>
      </w:tblGrid>
      <w:tr w14:paraId="65B7D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75DD352F">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产品名称</w:t>
            </w:r>
          </w:p>
        </w:tc>
        <w:tc>
          <w:tcPr>
            <w:tcW w:w="3740" w:type="pct"/>
            <w:vAlign w:val="center"/>
          </w:tcPr>
          <w:p w14:paraId="3C4F9F3D">
            <w:pPr>
              <w:spacing w:line="300" w:lineRule="exact"/>
              <w:ind w:left="-2" w:leftChars="-1" w:right="36" w:rightChars="15"/>
              <w:rPr>
                <w:color w:val="000000" w:themeColor="text1"/>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【信银理财安盈象固收稳利三个月持有期27号理财产品】</w:t>
            </w:r>
          </w:p>
        </w:tc>
      </w:tr>
      <w:tr w14:paraId="1B5F9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017353B2">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理财产品登记编码</w:t>
            </w:r>
          </w:p>
        </w:tc>
        <w:tc>
          <w:tcPr>
            <w:tcW w:w="3740" w:type="pct"/>
            <w:vAlign w:val="center"/>
          </w:tcPr>
          <w:p w14:paraId="74D8C79A">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Z7002624002029】</w:t>
            </w:r>
          </w:p>
        </w:tc>
      </w:tr>
      <w:tr w14:paraId="5F4B4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7640AE18">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产品</w:t>
            </w:r>
            <w:r>
              <w:rPr>
                <w:rFonts w:ascii="Times New Roman" w:eastAsia="楷体_GB2312" w:cs="楷体_GB2312"/>
                <w:color w:val="000000" w:themeColor="text1"/>
                <w:sz w:val="20"/>
                <w:szCs w:val="20"/>
                <w14:textFill>
                  <w14:solidFill>
                    <w14:schemeClr w14:val="tx1"/>
                  </w14:solidFill>
                </w14:textFill>
              </w:rPr>
              <w:t>代码</w:t>
            </w:r>
          </w:p>
        </w:tc>
        <w:tc>
          <w:tcPr>
            <w:tcW w:w="3740" w:type="pct"/>
            <w:vAlign w:val="center"/>
          </w:tcPr>
          <w:p w14:paraId="69E2D600">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【AF247784</w:t>
            </w:r>
            <w:r>
              <w:rPr>
                <w:rFonts w:ascii="楷体_GB2312" w:eastAsia="楷体_GB2312" w:cs="楷体_GB2312"/>
                <w:color w:val="000000" w:themeColor="text1"/>
                <w:sz w:val="20"/>
                <w:szCs w:val="20"/>
                <w14:textFill>
                  <w14:solidFill>
                    <w14:schemeClr w14:val="tx1"/>
                  </w14:solidFill>
                </w14:textFill>
              </w:rPr>
              <w:t>】</w:t>
            </w:r>
          </w:p>
        </w:tc>
      </w:tr>
      <w:tr w14:paraId="18A4F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033937B5">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产品类型</w:t>
            </w:r>
          </w:p>
        </w:tc>
        <w:tc>
          <w:tcPr>
            <w:tcW w:w="3740" w:type="pct"/>
            <w:vAlign w:val="center"/>
          </w:tcPr>
          <w:p w14:paraId="7F0C949D">
            <w:pPr>
              <w:spacing w:line="300" w:lineRule="exact"/>
              <w:ind w:left="-2" w:leftChars="-1" w:right="36" w:rightChars="15"/>
              <w:rPr>
                <w:rFonts w:ascii="楷体_GB2312" w:eastAsia="楷体_GB2312" w:cs="楷体_GB2312"/>
                <w:color w:val="000000" w:themeColor="text1"/>
                <w:sz w:val="20"/>
                <w:szCs w:val="20"/>
                <w:highlight w:val="yellow"/>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公募、【固定收益类】、开放式</w:t>
            </w:r>
          </w:p>
        </w:tc>
      </w:tr>
      <w:tr w14:paraId="71FE6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4CE6D072">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信银理财产品风险分级</w:t>
            </w:r>
          </w:p>
        </w:tc>
        <w:tc>
          <w:tcPr>
            <w:tcW w:w="3740" w:type="pct"/>
            <w:vAlign w:val="center"/>
          </w:tcPr>
          <w:p w14:paraId="47AFA5A8">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sz w:val="20"/>
                <w:szCs w:val="20"/>
              </w:rPr>
              <w:t>PR</w:t>
            </w:r>
            <w:r>
              <w:rPr>
                <w:rFonts w:hint="eastAsia" w:ascii="楷体_GB2312" w:eastAsia="楷体_GB2312" w:cs="楷体_GB2312"/>
                <w:sz w:val="20"/>
                <w:szCs w:val="20"/>
              </w:rPr>
              <w:t>【2】级（【稳健】</w:t>
            </w:r>
            <w:r>
              <w:rPr>
                <w:rFonts w:ascii="楷体_GB2312" w:eastAsia="楷体_GB2312" w:cs="楷体_GB2312"/>
                <w:sz w:val="20"/>
                <w:szCs w:val="20"/>
              </w:rPr>
              <w:t>型</w:t>
            </w:r>
            <w:r>
              <w:rPr>
                <w:rFonts w:hint="eastAsia" w:ascii="楷体_GB2312" w:eastAsia="楷体_GB2312" w:cs="楷体_GB2312"/>
                <w:sz w:val="20"/>
                <w:szCs w:val="20"/>
              </w:rPr>
              <w:t>）</w:t>
            </w:r>
            <w:r>
              <w:rPr>
                <w:rFonts w:hint="eastAsia" w:ascii="楷体_GB2312" w:eastAsia="楷体_GB2312" w:cs="楷体_GB2312"/>
                <w:color w:val="000000" w:themeColor="text1"/>
                <w:sz w:val="20"/>
                <w:szCs w:val="20"/>
                <w14:textFill>
                  <w14:solidFill>
                    <w14:schemeClr w14:val="tx1"/>
                  </w14:solidFill>
                </w14:textFill>
              </w:rPr>
              <w:t>。本风险分级为信银理财自行评定，仅供参考。</w:t>
            </w:r>
          </w:p>
          <w:p w14:paraId="5DE0BD72">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产品通过代销机构销售的，代销机构将</w:t>
            </w:r>
            <w:r>
              <w:rPr>
                <w:rFonts w:hint="eastAsia" w:ascii="楷体_GB2312" w:eastAsia="楷体_GB2312" w:cs="楷体_GB2312"/>
                <w:color w:val="000000" w:themeColor="text1"/>
                <w:sz w:val="20"/>
                <w:szCs w:val="20"/>
                <w14:textFill>
                  <w14:solidFill>
                    <w14:schemeClr w14:val="tx1"/>
                  </w14:solidFill>
                </w14:textFill>
              </w:rPr>
              <w:t>对</w:t>
            </w:r>
            <w:r>
              <w:rPr>
                <w:rFonts w:ascii="楷体_GB2312" w:eastAsia="楷体_GB2312" w:cs="楷体_GB2312"/>
                <w:color w:val="000000" w:themeColor="text1"/>
                <w:sz w:val="20"/>
                <w:szCs w:val="20"/>
                <w14:textFill>
                  <w14:solidFill>
                    <w14:schemeClr w14:val="tx1"/>
                  </w14:solidFill>
                </w14:textFill>
              </w:rPr>
              <w:t>理财产品进行风险评级</w:t>
            </w:r>
            <w:r>
              <w:rPr>
                <w:rFonts w:hint="eastAsia" w:ascii="楷体_GB2312" w:eastAsia="楷体_GB2312" w:cs="楷体_GB2312"/>
                <w:color w:val="000000" w:themeColor="text1"/>
                <w:sz w:val="20"/>
                <w:szCs w:val="20"/>
                <w14:textFill>
                  <w14:solidFill>
                    <w14:schemeClr w14:val="tx1"/>
                  </w14:solidFill>
                </w14:textFill>
              </w:rPr>
              <w:t>并</w:t>
            </w:r>
            <w:r>
              <w:rPr>
                <w:rFonts w:ascii="楷体_GB2312" w:eastAsia="楷体_GB2312" w:cs="楷体_GB2312"/>
                <w:color w:val="000000" w:themeColor="text1"/>
                <w:sz w:val="20"/>
                <w:szCs w:val="20"/>
                <w14:textFill>
                  <w14:solidFill>
                    <w14:schemeClr w14:val="tx1"/>
                  </w14:solidFill>
                </w14:textFill>
              </w:rPr>
              <w:t>对投资者进行风险</w:t>
            </w:r>
            <w:r>
              <w:rPr>
                <w:rFonts w:hint="eastAsia" w:ascii="楷体_GB2312" w:eastAsia="楷体_GB2312" w:cs="楷体_GB2312"/>
                <w:color w:val="000000" w:themeColor="text1"/>
                <w:sz w:val="20"/>
                <w:szCs w:val="20"/>
                <w14:textFill>
                  <w14:solidFill>
                    <w14:schemeClr w14:val="tx1"/>
                  </w14:solidFill>
                </w14:textFill>
              </w:rPr>
              <w:t>承受能力</w:t>
            </w:r>
            <w:r>
              <w:rPr>
                <w:rFonts w:ascii="楷体_GB2312" w:eastAsia="楷体_GB2312" w:cs="楷体_GB2312"/>
                <w:color w:val="000000" w:themeColor="text1"/>
                <w:sz w:val="20"/>
                <w:szCs w:val="20"/>
                <w14:textFill>
                  <w14:solidFill>
                    <w14:schemeClr w14:val="tx1"/>
                  </w14:solidFill>
                </w14:textFill>
              </w:rPr>
              <w:t>测评</w:t>
            </w:r>
            <w:r>
              <w:rPr>
                <w:rFonts w:hint="eastAsia" w:ascii="楷体_GB2312" w:eastAsia="楷体_GB2312" w:cs="楷体_GB2312"/>
                <w:color w:val="000000" w:themeColor="text1"/>
                <w:sz w:val="20"/>
                <w:szCs w:val="20"/>
                <w14:textFill>
                  <w14:solidFill>
                    <w14:schemeClr w14:val="tx1"/>
                  </w14:solidFill>
                </w14:textFill>
              </w:rPr>
              <w:t>，理财产品评级应当以代销机构最终披露的评级结果为准</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代销</w:t>
            </w:r>
            <w:r>
              <w:rPr>
                <w:rFonts w:ascii="楷体_GB2312" w:eastAsia="楷体_GB2312" w:cs="楷体_GB2312"/>
                <w:color w:val="000000" w:themeColor="text1"/>
                <w:sz w:val="20"/>
                <w:szCs w:val="20"/>
                <w14:textFill>
                  <w14:solidFill>
                    <w14:schemeClr w14:val="tx1"/>
                  </w14:solidFill>
                </w14:textFill>
              </w:rPr>
              <w:t>机构对</w:t>
            </w:r>
            <w:r>
              <w:rPr>
                <w:rFonts w:hint="eastAsia" w:ascii="楷体_GB2312" w:eastAsia="楷体_GB2312" w:cs="楷体_GB2312"/>
                <w:color w:val="000000" w:themeColor="text1"/>
                <w:sz w:val="20"/>
                <w:szCs w:val="20"/>
                <w14:textFill>
                  <w14:solidFill>
                    <w14:schemeClr w14:val="tx1"/>
                  </w14:solidFill>
                </w14:textFill>
              </w:rPr>
              <w:t>产品的</w:t>
            </w:r>
            <w:r>
              <w:rPr>
                <w:rFonts w:ascii="楷体_GB2312" w:eastAsia="楷体_GB2312" w:cs="楷体_GB2312"/>
                <w:color w:val="000000" w:themeColor="text1"/>
                <w:sz w:val="20"/>
                <w:szCs w:val="20"/>
                <w14:textFill>
                  <w14:solidFill>
                    <w14:schemeClr w14:val="tx1"/>
                  </w14:solidFill>
                </w14:textFill>
              </w:rPr>
              <w:t>风险</w:t>
            </w:r>
            <w:r>
              <w:rPr>
                <w:rFonts w:hint="eastAsia" w:ascii="楷体_GB2312" w:eastAsia="楷体_GB2312" w:cs="楷体_GB2312"/>
                <w:color w:val="000000" w:themeColor="text1"/>
                <w:sz w:val="20"/>
                <w:szCs w:val="20"/>
                <w14:textFill>
                  <w14:solidFill>
                    <w14:schemeClr w14:val="tx1"/>
                  </w14:solidFill>
                </w14:textFill>
              </w:rPr>
              <w:t>评级</w:t>
            </w:r>
            <w:r>
              <w:rPr>
                <w:rFonts w:ascii="楷体_GB2312" w:eastAsia="楷体_GB2312" w:cs="楷体_GB2312"/>
                <w:color w:val="000000" w:themeColor="text1"/>
                <w:sz w:val="20"/>
                <w:szCs w:val="20"/>
                <w14:textFill>
                  <w14:solidFill>
                    <w14:schemeClr w14:val="tx1"/>
                  </w14:solidFill>
                </w14:textFill>
              </w:rPr>
              <w:t>结果与信银理财不一致的，将采用对应较高风险</w:t>
            </w:r>
            <w:r>
              <w:rPr>
                <w:rFonts w:hint="eastAsia" w:ascii="楷体_GB2312" w:eastAsia="楷体_GB2312" w:cs="楷体_GB2312"/>
                <w:color w:val="000000" w:themeColor="text1"/>
                <w:sz w:val="20"/>
                <w:szCs w:val="20"/>
                <w14:textFill>
                  <w14:solidFill>
                    <w14:schemeClr w14:val="tx1"/>
                  </w14:solidFill>
                </w14:textFill>
              </w:rPr>
              <w:t>等级</w:t>
            </w:r>
            <w:r>
              <w:rPr>
                <w:rFonts w:ascii="楷体_GB2312" w:eastAsia="楷体_GB2312" w:cs="楷体_GB2312"/>
                <w:color w:val="000000" w:themeColor="text1"/>
                <w:sz w:val="20"/>
                <w:szCs w:val="20"/>
                <w14:textFill>
                  <w14:solidFill>
                    <w14:schemeClr w14:val="tx1"/>
                  </w14:solidFill>
                </w14:textFill>
              </w:rPr>
              <w:t>的评级结果。</w:t>
            </w:r>
          </w:p>
        </w:tc>
      </w:tr>
      <w:tr w14:paraId="18E37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02E8DDFC">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发行对象</w:t>
            </w:r>
          </w:p>
        </w:tc>
        <w:tc>
          <w:tcPr>
            <w:tcW w:w="3740" w:type="pct"/>
            <w:vAlign w:val="center"/>
          </w:tcPr>
          <w:p w14:paraId="4E5ADF80">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【个人/机构</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客户</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适合</w:t>
            </w:r>
            <w:r>
              <w:rPr>
                <w:rFonts w:hint="eastAsia" w:ascii="楷体_GB2312" w:eastAsia="楷体_GB2312" w:cs="Times New Roman"/>
                <w:sz w:val="20"/>
                <w:szCs w:val="20"/>
              </w:rPr>
              <w:t>【稳健型】【平衡型】【进取型】【激进型】</w:t>
            </w:r>
            <w:r>
              <w:rPr>
                <w:rFonts w:hint="eastAsia" w:ascii="楷体_GB2312" w:eastAsia="楷体_GB2312" w:cs="楷体_GB2312"/>
                <w:color w:val="000000" w:themeColor="text1"/>
                <w:sz w:val="20"/>
                <w:szCs w:val="20"/>
                <w14:textFill>
                  <w14:solidFill>
                    <w14:schemeClr w14:val="tx1"/>
                  </w14:solidFill>
                </w14:textFill>
              </w:rPr>
              <w:t>投资者。</w:t>
            </w:r>
            <w:r>
              <w:rPr>
                <w:rFonts w:hint="eastAsia" w:ascii="楷体_GB2312" w:eastAsia="楷体_GB2312" w:cs="楷体_GB2312"/>
                <w:sz w:val="20"/>
                <w:szCs w:val="20"/>
              </w:rPr>
              <w:t>代销机构对产品的发行对象与信银理财不一致的，以代销机构为准。</w:t>
            </w:r>
          </w:p>
        </w:tc>
      </w:tr>
      <w:tr w14:paraId="7A495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3B834D07">
            <w:pPr>
              <w:spacing w:line="300" w:lineRule="exact"/>
              <w:ind w:left="-2" w:leftChars="-1" w:right="36" w:rightChars="15"/>
              <w:rPr>
                <w:rFonts w:ascii="Times New Roman"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理财本金</w:t>
            </w:r>
          </w:p>
        </w:tc>
        <w:tc>
          <w:tcPr>
            <w:tcW w:w="3740" w:type="pct"/>
            <w:vAlign w:val="center"/>
          </w:tcPr>
          <w:p w14:paraId="7B326B50">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本理财产品不保证本金及理财收益，其理财收益随单位净值浮动。详细内容见以下“八</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b/>
                <w:bCs/>
                <w:color w:val="000000" w:themeColor="text1"/>
                <w:sz w:val="20"/>
                <w:szCs w:val="20"/>
                <w14:textFill>
                  <w14:solidFill>
                    <w14:schemeClr w14:val="tx1"/>
                  </w14:solidFill>
                </w14:textFill>
              </w:rPr>
              <w:t>理财资金分配</w:t>
            </w:r>
            <w:r>
              <w:rPr>
                <w:rFonts w:hint="eastAsia" w:ascii="楷体_GB2312" w:eastAsia="楷体_GB2312" w:cs="楷体_GB2312"/>
                <w:color w:val="000000" w:themeColor="text1"/>
                <w:sz w:val="20"/>
                <w:szCs w:val="20"/>
                <w14:textFill>
                  <w14:solidFill>
                    <w14:schemeClr w14:val="tx1"/>
                  </w14:solidFill>
                </w14:textFill>
              </w:rPr>
              <w:t>”。</w:t>
            </w:r>
          </w:p>
        </w:tc>
      </w:tr>
      <w:tr w14:paraId="6518C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6E58C750">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w:t>
            </w:r>
            <w:r>
              <w:rPr>
                <w:rFonts w:ascii="Times New Roman" w:eastAsia="楷体_GB2312" w:cs="楷体_GB2312"/>
                <w:color w:val="000000" w:themeColor="text1"/>
                <w:sz w:val="20"/>
                <w:szCs w:val="20"/>
                <w14:textFill>
                  <w14:solidFill>
                    <w14:schemeClr w14:val="tx1"/>
                  </w14:solidFill>
                </w14:textFill>
              </w:rPr>
              <w:t>产品份额</w:t>
            </w:r>
          </w:p>
        </w:tc>
        <w:tc>
          <w:tcPr>
            <w:tcW w:w="3740" w:type="pct"/>
            <w:vAlign w:val="center"/>
          </w:tcPr>
          <w:p w14:paraId="4A15B6CF">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指</w:t>
            </w:r>
            <w:r>
              <w:rPr>
                <w:rFonts w:ascii="楷体_GB2312" w:eastAsia="楷体_GB2312" w:cs="楷体_GB2312"/>
                <w:color w:val="000000" w:themeColor="text1"/>
                <w:sz w:val="20"/>
                <w:szCs w:val="20"/>
                <w14:textFill>
                  <w14:solidFill>
                    <w14:schemeClr w14:val="tx1"/>
                  </w14:solidFill>
                </w14:textFill>
              </w:rPr>
              <w:t>管理人依据理财产品</w:t>
            </w:r>
            <w:r>
              <w:rPr>
                <w:rFonts w:hint="eastAsia" w:ascii="楷体_GB2312" w:eastAsia="楷体_GB2312" w:cs="楷体_GB2312"/>
                <w:color w:val="000000" w:themeColor="text1"/>
                <w:sz w:val="20"/>
                <w:szCs w:val="20"/>
                <w14:textFill>
                  <w14:solidFill>
                    <w14:schemeClr w14:val="tx1"/>
                  </w14:solidFill>
                </w14:textFill>
              </w:rPr>
              <w:t>合同</w:t>
            </w:r>
            <w:r>
              <w:rPr>
                <w:rFonts w:ascii="楷体_GB2312" w:eastAsia="楷体_GB2312" w:cs="楷体_GB2312"/>
                <w:color w:val="000000" w:themeColor="text1"/>
                <w:sz w:val="20"/>
                <w:szCs w:val="20"/>
                <w14:textFill>
                  <w14:solidFill>
                    <w14:schemeClr w14:val="tx1"/>
                  </w14:solidFill>
                </w14:textFill>
              </w:rPr>
              <w:t>向投资者发行的</w:t>
            </w:r>
            <w:r>
              <w:rPr>
                <w:rFonts w:hint="eastAsia" w:ascii="楷体_GB2312" w:eastAsia="楷体_GB2312" w:cs="楷体_GB2312"/>
                <w:color w:val="000000" w:themeColor="text1"/>
                <w:sz w:val="20"/>
                <w:szCs w:val="20"/>
                <w14:textFill>
                  <w14:solidFill>
                    <w14:schemeClr w14:val="tx1"/>
                  </w14:solidFill>
                </w14:textFill>
              </w:rPr>
              <w:t>理财产品</w:t>
            </w:r>
            <w:r>
              <w:rPr>
                <w:rFonts w:ascii="楷体_GB2312" w:eastAsia="楷体_GB2312" w:cs="楷体_GB2312"/>
                <w:color w:val="000000" w:themeColor="text1"/>
                <w:sz w:val="20"/>
                <w:szCs w:val="20"/>
                <w14:textFill>
                  <w14:solidFill>
                    <w14:schemeClr w14:val="tx1"/>
                  </w14:solidFill>
                </w14:textFill>
              </w:rPr>
              <w:t>受益凭证。理财产品</w:t>
            </w:r>
            <w:r>
              <w:rPr>
                <w:rFonts w:hint="eastAsia" w:ascii="楷体_GB2312" w:eastAsia="楷体_GB2312" w:cs="楷体_GB2312"/>
                <w:color w:val="000000" w:themeColor="text1"/>
                <w:sz w:val="20"/>
                <w:szCs w:val="20"/>
                <w14:textFill>
                  <w14:solidFill>
                    <w14:schemeClr w14:val="tx1"/>
                  </w14:solidFill>
                </w14:textFill>
              </w:rPr>
              <w:t>份额</w:t>
            </w:r>
            <w:r>
              <w:rPr>
                <w:rFonts w:ascii="楷体_GB2312" w:eastAsia="楷体_GB2312" w:cs="楷体_GB2312"/>
                <w:color w:val="000000" w:themeColor="text1"/>
                <w:sz w:val="20"/>
                <w:szCs w:val="20"/>
                <w14:textFill>
                  <w14:solidFill>
                    <w14:schemeClr w14:val="tx1"/>
                  </w14:solidFill>
                </w14:textFill>
              </w:rPr>
              <w:t>持有人基于其所持有的理财产品份额享有理财产品利益、承担理财产品资产风险。</w:t>
            </w:r>
          </w:p>
        </w:tc>
      </w:tr>
      <w:tr w14:paraId="48B95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33DA1D00">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w:t>
            </w:r>
            <w:r>
              <w:rPr>
                <w:rFonts w:ascii="Times New Roman" w:eastAsia="楷体_GB2312" w:cs="楷体_GB2312"/>
                <w:color w:val="000000" w:themeColor="text1"/>
                <w:sz w:val="20"/>
                <w:szCs w:val="20"/>
                <w14:textFill>
                  <w14:solidFill>
                    <w14:schemeClr w14:val="tx1"/>
                  </w14:solidFill>
                </w14:textFill>
              </w:rPr>
              <w:t>产品份额面值</w:t>
            </w:r>
          </w:p>
        </w:tc>
        <w:tc>
          <w:tcPr>
            <w:tcW w:w="3740" w:type="pct"/>
            <w:vAlign w:val="center"/>
          </w:tcPr>
          <w:p w14:paraId="433D2C87">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产品份额面值为</w:t>
            </w:r>
            <w:r>
              <w:rPr>
                <w:rFonts w:hint="eastAsia" w:ascii="楷体_GB2312" w:eastAsia="楷体_GB2312" w:cs="楷体_GB2312"/>
                <w:color w:val="000000" w:themeColor="text1"/>
                <w:sz w:val="20"/>
                <w:szCs w:val="20"/>
                <w14:textFill>
                  <w14:solidFill>
                    <w14:schemeClr w14:val="tx1"/>
                  </w14:solidFill>
                </w14:textFill>
              </w:rPr>
              <w:t>【人民币</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1元。</w:t>
            </w:r>
          </w:p>
        </w:tc>
      </w:tr>
      <w:tr w14:paraId="07A45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260" w:type="pct"/>
            <w:vAlign w:val="center"/>
          </w:tcPr>
          <w:p w14:paraId="66B312C4">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w:t>
            </w:r>
            <w:r>
              <w:rPr>
                <w:rFonts w:ascii="Times New Roman" w:eastAsia="楷体_GB2312" w:cs="楷体_GB2312"/>
                <w:color w:val="000000" w:themeColor="text1"/>
                <w:sz w:val="20"/>
                <w:szCs w:val="20"/>
                <w14:textFill>
                  <w14:solidFill>
                    <w14:schemeClr w14:val="tx1"/>
                  </w14:solidFill>
                </w14:textFill>
              </w:rPr>
              <w:t>产品份额类型</w:t>
            </w:r>
          </w:p>
        </w:tc>
        <w:tc>
          <w:tcPr>
            <w:tcW w:w="3740" w:type="pct"/>
            <w:vAlign w:val="center"/>
          </w:tcPr>
          <w:p w14:paraId="7CEFACD0">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【B】类份额：份额代码【AF247784B】</w:t>
            </w:r>
            <w:r>
              <w:br w:type="textWrapping"/>
            </w:r>
            <w:r>
              <w:rPr>
                <w:rFonts w:hint="eastAsia" w:ascii="楷体_GB2312" w:eastAsia="楷体_GB2312" w:cs="楷体_GB2312"/>
                <w:color w:val="000000" w:themeColor="text1"/>
                <w:sz w:val="20"/>
                <w:szCs w:val="20"/>
                <w14:textFill>
                  <w14:solidFill>
                    <w14:schemeClr w14:val="tx1"/>
                  </w14:solidFill>
                </w14:textFill>
              </w:rPr>
              <w:t>【G】类份额：份额代码【AF247784G】</w:t>
            </w:r>
            <w:r>
              <w:br w:type="textWrapping"/>
            </w:r>
            <w:r>
              <w:rPr>
                <w:rFonts w:hint="eastAsia" w:ascii="楷体_GB2312" w:eastAsia="楷体_GB2312" w:cs="楷体_GB2312"/>
                <w:color w:val="000000" w:themeColor="text1"/>
                <w:sz w:val="20"/>
                <w:szCs w:val="20"/>
                <w14:textFill>
                  <w14:solidFill>
                    <w14:schemeClr w14:val="tx1"/>
                  </w14:solidFill>
                </w14:textFill>
              </w:rPr>
              <w:t>【H】类份额：份额代码【AF247784H】</w:t>
            </w:r>
          </w:p>
          <w:p w14:paraId="4E1262A2">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p>
          <w:p w14:paraId="1A7C1F80">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后续理财产品份额类型如有新增、减少和变更，信银理财将按照本说明书约定的方式告知投资者。</w:t>
            </w:r>
          </w:p>
        </w:tc>
      </w:tr>
      <w:tr w14:paraId="7E6A0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260" w:type="pct"/>
            <w:vAlign w:val="center"/>
          </w:tcPr>
          <w:p w14:paraId="537C64FF">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工作日</w:t>
            </w:r>
          </w:p>
        </w:tc>
        <w:tc>
          <w:tcPr>
            <w:tcW w:w="3740" w:type="pct"/>
            <w:vAlign w:val="center"/>
          </w:tcPr>
          <w:p w14:paraId="25DC21BF">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指除中国法定节假日和公休日外的其他日。</w:t>
            </w:r>
          </w:p>
        </w:tc>
      </w:tr>
      <w:tr w14:paraId="7B1E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260" w:type="pct"/>
            <w:vAlign w:val="center"/>
          </w:tcPr>
          <w:p w14:paraId="466895EE">
            <w:pPr>
              <w:spacing w:line="300" w:lineRule="exact"/>
              <w:ind w:left="-2" w:leftChars="-1" w:right="36" w:rightChars="15"/>
              <w:rPr>
                <w:rFonts w:ascii="Times New Roman" w:hAnsi="Times New Roman" w:eastAsia="楷体_GB2312" w:cs="Times New Roman"/>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募集期</w:t>
            </w:r>
          </w:p>
        </w:tc>
        <w:tc>
          <w:tcPr>
            <w:tcW w:w="3740" w:type="pct"/>
            <w:vAlign w:val="center"/>
          </w:tcPr>
          <w:p w14:paraId="01B4B8D1">
            <w:pPr>
              <w:pStyle w:val="19"/>
              <w:numPr>
                <w:ilvl w:val="0"/>
                <w:numId w:val="1"/>
              </w:numPr>
              <w:spacing w:line="300" w:lineRule="exact"/>
              <w:ind w:right="36" w:rightChars="15" w:firstLineChars="0"/>
              <w:rPr>
                <w:rFonts w:ascii="Times New Roman" w:hAnsi="Times New Roman" w:eastAsia="楷体_GB2312" w:cs="Times New Roman"/>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【2024】年【12】月【5】日至【2024】年【12】月【11】日，</w:t>
            </w:r>
            <w:r>
              <w:rPr>
                <w:rFonts w:hint="eastAsia" w:ascii="Times New Roman" w:hAnsi="Times New Roman" w:eastAsia="楷体_GB2312" w:cs="Times New Roman"/>
                <w:color w:val="000000" w:themeColor="text1"/>
                <w:sz w:val="20"/>
                <w:szCs w:val="20"/>
                <w14:textFill>
                  <w14:solidFill>
                    <w14:schemeClr w14:val="tx1"/>
                  </w14:solidFill>
                </w14:textFill>
              </w:rPr>
              <w:t>信银理财有权提前结束募集期并提前成立产品或者延长募集期。</w:t>
            </w:r>
          </w:p>
          <w:p w14:paraId="3D0CEBE8">
            <w:pPr>
              <w:pStyle w:val="19"/>
              <w:numPr>
                <w:ilvl w:val="0"/>
                <w:numId w:val="1"/>
              </w:numPr>
              <w:spacing w:line="300" w:lineRule="exact"/>
              <w:ind w:right="36" w:rightChars="15" w:firstLineChars="0"/>
              <w:rPr>
                <w:rFonts w:ascii="Times New Roman" w:hAnsi="Times New Roman" w:eastAsia="楷体_GB2312" w:cs="Times New Roman"/>
                <w:color w:val="000000" w:themeColor="text1"/>
                <w:sz w:val="20"/>
                <w:szCs w:val="20"/>
                <w14:textFill>
                  <w14:solidFill>
                    <w14:schemeClr w14:val="tx1"/>
                  </w14:solidFill>
                </w14:textFill>
              </w:rPr>
            </w:pPr>
            <w:r>
              <w:rPr>
                <w:rFonts w:ascii="Times New Roman" w:hAnsi="Times New Roman" w:eastAsia="楷体_GB2312" w:cs="Times New Roman"/>
                <w:color w:val="000000" w:themeColor="text1"/>
                <w:sz w:val="20"/>
                <w:szCs w:val="20"/>
                <w14:textFill>
                  <w14:solidFill>
                    <w14:schemeClr w14:val="tx1"/>
                  </w14:solidFill>
                </w14:textFill>
              </w:rPr>
              <w:t>投资者在</w:t>
            </w:r>
            <w:r>
              <w:rPr>
                <w:rFonts w:hint="eastAsia" w:ascii="Times New Roman" w:hAnsi="Times New Roman" w:eastAsia="楷体_GB2312" w:cs="Times New Roman"/>
                <w:color w:val="000000" w:themeColor="text1"/>
                <w:sz w:val="20"/>
                <w:szCs w:val="20"/>
                <w14:textFill>
                  <w14:solidFill>
                    <w14:schemeClr w14:val="tx1"/>
                  </w14:solidFill>
                </w14:textFill>
              </w:rPr>
              <w:t>信银</w:t>
            </w:r>
            <w:r>
              <w:rPr>
                <w:rFonts w:ascii="Times New Roman" w:hAnsi="Times New Roman" w:eastAsia="楷体_GB2312" w:cs="Times New Roman"/>
                <w:color w:val="000000" w:themeColor="text1"/>
                <w:sz w:val="20"/>
                <w:szCs w:val="20"/>
                <w14:textFill>
                  <w14:solidFill>
                    <w14:schemeClr w14:val="tx1"/>
                  </w14:solidFill>
                </w14:textFill>
              </w:rPr>
              <w:t>理财直销渠道购买</w:t>
            </w:r>
            <w:r>
              <w:rPr>
                <w:rFonts w:hint="eastAsia" w:ascii="Times New Roman" w:hAnsi="Times New Roman" w:eastAsia="楷体_GB2312" w:cs="Times New Roman"/>
                <w:color w:val="000000" w:themeColor="text1"/>
                <w:sz w:val="20"/>
                <w:szCs w:val="20"/>
                <w14:textFill>
                  <w14:solidFill>
                    <w14:schemeClr w14:val="tx1"/>
                  </w14:solidFill>
                </w14:textFill>
              </w:rPr>
              <w:t>产品</w:t>
            </w:r>
            <w:r>
              <w:rPr>
                <w:rFonts w:ascii="Times New Roman" w:hAnsi="Times New Roman" w:eastAsia="楷体_GB2312" w:cs="Times New Roman"/>
                <w:color w:val="000000" w:themeColor="text1"/>
                <w:sz w:val="20"/>
                <w:szCs w:val="20"/>
                <w14:textFill>
                  <w14:solidFill>
                    <w14:schemeClr w14:val="tx1"/>
                  </w14:solidFill>
                </w14:textFill>
              </w:rPr>
              <w:t>的，募集期内可以撤单</w:t>
            </w:r>
            <w:r>
              <w:rPr>
                <w:rFonts w:hint="eastAsia" w:ascii="Times New Roman" w:hAnsi="Times New Roman" w:eastAsia="楷体_GB2312" w:cs="Times New Roman"/>
                <w:color w:val="000000" w:themeColor="text1"/>
                <w:sz w:val="20"/>
                <w:szCs w:val="20"/>
                <w14:textFill>
                  <w14:solidFill>
                    <w14:schemeClr w14:val="tx1"/>
                  </w14:solidFill>
                </w14:textFill>
              </w:rPr>
              <w:t>。撤单</w:t>
            </w:r>
            <w:r>
              <w:rPr>
                <w:rFonts w:ascii="Times New Roman" w:hAnsi="Times New Roman" w:eastAsia="楷体_GB2312" w:cs="Times New Roman"/>
                <w:color w:val="000000" w:themeColor="text1"/>
                <w:sz w:val="20"/>
                <w:szCs w:val="20"/>
                <w14:textFill>
                  <w14:solidFill>
                    <w14:schemeClr w14:val="tx1"/>
                  </w14:solidFill>
                </w14:textFill>
              </w:rPr>
              <w:t>具体规则</w:t>
            </w:r>
            <w:r>
              <w:rPr>
                <w:rFonts w:hint="eastAsia" w:ascii="Times New Roman" w:hAnsi="Times New Roman" w:eastAsia="楷体_GB2312" w:cs="Times New Roman"/>
                <w:color w:val="000000" w:themeColor="text1"/>
                <w:sz w:val="20"/>
                <w:szCs w:val="20"/>
                <w14:textFill>
                  <w14:solidFill>
                    <w14:schemeClr w14:val="tx1"/>
                  </w14:solidFill>
                </w14:textFill>
              </w:rPr>
              <w:t>以</w:t>
            </w:r>
            <w:r>
              <w:rPr>
                <w:rFonts w:ascii="Times New Roman" w:hAnsi="Times New Roman" w:eastAsia="楷体_GB2312" w:cs="Times New Roman"/>
                <w:color w:val="000000" w:themeColor="text1"/>
                <w:sz w:val="20"/>
                <w:szCs w:val="20"/>
                <w14:textFill>
                  <w14:solidFill>
                    <w14:schemeClr w14:val="tx1"/>
                  </w14:solidFill>
                </w14:textFill>
              </w:rPr>
              <w:t>信银理财</w:t>
            </w:r>
            <w:r>
              <w:rPr>
                <w:rFonts w:hint="eastAsia" w:ascii="Times New Roman" w:hAnsi="Times New Roman" w:eastAsia="楷体_GB2312" w:cs="Times New Roman"/>
                <w:color w:val="000000" w:themeColor="text1"/>
                <w:sz w:val="20"/>
                <w:szCs w:val="20"/>
                <w14:textFill>
                  <w14:solidFill>
                    <w14:schemeClr w14:val="tx1"/>
                  </w14:solidFill>
                </w14:textFill>
              </w:rPr>
              <w:t>说明</w:t>
            </w:r>
            <w:r>
              <w:rPr>
                <w:rFonts w:ascii="Times New Roman" w:hAnsi="Times New Roman" w:eastAsia="楷体_GB2312" w:cs="Times New Roman"/>
                <w:color w:val="000000" w:themeColor="text1"/>
                <w:sz w:val="20"/>
                <w:szCs w:val="20"/>
                <w14:textFill>
                  <w14:solidFill>
                    <w14:schemeClr w14:val="tx1"/>
                  </w14:solidFill>
                </w14:textFill>
              </w:rPr>
              <w:t>或公布的操作方式为准。</w:t>
            </w:r>
          </w:p>
          <w:p w14:paraId="3752EFF4">
            <w:pPr>
              <w:pStyle w:val="19"/>
              <w:spacing w:line="300" w:lineRule="exact"/>
              <w:ind w:left="358" w:right="36" w:rightChars="15" w:firstLine="0" w:firstLineChars="0"/>
              <w:rPr>
                <w:rFonts w:ascii="Times New Roman" w:hAnsi="Times New Roman" w:eastAsia="楷体_GB2312" w:cs="Times New Roman"/>
                <w:color w:val="000000" w:themeColor="text1"/>
                <w:sz w:val="20"/>
                <w:szCs w:val="20"/>
                <w14:textFill>
                  <w14:solidFill>
                    <w14:schemeClr w14:val="tx1"/>
                  </w14:solidFill>
                </w14:textFill>
              </w:rPr>
            </w:pPr>
            <w:r>
              <w:rPr>
                <w:rFonts w:hint="eastAsia" w:ascii="Times New Roman" w:hAnsi="Times New Roman" w:eastAsia="楷体_GB2312" w:cs="Times New Roman"/>
                <w:color w:val="000000" w:themeColor="text1"/>
                <w:sz w:val="20"/>
                <w:szCs w:val="20"/>
                <w14:textFill>
                  <w14:solidFill>
                    <w14:schemeClr w14:val="tx1"/>
                  </w14:solidFill>
                </w14:textFill>
              </w:rPr>
              <w:t>投资者在</w:t>
            </w:r>
            <w:r>
              <w:rPr>
                <w:rFonts w:ascii="Times New Roman" w:hAnsi="Times New Roman" w:eastAsia="楷体_GB2312" w:cs="Times New Roman"/>
                <w:color w:val="000000" w:themeColor="text1"/>
                <w:sz w:val="20"/>
                <w:szCs w:val="20"/>
                <w14:textFill>
                  <w14:solidFill>
                    <w14:schemeClr w14:val="tx1"/>
                  </w14:solidFill>
                </w14:textFill>
              </w:rPr>
              <w:t>代销</w:t>
            </w:r>
            <w:r>
              <w:rPr>
                <w:rFonts w:hint="eastAsia" w:ascii="Times New Roman" w:hAnsi="Times New Roman" w:eastAsia="楷体_GB2312" w:cs="Times New Roman"/>
                <w:color w:val="000000" w:themeColor="text1"/>
                <w:sz w:val="20"/>
                <w:szCs w:val="20"/>
                <w14:textFill>
                  <w14:solidFill>
                    <w14:schemeClr w14:val="tx1"/>
                  </w14:solidFill>
                </w14:textFill>
              </w:rPr>
              <w:t>机构</w:t>
            </w:r>
            <w:r>
              <w:rPr>
                <w:rFonts w:ascii="Times New Roman" w:hAnsi="Times New Roman" w:eastAsia="楷体_GB2312" w:cs="Times New Roman"/>
                <w:color w:val="000000" w:themeColor="text1"/>
                <w:sz w:val="20"/>
                <w:szCs w:val="20"/>
                <w14:textFill>
                  <w14:solidFill>
                    <w14:schemeClr w14:val="tx1"/>
                  </w14:solidFill>
                </w14:textFill>
              </w:rPr>
              <w:t>购买理财产品的，</w:t>
            </w:r>
            <w:r>
              <w:rPr>
                <w:rFonts w:hint="eastAsia" w:ascii="Times New Roman" w:hAnsi="Times New Roman" w:eastAsia="楷体_GB2312" w:cs="Times New Roman"/>
                <w:color w:val="000000" w:themeColor="text1"/>
                <w:sz w:val="20"/>
                <w:szCs w:val="20"/>
                <w14:textFill>
                  <w14:solidFill>
                    <w14:schemeClr w14:val="tx1"/>
                  </w14:solidFill>
                </w14:textFill>
              </w:rPr>
              <w:t>募集期</w:t>
            </w:r>
            <w:r>
              <w:rPr>
                <w:rFonts w:ascii="Times New Roman" w:hAnsi="Times New Roman" w:eastAsia="楷体_GB2312" w:cs="Times New Roman"/>
                <w:color w:val="000000" w:themeColor="text1"/>
                <w:sz w:val="20"/>
                <w:szCs w:val="20"/>
                <w14:textFill>
                  <w14:solidFill>
                    <w14:schemeClr w14:val="tx1"/>
                  </w14:solidFill>
                </w14:textFill>
              </w:rPr>
              <w:t>内是否可以撤单</w:t>
            </w:r>
            <w:r>
              <w:rPr>
                <w:rFonts w:hint="eastAsia" w:ascii="Times New Roman" w:hAnsi="Times New Roman" w:eastAsia="楷体_GB2312" w:cs="Times New Roman"/>
                <w:color w:val="000000" w:themeColor="text1"/>
                <w:sz w:val="20"/>
                <w:szCs w:val="20"/>
                <w14:textFill>
                  <w14:solidFill>
                    <w14:schemeClr w14:val="tx1"/>
                  </w14:solidFill>
                </w14:textFill>
              </w:rPr>
              <w:t>以及</w:t>
            </w:r>
            <w:r>
              <w:rPr>
                <w:rFonts w:ascii="Times New Roman" w:hAnsi="Times New Roman" w:eastAsia="楷体_GB2312" w:cs="Times New Roman"/>
                <w:color w:val="000000" w:themeColor="text1"/>
                <w:sz w:val="20"/>
                <w:szCs w:val="20"/>
                <w14:textFill>
                  <w14:solidFill>
                    <w14:schemeClr w14:val="tx1"/>
                  </w14:solidFill>
                </w14:textFill>
              </w:rPr>
              <w:t>撤单规则，以代销机构说明或公布的操作方式为准。</w:t>
            </w:r>
          </w:p>
          <w:p w14:paraId="428D9695">
            <w:pPr>
              <w:pStyle w:val="19"/>
              <w:spacing w:line="300" w:lineRule="exact"/>
              <w:ind w:left="358" w:right="36" w:rightChars="15" w:firstLine="0" w:firstLineChars="0"/>
              <w:rPr>
                <w:rFonts w:ascii="Times New Roman" w:hAnsi="Times New Roman" w:eastAsia="楷体_GB2312" w:cs="Times New Roman"/>
                <w:color w:val="000000" w:themeColor="text1"/>
                <w:sz w:val="20"/>
                <w:szCs w:val="20"/>
                <w14:textFill>
                  <w14:solidFill>
                    <w14:schemeClr w14:val="tx1"/>
                  </w14:solidFill>
                </w14:textFill>
              </w:rPr>
            </w:pPr>
            <w:r>
              <w:rPr>
                <w:rFonts w:hint="eastAsia" w:ascii="Times New Roman" w:hAnsi="Times New Roman" w:eastAsia="楷体_GB2312" w:cs="Times New Roman"/>
                <w:color w:val="000000" w:themeColor="text1"/>
                <w:sz w:val="20"/>
                <w:szCs w:val="20"/>
                <w14:textFill>
                  <w14:solidFill>
                    <w14:schemeClr w14:val="tx1"/>
                  </w14:solidFill>
                </w14:textFill>
              </w:rPr>
              <w:t>“可以</w:t>
            </w:r>
            <w:r>
              <w:rPr>
                <w:rFonts w:ascii="Times New Roman" w:hAnsi="Times New Roman" w:eastAsia="楷体_GB2312" w:cs="Times New Roman"/>
                <w:color w:val="000000" w:themeColor="text1"/>
                <w:sz w:val="20"/>
                <w:szCs w:val="20"/>
                <w14:textFill>
                  <w14:solidFill>
                    <w14:schemeClr w14:val="tx1"/>
                  </w14:solidFill>
                </w14:textFill>
              </w:rPr>
              <w:t>撤单</w:t>
            </w:r>
            <w:r>
              <w:rPr>
                <w:rFonts w:hint="eastAsia" w:ascii="Times New Roman" w:hAnsi="Times New Roman" w:eastAsia="楷体_GB2312" w:cs="Times New Roman"/>
                <w:color w:val="000000" w:themeColor="text1"/>
                <w:sz w:val="20"/>
                <w:szCs w:val="20"/>
                <w14:textFill>
                  <w14:solidFill>
                    <w14:schemeClr w14:val="tx1"/>
                  </w14:solidFill>
                </w14:textFill>
              </w:rPr>
              <w:t>”则</w:t>
            </w:r>
            <w:r>
              <w:rPr>
                <w:rFonts w:ascii="Times New Roman" w:hAnsi="Times New Roman" w:eastAsia="楷体_GB2312" w:cs="Times New Roman"/>
                <w:color w:val="000000" w:themeColor="text1"/>
                <w:sz w:val="20"/>
                <w:szCs w:val="20"/>
                <w14:textFill>
                  <w14:solidFill>
                    <w14:schemeClr w14:val="tx1"/>
                  </w14:solidFill>
                </w14:textFill>
              </w:rPr>
              <w:t>意味着</w:t>
            </w:r>
            <w:r>
              <w:rPr>
                <w:rFonts w:hint="eastAsia" w:ascii="Times New Roman" w:hAnsi="Times New Roman" w:eastAsia="楷体_GB2312" w:cs="Times New Roman"/>
                <w:color w:val="000000" w:themeColor="text1"/>
                <w:sz w:val="20"/>
                <w:szCs w:val="20"/>
                <w14:textFill>
                  <w14:solidFill>
                    <w14:schemeClr w14:val="tx1"/>
                  </w14:solidFill>
                </w14:textFill>
              </w:rPr>
              <w:t>投资者有权撤销其已向信银理财或代销机构提交的认购申请。</w:t>
            </w:r>
          </w:p>
          <w:p w14:paraId="1D58EEDF">
            <w:pPr>
              <w:pStyle w:val="19"/>
              <w:numPr>
                <w:ilvl w:val="0"/>
                <w:numId w:val="1"/>
              </w:numPr>
              <w:spacing w:line="300" w:lineRule="exact"/>
              <w:ind w:right="36" w:rightChars="15" w:firstLineChars="0"/>
              <w:rPr>
                <w:rFonts w:ascii="Times New Roman" w:hAnsi="Times New Roman" w:eastAsia="楷体_GB2312" w:cs="Times New Roman"/>
                <w:color w:val="000000" w:themeColor="text1"/>
                <w:sz w:val="20"/>
                <w:szCs w:val="20"/>
                <w14:textFill>
                  <w14:solidFill>
                    <w14:schemeClr w14:val="tx1"/>
                  </w14:solidFill>
                </w14:textFill>
              </w:rPr>
            </w:pPr>
            <w:r>
              <w:rPr>
                <w:rFonts w:hint="eastAsia" w:ascii="Times New Roman" w:hAnsi="Times New Roman" w:eastAsia="楷体_GB2312" w:cs="Times New Roman"/>
                <w:color w:val="000000" w:themeColor="text1"/>
                <w:sz w:val="20"/>
                <w:szCs w:val="20"/>
                <w14:textFill>
                  <w14:solidFill>
                    <w14:schemeClr w14:val="tx1"/>
                  </w14:solidFill>
                </w14:textFill>
              </w:rPr>
              <w:t>募集期内管理人不向投资者认购款项计付利息，是否计付利息以代销机构为准。</w:t>
            </w:r>
          </w:p>
        </w:tc>
      </w:tr>
      <w:tr w14:paraId="611F8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38A2AEB">
            <w:pPr>
              <w:spacing w:line="300" w:lineRule="atLeast"/>
              <w:ind w:left="-2" w:right="31"/>
              <w:rPr>
                <w:rFonts w:ascii="Times New Roman" w:hAnsi="Times New Roman" w:eastAsia="楷体_GB2312" w:cs="Times New Roman"/>
                <w:color w:val="000000" w:themeColor="text1"/>
                <w:sz w:val="20"/>
                <w:szCs w:val="20"/>
                <w14:textFill>
                  <w14:solidFill>
                    <w14:schemeClr w14:val="tx1"/>
                  </w14:solidFill>
                </w14:textFill>
              </w:rPr>
            </w:pPr>
            <w:r>
              <w:rPr>
                <w:rFonts w:hint="eastAsia" w:ascii="Times New Roman" w:hAnsi="Times New Roman" w:eastAsia="楷体_GB2312" w:cs="Times New Roman"/>
                <w:color w:val="000000" w:themeColor="text1"/>
                <w:sz w:val="20"/>
                <w:szCs w:val="20"/>
                <w14:textFill>
                  <w14:solidFill>
                    <w14:schemeClr w14:val="tx1"/>
                  </w14:solidFill>
                </w14:textFill>
              </w:rPr>
              <w:t>运作</w:t>
            </w:r>
            <w:r>
              <w:rPr>
                <w:rFonts w:ascii="Times New Roman" w:hAnsi="Times New Roman" w:eastAsia="楷体_GB2312" w:cs="Times New Roman"/>
                <w:color w:val="000000" w:themeColor="text1"/>
                <w:sz w:val="20"/>
                <w:szCs w:val="20"/>
                <w14:textFill>
                  <w14:solidFill>
                    <w14:schemeClr w14:val="tx1"/>
                  </w14:solidFill>
                </w14:textFill>
              </w:rPr>
              <w:t>起始</w:t>
            </w:r>
            <w:r>
              <w:rPr>
                <w:rFonts w:hint="eastAsia" w:ascii="Times New Roman" w:hAnsi="Times New Roman" w:eastAsia="楷体_GB2312" w:cs="Times New Roman"/>
                <w:color w:val="000000" w:themeColor="text1"/>
                <w:sz w:val="20"/>
                <w:szCs w:val="20"/>
                <w14:textFill>
                  <w14:solidFill>
                    <w14:schemeClr w14:val="tx1"/>
                  </w14:solidFill>
                </w14:textFill>
              </w:rPr>
              <w:t>日</w:t>
            </w:r>
          </w:p>
        </w:tc>
        <w:tc>
          <w:tcPr>
            <w:tcW w:w="3740" w:type="pct"/>
            <w:vAlign w:val="center"/>
          </w:tcPr>
          <w:p w14:paraId="4A62251B">
            <w:pPr>
              <w:spacing w:line="300" w:lineRule="atLeast"/>
              <w:ind w:left="-2" w:right="31"/>
              <w:rPr>
                <w:rFonts w:ascii="楷体_GB2312" w:hAnsi="Times New Roman" w:eastAsia="楷体_GB2312" w:cs="Times New Roman"/>
                <w:color w:val="000000" w:themeColor="text1"/>
                <w:sz w:val="20"/>
                <w:szCs w:val="20"/>
                <w14:textFill>
                  <w14:solidFill>
                    <w14:schemeClr w14:val="tx1"/>
                  </w14:solidFill>
                </w14:textFill>
              </w:rPr>
            </w:pPr>
            <w:r>
              <w:rPr>
                <w:rFonts w:hint="eastAsia" w:ascii="楷体_GB2312" w:eastAsia="楷体_GB2312" w:cs="Times New Roman"/>
                <w:color w:val="000000" w:themeColor="text1"/>
                <w:sz w:val="20"/>
                <w:szCs w:val="20"/>
                <w14:textFill>
                  <w14:solidFill>
                    <w14:schemeClr w14:val="tx1"/>
                  </w14:solidFill>
                </w14:textFill>
              </w:rPr>
              <w:t>【</w:t>
            </w:r>
            <w:r>
              <w:rPr>
                <w:rFonts w:ascii="楷体_GB2312" w:eastAsia="楷体_GB2312" w:cs="Times New Roman"/>
                <w:color w:val="000000" w:themeColor="text1"/>
                <w:sz w:val="20"/>
                <w:szCs w:val="20"/>
                <w14:textFill>
                  <w14:solidFill>
                    <w14:schemeClr w14:val="tx1"/>
                  </w14:solidFill>
                </w14:textFill>
              </w:rPr>
              <w:t>2024】年【12】月【12】日</w:t>
            </w:r>
            <w:r>
              <w:rPr>
                <w:rFonts w:hint="eastAsia" w:ascii="楷体_GB2312" w:hAnsi="Times New Roman" w:eastAsia="楷体_GB2312" w:cs="Times New Roman"/>
                <w:color w:val="000000" w:themeColor="text1"/>
                <w:sz w:val="20"/>
                <w:szCs w:val="20"/>
                <w14:textFill>
                  <w14:solidFill>
                    <w14:schemeClr w14:val="tx1"/>
                  </w14:solidFill>
                </w14:textFill>
              </w:rPr>
              <w:t>（如信银理财调整募集期，则运作起始日将相应调整。）</w:t>
            </w:r>
          </w:p>
        </w:tc>
      </w:tr>
      <w:tr w14:paraId="380A6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6700ED45">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产品建仓期</w:t>
            </w:r>
          </w:p>
        </w:tc>
        <w:tc>
          <w:tcPr>
            <w:tcW w:w="3740" w:type="pct"/>
            <w:vAlign w:val="center"/>
          </w:tcPr>
          <w:p w14:paraId="74AC5C97">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【2024】年【12】月【12】日至【2025】年【1】月【11】日。</w:t>
            </w:r>
          </w:p>
        </w:tc>
      </w:tr>
      <w:tr w14:paraId="0297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5427CE37">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到期日</w:t>
            </w:r>
          </w:p>
        </w:tc>
        <w:tc>
          <w:tcPr>
            <w:tcW w:w="3740" w:type="pct"/>
            <w:vAlign w:val="center"/>
          </w:tcPr>
          <w:p w14:paraId="3AF6E677">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sz w:val="20"/>
                <w:szCs w:val="20"/>
              </w:rPr>
              <w:t>无固定期限</w:t>
            </w:r>
          </w:p>
        </w:tc>
      </w:tr>
      <w:tr w14:paraId="0E08E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1AC0C761">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最短</w:t>
            </w:r>
            <w:r>
              <w:rPr>
                <w:rFonts w:ascii="楷体_GB2312" w:eastAsia="楷体_GB2312" w:cs="楷体_GB2312"/>
                <w:color w:val="000000" w:themeColor="text1"/>
                <w:sz w:val="20"/>
                <w:szCs w:val="20"/>
                <w14:textFill>
                  <w14:solidFill>
                    <w14:schemeClr w14:val="tx1"/>
                  </w14:solidFill>
                </w14:textFill>
              </w:rPr>
              <w:t>持有期</w:t>
            </w:r>
          </w:p>
        </w:tc>
        <w:tc>
          <w:tcPr>
            <w:tcW w:w="3740" w:type="pct"/>
            <w:vAlign w:val="center"/>
          </w:tcPr>
          <w:p w14:paraId="786EBA3C">
            <w:pPr>
              <w:spacing w:line="300" w:lineRule="exact"/>
              <w:ind w:left="-2" w:leftChars="-1" w:right="96" w:rightChars="4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w:t>
            </w:r>
            <w:r>
              <w:rPr>
                <w:rFonts w:ascii="楷体_GB2312" w:eastAsia="楷体_GB2312" w:cs="楷体_GB2312"/>
                <w:color w:val="000000" w:themeColor="text1"/>
                <w:sz w:val="20"/>
                <w:szCs w:val="20"/>
                <w14:textFill>
                  <w14:solidFill>
                    <w14:schemeClr w14:val="tx1"/>
                  </w14:solidFill>
                </w14:textFill>
              </w:rPr>
              <w:t>产品的最短持有期为【</w:t>
            </w:r>
            <w:r>
              <w:rPr>
                <w:rFonts w:hint="eastAsia" w:ascii="楷体_GB2312" w:eastAsia="楷体_GB2312" w:cs="楷体_GB2312"/>
                <w:color w:val="000000" w:themeColor="text1"/>
                <w:sz w:val="20"/>
                <w:szCs w:val="20"/>
                <w14:textFill>
                  <w14:solidFill>
                    <w14:schemeClr w14:val="tx1"/>
                  </w14:solidFill>
                </w14:textFill>
              </w:rPr>
              <w:t>90</w:t>
            </w:r>
            <w:r>
              <w:rPr>
                <w:rFonts w:ascii="楷体_GB2312" w:eastAsia="楷体_GB2312" w:cs="楷体_GB2312"/>
                <w:color w:val="000000" w:themeColor="text1"/>
                <w:sz w:val="20"/>
                <w:szCs w:val="20"/>
                <w14:textFill>
                  <w14:solidFill>
                    <w14:schemeClr w14:val="tx1"/>
                  </w14:solidFill>
                </w14:textFill>
              </w:rPr>
              <w:t>】自然</w:t>
            </w:r>
            <w:r>
              <w:rPr>
                <w:rFonts w:hint="eastAsia" w:ascii="楷体_GB2312" w:eastAsia="楷体_GB2312" w:cs="楷体_GB2312"/>
                <w:color w:val="000000" w:themeColor="text1"/>
                <w:sz w:val="20"/>
                <w:szCs w:val="20"/>
                <w14:textFill>
                  <w14:solidFill>
                    <w14:schemeClr w14:val="tx1"/>
                  </w14:solidFill>
                </w14:textFill>
              </w:rPr>
              <w:t>日，</w:t>
            </w:r>
            <w:r>
              <w:rPr>
                <w:rFonts w:ascii="楷体_GB2312" w:eastAsia="楷体_GB2312" w:cs="楷体_GB2312"/>
                <w:color w:val="000000" w:themeColor="text1"/>
                <w:sz w:val="20"/>
                <w:szCs w:val="20"/>
                <w14:textFill>
                  <w14:solidFill>
                    <w14:schemeClr w14:val="tx1"/>
                  </w14:solidFill>
                </w14:textFill>
              </w:rPr>
              <w:t>即投资者成功购买本产品份额后，自该份额确认日（</w:t>
            </w:r>
            <w:r>
              <w:rPr>
                <w:rFonts w:hint="eastAsia" w:ascii="楷体_GB2312" w:eastAsia="楷体_GB2312" w:cs="楷体_GB2312"/>
                <w:color w:val="000000" w:themeColor="text1"/>
                <w:sz w:val="20"/>
                <w:szCs w:val="20"/>
                <w14:textFill>
                  <w14:solidFill>
                    <w14:schemeClr w14:val="tx1"/>
                  </w14:solidFill>
                </w14:textFill>
              </w:rPr>
              <w:t>含</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起</w:t>
            </w:r>
            <w:r>
              <w:rPr>
                <w:rFonts w:ascii="楷体_GB2312" w:eastAsia="楷体_GB2312" w:cs="楷体_GB2312"/>
                <w:color w:val="000000" w:themeColor="text1"/>
                <w:sz w:val="20"/>
                <w:szCs w:val="20"/>
                <w14:textFill>
                  <w14:solidFill>
                    <w14:schemeClr w14:val="tx1"/>
                  </w14:solidFill>
                </w14:textFill>
              </w:rPr>
              <w:t>连续持有超过【</w:t>
            </w:r>
            <w:r>
              <w:rPr>
                <w:rFonts w:hint="eastAsia" w:ascii="楷体_GB2312" w:eastAsia="楷体_GB2312" w:cs="楷体_GB2312"/>
                <w:color w:val="000000" w:themeColor="text1"/>
                <w:sz w:val="20"/>
                <w:szCs w:val="20"/>
                <w14:textFill>
                  <w14:solidFill>
                    <w14:schemeClr w14:val="tx1"/>
                  </w14:solidFill>
                </w14:textFill>
              </w:rPr>
              <w:t>90</w:t>
            </w:r>
            <w:r>
              <w:rPr>
                <w:rFonts w:ascii="楷体_GB2312" w:eastAsia="楷体_GB2312" w:cs="楷体_GB2312"/>
                <w:color w:val="000000" w:themeColor="text1"/>
                <w:sz w:val="20"/>
                <w:szCs w:val="20"/>
                <w14:textFill>
                  <w14:solidFill>
                    <w14:schemeClr w14:val="tx1"/>
                  </w14:solidFill>
                </w14:textFill>
              </w:rPr>
              <w:t>】自然</w:t>
            </w:r>
            <w:r>
              <w:rPr>
                <w:rFonts w:hint="eastAsia" w:ascii="楷体_GB2312" w:eastAsia="楷体_GB2312" w:cs="楷体_GB2312"/>
                <w:color w:val="000000" w:themeColor="text1"/>
                <w:sz w:val="20"/>
                <w:szCs w:val="20"/>
                <w14:textFill>
                  <w14:solidFill>
                    <w14:schemeClr w14:val="tx1"/>
                  </w14:solidFill>
                </w14:textFill>
              </w:rPr>
              <w:t>日</w:t>
            </w:r>
            <w:r>
              <w:rPr>
                <w:rFonts w:ascii="楷体_GB2312" w:eastAsia="楷体_GB2312" w:cs="楷体_GB2312"/>
                <w:color w:val="000000" w:themeColor="text1"/>
                <w:sz w:val="20"/>
                <w:szCs w:val="20"/>
                <w14:textFill>
                  <w14:solidFill>
                    <w14:schemeClr w14:val="tx1"/>
                  </w14:solidFill>
                </w14:textFill>
              </w:rPr>
              <w:t>，方可在开放日的交易时间发起相应份额的赎回申请</w:t>
            </w:r>
            <w:r>
              <w:rPr>
                <w:rFonts w:hint="eastAsia" w:ascii="楷体_GB2312" w:eastAsia="楷体_GB2312" w:cs="楷体_GB2312"/>
                <w:color w:val="000000" w:themeColor="text1"/>
                <w:sz w:val="20"/>
                <w:szCs w:val="20"/>
                <w14:textFill>
                  <w14:solidFill>
                    <w14:schemeClr w14:val="tx1"/>
                  </w14:solidFill>
                </w14:textFill>
              </w:rPr>
              <w:t>。</w:t>
            </w:r>
          </w:p>
        </w:tc>
      </w:tr>
      <w:tr w14:paraId="50951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2589115">
            <w:pPr>
              <w:spacing w:line="300" w:lineRule="exact"/>
              <w:ind w:left="-2" w:leftChars="-1" w:right="36" w:rightChars="15"/>
              <w:rPr>
                <w:rFonts w:ascii="Times New Roman" w:eastAsia="楷体_GB2312" w:cs="楷体_GB2312"/>
                <w:color w:val="000000" w:themeColor="text1"/>
                <w:sz w:val="20"/>
                <w:szCs w:val="20"/>
                <w:highlight w:val="yellow"/>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开放日</w:t>
            </w:r>
          </w:p>
        </w:tc>
        <w:tc>
          <w:tcPr>
            <w:tcW w:w="3740" w:type="pct"/>
            <w:vAlign w:val="center"/>
          </w:tcPr>
          <w:p w14:paraId="32D38707">
            <w:pPr>
              <w:spacing w:line="300" w:lineRule="exact"/>
              <w:ind w:left="-2" w:leftChars="-1" w:right="96" w:rightChars="40"/>
              <w:rPr>
                <w:rFonts w:ascii="楷体_GB2312" w:eastAsia="楷体_GB2312" w:cs="楷体_GB2312"/>
                <w:sz w:val="20"/>
                <w:szCs w:val="20"/>
              </w:rPr>
            </w:pPr>
            <w:r>
              <w:rPr>
                <w:rFonts w:hint="eastAsia" w:ascii="楷体_GB2312" w:eastAsia="楷体_GB2312" w:cs="楷体_GB2312"/>
                <w:color w:val="000000" w:themeColor="text1"/>
                <w:sz w:val="20"/>
                <w:szCs w:val="20"/>
                <w14:textFill>
                  <w14:solidFill>
                    <w14:schemeClr w14:val="tx1"/>
                  </w14:solidFill>
                </w14:textFill>
              </w:rPr>
              <w:t>1</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本产品首个申购开放日为【2024】年【12】月【13】日</w:t>
            </w:r>
            <w:r>
              <w:rPr>
                <w:rFonts w:ascii="楷体_GB2312" w:eastAsia="楷体_GB2312" w:cs="楷体_GB2312"/>
                <w:sz w:val="20"/>
                <w:szCs w:val="20"/>
              </w:rPr>
              <w:t>，之后【</w:t>
            </w:r>
            <w:r>
              <w:rPr>
                <w:rFonts w:hint="eastAsia" w:ascii="楷体_GB2312" w:eastAsia="楷体_GB2312" w:cs="楷体_GB2312"/>
                <w:sz w:val="20"/>
                <w:szCs w:val="20"/>
              </w:rPr>
              <w:t>每个</w:t>
            </w:r>
            <w:r>
              <w:rPr>
                <w:rFonts w:ascii="楷体_GB2312" w:eastAsia="楷体_GB2312" w:cs="楷体_GB2312"/>
                <w:sz w:val="20"/>
                <w:szCs w:val="20"/>
              </w:rPr>
              <w:t>工作日】开放申购（如遇非工作日则顺延至下一工作日）。</w:t>
            </w:r>
          </w:p>
          <w:p w14:paraId="1F8081B0">
            <w:pPr>
              <w:spacing w:line="300" w:lineRule="exact"/>
              <w:ind w:right="96" w:rightChars="40"/>
              <w:rPr>
                <w:rFonts w:ascii="楷体_GB2312" w:eastAsia="楷体_GB2312" w:cs="楷体_GB2312"/>
                <w:sz w:val="20"/>
                <w:szCs w:val="20"/>
              </w:rPr>
            </w:pPr>
            <w:r>
              <w:rPr>
                <w:rFonts w:ascii="楷体_GB2312" w:eastAsia="楷体_GB2312" w:cs="楷体_GB2312"/>
                <w:sz w:val="20"/>
                <w:szCs w:val="20"/>
              </w:rPr>
              <w:t>2.本产品【</w:t>
            </w:r>
            <w:r>
              <w:rPr>
                <w:rFonts w:hint="eastAsia" w:ascii="楷体_GB2312" w:eastAsia="楷体_GB2312" w:cs="楷体_GB2312"/>
                <w:sz w:val="20"/>
                <w:szCs w:val="20"/>
              </w:rPr>
              <w:t>每个工作日</w:t>
            </w:r>
            <w:r>
              <w:rPr>
                <w:rFonts w:ascii="楷体_GB2312" w:eastAsia="楷体_GB2312" w:cs="楷体_GB2312"/>
                <w:sz w:val="20"/>
                <w:szCs w:val="20"/>
              </w:rPr>
              <w:t>】开放赎回，投资者可以针对超过最短持有期后的产品份额发起赎回申请（如遇非工作日则顺延至下一工作日）。</w:t>
            </w:r>
          </w:p>
          <w:p w14:paraId="2743DB72">
            <w:pPr>
              <w:spacing w:line="300" w:lineRule="exact"/>
              <w:ind w:left="-2" w:leftChars="-1" w:right="96" w:rightChars="40"/>
              <w:rPr>
                <w:rFonts w:ascii="楷体_GB2312" w:eastAsia="楷体_GB2312" w:cs="楷体_GB2312"/>
                <w:color w:val="000000" w:themeColor="text1"/>
                <w:sz w:val="20"/>
                <w:szCs w:val="20"/>
                <w:highlight w:val="yellow"/>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3.如因实际投资运作需要等因素，管理人有权增加或调整开放日</w:t>
            </w:r>
            <w:r>
              <w:rPr>
                <w:rFonts w:hint="eastAsia" w:ascii="楷体_GB2312" w:eastAsia="楷体_GB2312" w:cs="楷体_GB2312"/>
                <w:color w:val="000000" w:themeColor="text1"/>
                <w:sz w:val="20"/>
                <w:szCs w:val="20"/>
                <w14:textFill>
                  <w14:solidFill>
                    <w14:schemeClr w14:val="tx1"/>
                  </w14:solidFill>
                </w14:textFill>
              </w:rPr>
              <w:t>和</w:t>
            </w:r>
            <w:r>
              <w:rPr>
                <w:rFonts w:ascii="楷体_GB2312" w:eastAsia="楷体_GB2312" w:cs="楷体_GB2312"/>
                <w:color w:val="000000" w:themeColor="text1"/>
                <w:sz w:val="20"/>
                <w:szCs w:val="20"/>
                <w14:textFill>
                  <w14:solidFill>
                    <w14:schemeClr w14:val="tx1"/>
                  </w14:solidFill>
                </w14:textFill>
              </w:rPr>
              <w:t>到期日，并最迟于增加或调整生效前</w:t>
            </w:r>
            <w:r>
              <w:rPr>
                <w:rFonts w:hint="eastAsia" w:ascii="楷体_GB2312" w:eastAsia="楷体_GB2312" w:cs="楷体_GB2312"/>
                <w:color w:val="000000" w:themeColor="text1"/>
                <w:sz w:val="20"/>
                <w:szCs w:val="20"/>
                <w14:textFill>
                  <w14:solidFill>
                    <w14:schemeClr w14:val="tx1"/>
                  </w14:solidFill>
                </w14:textFill>
              </w:rPr>
              <w:t>【2</w:t>
            </w:r>
            <w:r>
              <w:rPr>
                <w:rFonts w:ascii="楷体_GB2312" w:eastAsia="楷体_GB2312" w:cs="楷体_GB2312"/>
                <w:color w:val="000000" w:themeColor="text1"/>
                <w:sz w:val="20"/>
                <w:szCs w:val="20"/>
                <w14:textFill>
                  <w14:solidFill>
                    <w14:schemeClr w14:val="tx1"/>
                  </w14:solidFill>
                </w14:textFill>
              </w:rPr>
              <w:t>】个工作日</w:t>
            </w:r>
            <w:r>
              <w:rPr>
                <w:rFonts w:hint="eastAsia" w:ascii="楷体_GB2312" w:eastAsia="楷体_GB2312" w:cs="楷体_GB2312"/>
                <w:color w:val="000000" w:themeColor="text1"/>
                <w:sz w:val="20"/>
                <w:szCs w:val="20"/>
                <w14:textFill>
                  <w14:solidFill>
                    <w14:schemeClr w14:val="tx1"/>
                  </w14:solidFill>
                </w14:textFill>
              </w:rPr>
              <w:t>以</w:t>
            </w:r>
            <w:r>
              <w:rPr>
                <w:rFonts w:ascii="楷体_GB2312" w:eastAsia="楷体_GB2312" w:cs="楷体_GB2312"/>
                <w:color w:val="000000" w:themeColor="text1"/>
                <w:sz w:val="20"/>
                <w:szCs w:val="20"/>
                <w14:textFill>
                  <w14:solidFill>
                    <w14:schemeClr w14:val="tx1"/>
                  </w14:solidFill>
                </w14:textFill>
              </w:rPr>
              <w:t>本说明书约定的方式</w:t>
            </w:r>
            <w:r>
              <w:rPr>
                <w:rFonts w:hint="eastAsia" w:ascii="楷体_GB2312" w:eastAsia="楷体_GB2312" w:cs="楷体_GB2312"/>
                <w:color w:val="000000" w:themeColor="text1"/>
                <w:sz w:val="20"/>
                <w:szCs w:val="20"/>
                <w14:textFill>
                  <w14:solidFill>
                    <w14:schemeClr w14:val="tx1"/>
                  </w14:solidFill>
                </w14:textFill>
              </w:rPr>
              <w:t>向投资者发布相关信息</w:t>
            </w:r>
            <w:r>
              <w:rPr>
                <w:rFonts w:ascii="楷体_GB2312" w:eastAsia="楷体_GB2312" w:cs="楷体_GB2312"/>
                <w:color w:val="000000" w:themeColor="text1"/>
                <w:sz w:val="20"/>
                <w:szCs w:val="20"/>
                <w14:textFill>
                  <w14:solidFill>
                    <w14:schemeClr w14:val="tx1"/>
                  </w14:solidFill>
                </w14:textFill>
              </w:rPr>
              <w:t xml:space="preserve">。 </w:t>
            </w:r>
          </w:p>
        </w:tc>
      </w:tr>
      <w:tr w14:paraId="519B6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7F0A3A3">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清算期</w:t>
            </w:r>
          </w:p>
        </w:tc>
        <w:tc>
          <w:tcPr>
            <w:tcW w:w="3740" w:type="pct"/>
            <w:vAlign w:val="center"/>
          </w:tcPr>
          <w:p w14:paraId="4823934C">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到期日（或理财产品实际终止日）至投资者持有</w:t>
            </w:r>
            <w:r>
              <w:rPr>
                <w:rFonts w:ascii="楷体_GB2312" w:eastAsia="楷体_GB2312" w:cs="楷体_GB2312"/>
                <w:color w:val="000000" w:themeColor="text1"/>
                <w:sz w:val="20"/>
                <w:szCs w:val="20"/>
                <w14:textFill>
                  <w14:solidFill>
                    <w14:schemeClr w14:val="tx1"/>
                  </w14:solidFill>
                </w14:textFill>
              </w:rPr>
              <w:t>的本</w:t>
            </w: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产品份额清零之日</w:t>
            </w:r>
            <w:r>
              <w:rPr>
                <w:rFonts w:hint="eastAsia" w:ascii="楷体_GB2312" w:eastAsia="楷体_GB2312" w:cs="楷体_GB2312"/>
                <w:color w:val="000000" w:themeColor="text1"/>
                <w:sz w:val="20"/>
                <w:szCs w:val="20"/>
                <w14:textFill>
                  <w14:solidFill>
                    <w14:schemeClr w14:val="tx1"/>
                  </w14:solidFill>
                </w14:textFill>
              </w:rPr>
              <w:t>为清算期。</w:t>
            </w:r>
          </w:p>
        </w:tc>
      </w:tr>
      <w:tr w14:paraId="33EAF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456801AD">
            <w:pPr>
              <w:spacing w:line="300" w:lineRule="exact"/>
              <w:ind w:right="36" w:rightChars="15"/>
              <w:rPr>
                <w:rFonts w:ascii="Times New Roman" w:eastAsia="楷体_GB2312" w:cs="楷体_GB2312"/>
                <w:color w:val="000000" w:themeColor="text1"/>
                <w:sz w:val="20"/>
                <w:szCs w:val="20"/>
                <w14:textFill>
                  <w14:solidFill>
                    <w14:schemeClr w14:val="tx1"/>
                  </w14:solidFill>
                </w14:textFill>
              </w:rPr>
            </w:pPr>
            <w:r>
              <w:rPr>
                <w:rFonts w:ascii="Times New Roman" w:eastAsia="楷体_GB2312" w:cs="楷体_GB2312"/>
                <w:color w:val="000000" w:themeColor="text1"/>
                <w:sz w:val="20"/>
                <w:szCs w:val="20"/>
                <w14:textFill>
                  <w14:solidFill>
                    <w14:schemeClr w14:val="tx1"/>
                  </w14:solidFill>
                </w14:textFill>
              </w:rPr>
              <w:t>业绩</w:t>
            </w:r>
            <w:r>
              <w:rPr>
                <w:rFonts w:hint="eastAsia" w:ascii="Times New Roman" w:eastAsia="楷体_GB2312" w:cs="楷体_GB2312"/>
                <w:color w:val="000000" w:themeColor="text1"/>
                <w:sz w:val="20"/>
                <w:szCs w:val="20"/>
                <w14:textFill>
                  <w14:solidFill>
                    <w14:schemeClr w14:val="tx1"/>
                  </w14:solidFill>
                </w14:textFill>
              </w:rPr>
              <w:t>比较</w:t>
            </w:r>
            <w:r>
              <w:rPr>
                <w:rFonts w:ascii="Times New Roman" w:eastAsia="楷体_GB2312" w:cs="楷体_GB2312"/>
                <w:color w:val="000000" w:themeColor="text1"/>
                <w:sz w:val="20"/>
                <w:szCs w:val="20"/>
                <w14:textFill>
                  <w14:solidFill>
                    <w14:schemeClr w14:val="tx1"/>
                  </w14:solidFill>
                </w14:textFill>
              </w:rPr>
              <w:t>基准</w:t>
            </w:r>
          </w:p>
        </w:tc>
        <w:tc>
          <w:tcPr>
            <w:tcW w:w="3740" w:type="pct"/>
            <w:vAlign w:val="center"/>
          </w:tcPr>
          <w:p w14:paraId="3AF332EF">
            <w:pPr>
              <w:spacing w:line="300" w:lineRule="exact"/>
              <w:ind w:right="36" w:rightChars="15"/>
              <w:jc w:val="both"/>
              <w:rPr>
                <w:rFonts w:ascii="楷体_GB2312" w:eastAsia="楷体_GB2312" w:cs="楷体_GB2312"/>
                <w:color w:val="000000" w:themeColor="text1"/>
                <w:sz w:val="20"/>
                <w:szCs w:val="20"/>
                <w:highlight w:val="yellow"/>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【B】类份额：【中债</w:t>
            </w:r>
            <w:r>
              <w:rPr>
                <w:rFonts w:ascii="楷体_GB2312" w:eastAsia="楷体_GB2312" w:cs="楷体_GB2312"/>
                <w:color w:val="000000" w:themeColor="text1"/>
                <w:sz w:val="20"/>
                <w:szCs w:val="20"/>
                <w14:textFill>
                  <w14:solidFill>
                    <w14:schemeClr w14:val="tx1"/>
                  </w14:solidFill>
                </w14:textFill>
              </w:rPr>
              <w:t>-新综合全价（1年以下）指数</w:t>
            </w:r>
            <w:r>
              <w:rPr>
                <w:rFonts w:hint="eastAsia" w:ascii="楷体_GB2312" w:eastAsia="楷体_GB2312" w:cs="楷体_GB2312"/>
                <w:color w:val="000000" w:themeColor="text1"/>
                <w:sz w:val="20"/>
                <w:szCs w:val="20"/>
                <w14:textFill>
                  <w14:solidFill>
                    <w14:schemeClr w14:val="tx1"/>
                  </w14:solidFill>
                </w14:textFill>
              </w:rPr>
              <w:t>】</w:t>
            </w:r>
            <w:r>
              <w:br w:type="textWrapping"/>
            </w:r>
            <w:r>
              <w:rPr>
                <w:rFonts w:hint="eastAsia" w:ascii="楷体_GB2312" w:eastAsia="楷体_GB2312" w:cs="楷体_GB2312"/>
                <w:color w:val="000000" w:themeColor="text1"/>
                <w:sz w:val="20"/>
                <w:szCs w:val="20"/>
                <w14:textFill>
                  <w14:solidFill>
                    <w14:schemeClr w14:val="tx1"/>
                  </w14:solidFill>
                </w14:textFill>
              </w:rPr>
              <w:t>【G】类份额：【中债</w:t>
            </w:r>
            <w:r>
              <w:rPr>
                <w:rFonts w:ascii="楷体_GB2312" w:eastAsia="楷体_GB2312" w:cs="楷体_GB2312"/>
                <w:color w:val="000000" w:themeColor="text1"/>
                <w:sz w:val="20"/>
                <w:szCs w:val="20"/>
                <w14:textFill>
                  <w14:solidFill>
                    <w14:schemeClr w14:val="tx1"/>
                  </w14:solidFill>
                </w14:textFill>
              </w:rPr>
              <w:t>-新综合全价（1年以下）指数</w:t>
            </w:r>
            <w:r>
              <w:rPr>
                <w:rFonts w:hint="eastAsia" w:ascii="楷体_GB2312" w:eastAsia="楷体_GB2312" w:cs="楷体_GB2312"/>
                <w:color w:val="000000" w:themeColor="text1"/>
                <w:sz w:val="20"/>
                <w:szCs w:val="20"/>
                <w14:textFill>
                  <w14:solidFill>
                    <w14:schemeClr w14:val="tx1"/>
                  </w14:solidFill>
                </w14:textFill>
              </w:rPr>
              <w:t>】</w:t>
            </w:r>
            <w:r>
              <w:br w:type="textWrapping"/>
            </w:r>
            <w:r>
              <w:rPr>
                <w:rFonts w:hint="eastAsia" w:ascii="楷体_GB2312" w:eastAsia="楷体_GB2312" w:cs="楷体_GB2312"/>
                <w:color w:val="000000" w:themeColor="text1"/>
                <w:sz w:val="20"/>
                <w:szCs w:val="20"/>
                <w14:textFill>
                  <w14:solidFill>
                    <w14:schemeClr w14:val="tx1"/>
                  </w14:solidFill>
                </w14:textFill>
              </w:rPr>
              <w:t>【H】类份额：【中债</w:t>
            </w:r>
            <w:r>
              <w:rPr>
                <w:rFonts w:ascii="楷体_GB2312" w:eastAsia="楷体_GB2312" w:cs="楷体_GB2312"/>
                <w:color w:val="000000" w:themeColor="text1"/>
                <w:sz w:val="20"/>
                <w:szCs w:val="20"/>
                <w14:textFill>
                  <w14:solidFill>
                    <w14:schemeClr w14:val="tx1"/>
                  </w14:solidFill>
                </w14:textFill>
              </w:rPr>
              <w:t>-新综合全价（1年以下）指数</w:t>
            </w:r>
            <w:r>
              <w:rPr>
                <w:rFonts w:hint="eastAsia" w:ascii="楷体_GB2312" w:eastAsia="楷体_GB2312" w:cs="楷体_GB2312"/>
                <w:color w:val="000000" w:themeColor="text1"/>
                <w:sz w:val="20"/>
                <w:szCs w:val="20"/>
                <w14:textFill>
                  <w14:solidFill>
                    <w14:schemeClr w14:val="tx1"/>
                  </w14:solidFill>
                </w14:textFill>
              </w:rPr>
              <w:t>】</w:t>
            </w:r>
          </w:p>
          <w:p w14:paraId="7C4CF965">
            <w:pPr>
              <w:spacing w:line="300" w:lineRule="exact"/>
              <w:ind w:left="-2" w:leftChars="-1" w:right="36" w:rightChars="15"/>
              <w:jc w:val="both"/>
              <w:rPr>
                <w:rFonts w:ascii="楷体_GB2312" w:eastAsia="楷体_GB2312" w:cs="楷体_GB2312"/>
                <w:color w:val="000000" w:themeColor="text1"/>
                <w:sz w:val="20"/>
                <w:szCs w:val="20"/>
                <w14:textFill>
                  <w14:solidFill>
                    <w14:schemeClr w14:val="tx1"/>
                  </w14:solidFill>
                </w14:textFill>
              </w:rPr>
            </w:pPr>
          </w:p>
          <w:p w14:paraId="32E1F5C8">
            <w:pPr>
              <w:spacing w:line="300" w:lineRule="exact"/>
              <w:ind w:left="-2" w:leftChars="-1" w:right="36" w:rightChars="15"/>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业绩</w:t>
            </w:r>
            <w:r>
              <w:rPr>
                <w:rFonts w:hint="eastAsia" w:ascii="Times New Roman" w:eastAsia="楷体_GB2312" w:cs="楷体_GB2312"/>
                <w:color w:val="000000" w:themeColor="text1"/>
                <w:sz w:val="20"/>
                <w:szCs w:val="20"/>
                <w14:textFill>
                  <w14:solidFill>
                    <w14:schemeClr w14:val="tx1"/>
                  </w14:solidFill>
                </w14:textFill>
              </w:rPr>
              <w:t>比较</w:t>
            </w:r>
            <w:r>
              <w:rPr>
                <w:rFonts w:hint="eastAsia" w:ascii="楷体_GB2312" w:eastAsia="楷体_GB2312" w:cs="楷体_GB2312"/>
                <w:color w:val="000000" w:themeColor="text1"/>
                <w:sz w:val="20"/>
                <w:szCs w:val="20"/>
                <w14:textFill>
                  <w14:solidFill>
                    <w14:schemeClr w14:val="tx1"/>
                  </w14:solidFill>
                </w14:textFill>
              </w:rPr>
              <w:t>基准测算依据：【本理财产品为固定收益类产品，主要投向为同业存单、短融、中票、PPN、公司债、资产支持证券等标准化债权类资产。根据当前市场利率水平、组合目标久期、可投资债券的静态收益率、债券杠杆操作等因素作为测算依据，扣除相关税费成本之后，综合得出产品的业绩比较基准】。</w:t>
            </w:r>
          </w:p>
          <w:p w14:paraId="5C452985">
            <w:pPr>
              <w:spacing w:line="300" w:lineRule="exact"/>
              <w:ind w:left="-2" w:leftChars="-1" w:right="36" w:rightChars="15"/>
              <w:jc w:val="both"/>
              <w:rPr>
                <w:rFonts w:ascii="楷体_GB2312" w:eastAsia="楷体_GB2312" w:cs="楷体_GB2312"/>
                <w:b/>
                <w:bCs/>
                <w:color w:val="000000" w:themeColor="text1"/>
                <w:sz w:val="20"/>
                <w:szCs w:val="20"/>
                <w14:textFill>
                  <w14:solidFill>
                    <w14:schemeClr w14:val="tx1"/>
                  </w14:solidFill>
                </w14:textFill>
              </w:rPr>
            </w:pPr>
            <w:r>
              <w:rPr>
                <w:rFonts w:hint="eastAsia" w:ascii="楷体_GB2312" w:eastAsia="楷体_GB2312" w:cs="楷体_GB2312"/>
                <w:b/>
                <w:bCs/>
                <w:color w:val="000000" w:themeColor="text1"/>
                <w:sz w:val="20"/>
                <w:szCs w:val="20"/>
                <w14:textFill>
                  <w14:solidFill>
                    <w14:schemeClr w14:val="tx1"/>
                  </w14:solidFill>
                </w14:textFill>
              </w:rPr>
              <w:t>业绩比较基准是基于产品性质、投资策略、过往经验等因素对产品设定的投资目标，不是预期收益率，不代表产品的未来表现和实际收益，不构成对产品收益的承诺，投资须谨慎。</w:t>
            </w:r>
          </w:p>
          <w:p w14:paraId="137BA26A">
            <w:pPr>
              <w:spacing w:line="300" w:lineRule="exact"/>
              <w:ind w:left="-2" w:leftChars="-1" w:right="36" w:rightChars="15"/>
              <w:jc w:val="both"/>
              <w:rPr>
                <w:rFonts w:ascii="黑体" w:hAnsi="黑体" w:eastAsia="黑体" w:cs="楷体_GB2312"/>
                <w:b/>
                <w:color w:val="000000" w:themeColor="text1"/>
                <w:sz w:val="20"/>
                <w:szCs w:val="20"/>
                <w14:textFill>
                  <w14:solidFill>
                    <w14:schemeClr w14:val="tx1"/>
                  </w14:solidFill>
                </w14:textFill>
              </w:rPr>
            </w:pPr>
            <w:r>
              <w:rPr>
                <w:rFonts w:hint="eastAsia" w:ascii="楷体_GB2312" w:eastAsia="楷体_GB2312" w:cs="楷体_GB2312"/>
                <w:b/>
                <w:bCs/>
                <w:color w:val="000000" w:themeColor="text1"/>
                <w:sz w:val="20"/>
                <w:szCs w:val="20"/>
                <w14:textFill>
                  <w14:solidFill>
                    <w14:schemeClr w14:val="tx1"/>
                  </w14:solidFill>
                </w14:textFill>
              </w:rPr>
              <w:t>本产品收取的销售服务费可能因销售</w:t>
            </w:r>
            <w:r>
              <w:rPr>
                <w:rFonts w:ascii="楷体_GB2312" w:eastAsia="楷体_GB2312" w:cs="楷体_GB2312"/>
                <w:b/>
                <w:bCs/>
                <w:color w:val="000000" w:themeColor="text1"/>
                <w:sz w:val="20"/>
                <w:szCs w:val="20"/>
                <w14:textFill>
                  <w14:solidFill>
                    <w14:schemeClr w14:val="tx1"/>
                  </w14:solidFill>
                </w14:textFill>
              </w:rPr>
              <w:t>机构</w:t>
            </w:r>
            <w:r>
              <w:rPr>
                <w:rFonts w:hint="eastAsia" w:ascii="楷体_GB2312" w:eastAsia="楷体_GB2312" w:cs="楷体_GB2312"/>
                <w:b/>
                <w:bCs/>
                <w:color w:val="000000" w:themeColor="text1"/>
                <w:sz w:val="20"/>
                <w:szCs w:val="20"/>
                <w14:textFill>
                  <w14:solidFill>
                    <w14:schemeClr w14:val="tx1"/>
                  </w14:solidFill>
                </w14:textFill>
              </w:rPr>
              <w:t>不同有所差异，从而导致测算的业绩比较基准有所差异，请投资者关注管理人及销售机构相关信息披露。</w:t>
            </w:r>
          </w:p>
          <w:p w14:paraId="1CD80550">
            <w:pPr>
              <w:spacing w:line="300" w:lineRule="exact"/>
              <w:ind w:left="-2" w:leftChars="-1" w:right="36" w:rightChars="15"/>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若今后法律法规发生变化，或有其他代表性更强、更科学客观的业绩比较基准适用于本产品时，本产品可变更业绩比较基准并及时告知投资者。管理人有权根据法律法规要求、市场情况在每个开放日调整当期业绩比较基准，并在每个开放日前【</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个工作日以符合监管规定要求的方式向投资者披露，投资者不接受的，可于最近一个开放日赎回理财产品。</w:t>
            </w:r>
          </w:p>
        </w:tc>
      </w:tr>
      <w:tr w14:paraId="26ACF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2C4D08E">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交易时间</w:t>
            </w:r>
          </w:p>
        </w:tc>
        <w:tc>
          <w:tcPr>
            <w:tcW w:w="3740" w:type="pct"/>
            <w:vAlign w:val="center"/>
          </w:tcPr>
          <w:p w14:paraId="37D63503">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本产品认购交易时间为</w:t>
            </w:r>
            <w:r>
              <w:rPr>
                <w:rFonts w:ascii="楷体_GB2312" w:eastAsia="楷体_GB2312" w:cs="楷体_GB2312"/>
                <w:color w:val="000000" w:themeColor="text1"/>
                <w:sz w:val="20"/>
                <w:szCs w:val="20"/>
                <w14:textFill>
                  <w14:solidFill>
                    <w14:schemeClr w14:val="tx1"/>
                  </w14:solidFill>
                </w14:textFill>
              </w:rPr>
              <w:t>【8：30-</w:t>
            </w:r>
            <w:r>
              <w:rPr>
                <w:rFonts w:hint="eastAsia" w:ascii="楷体_GB2312" w:eastAsia="楷体_GB2312" w:cs="楷体_GB2312"/>
                <w:sz w:val="20"/>
                <w:szCs w:val="20"/>
              </w:rPr>
              <w:t>1</w:t>
            </w:r>
            <w:r>
              <w:rPr>
                <w:rFonts w:ascii="楷体_GB2312" w:eastAsia="楷体_GB2312" w:cs="楷体_GB2312"/>
                <w:sz w:val="20"/>
                <w:szCs w:val="20"/>
              </w:rPr>
              <w:t>7</w:t>
            </w:r>
            <w:r>
              <w:rPr>
                <w:rFonts w:hint="eastAsia" w:ascii="楷体_GB2312" w:eastAsia="楷体_GB2312" w:cs="楷体_GB2312"/>
                <w:sz w:val="20"/>
                <w:szCs w:val="20"/>
              </w:rPr>
              <w:t>：</w:t>
            </w:r>
            <w:r>
              <w:rPr>
                <w:rFonts w:ascii="楷体_GB2312" w:eastAsia="楷体_GB2312" w:cs="楷体_GB2312"/>
                <w:sz w:val="20"/>
                <w:szCs w:val="20"/>
              </w:rPr>
              <w:t>0</w:t>
            </w:r>
            <w:r>
              <w:rPr>
                <w:rFonts w:hint="eastAsia" w:ascii="楷体_GB2312" w:eastAsia="楷体_GB2312" w:cs="楷体_GB2312"/>
                <w:sz w:val="20"/>
                <w:szCs w:val="20"/>
              </w:rPr>
              <w:t>0</w:t>
            </w:r>
            <w:r>
              <w:rPr>
                <w:rFonts w:ascii="楷体_GB2312" w:eastAsia="楷体_GB2312" w:cs="楷体_GB2312"/>
                <w:color w:val="000000" w:themeColor="text1"/>
                <w:sz w:val="20"/>
                <w:szCs w:val="20"/>
                <w14:textFill>
                  <w14:solidFill>
                    <w14:schemeClr w14:val="tx1"/>
                  </w14:solidFill>
                </w14:textFill>
              </w:rPr>
              <w:t>】，申购和赎回交易时间为【8：30-</w:t>
            </w:r>
            <w:r>
              <w:rPr>
                <w:rFonts w:hint="eastAsia" w:ascii="楷体_GB2312" w:eastAsia="楷体_GB2312" w:cs="楷体_GB2312"/>
                <w:sz w:val="20"/>
                <w:szCs w:val="20"/>
              </w:rPr>
              <w:t>1</w:t>
            </w:r>
            <w:r>
              <w:rPr>
                <w:rFonts w:ascii="楷体_GB2312" w:eastAsia="楷体_GB2312" w:cs="楷体_GB2312"/>
                <w:sz w:val="20"/>
                <w:szCs w:val="20"/>
              </w:rPr>
              <w:t>7</w:t>
            </w:r>
            <w:r>
              <w:rPr>
                <w:rFonts w:hint="eastAsia" w:ascii="楷体_GB2312" w:eastAsia="楷体_GB2312" w:cs="楷体_GB2312"/>
                <w:sz w:val="20"/>
                <w:szCs w:val="20"/>
              </w:rPr>
              <w:t>：</w:t>
            </w:r>
            <w:r>
              <w:rPr>
                <w:rFonts w:ascii="楷体_GB2312" w:eastAsia="楷体_GB2312" w:cs="楷体_GB2312"/>
                <w:sz w:val="20"/>
                <w:szCs w:val="20"/>
              </w:rPr>
              <w:t>0</w:t>
            </w:r>
            <w:r>
              <w:rPr>
                <w:rFonts w:hint="eastAsia" w:ascii="楷体_GB2312" w:eastAsia="楷体_GB2312" w:cs="楷体_GB2312"/>
                <w:sz w:val="20"/>
                <w:szCs w:val="20"/>
              </w:rPr>
              <w:t>0</w:t>
            </w:r>
            <w:r>
              <w:rPr>
                <w:rFonts w:ascii="楷体_GB2312" w:eastAsia="楷体_GB2312" w:cs="楷体_GB2312"/>
                <w:color w:val="000000" w:themeColor="text1"/>
                <w:sz w:val="20"/>
                <w:szCs w:val="20"/>
                <w14:textFill>
                  <w14:solidFill>
                    <w14:schemeClr w14:val="tx1"/>
                  </w14:solidFill>
                </w14:textFill>
              </w:rPr>
              <w:t>】（信银理财有权变更交易时间</w:t>
            </w:r>
            <w:r>
              <w:rPr>
                <w:rFonts w:hint="eastAsia" w:ascii="楷体_GB2312" w:eastAsia="楷体_GB2312" w:cs="楷体_GB2312"/>
                <w:color w:val="000000" w:themeColor="text1"/>
                <w:sz w:val="20"/>
                <w:szCs w:val="20"/>
                <w14:textFill>
                  <w14:solidFill>
                    <w14:schemeClr w14:val="tx1"/>
                  </w14:solidFill>
                </w14:textFill>
              </w:rPr>
              <w:t>，请投资者关注管理人及销售机构相关信息披露。</w:t>
            </w:r>
            <w:r>
              <w:rPr>
                <w:rFonts w:ascii="楷体_GB2312" w:eastAsia="楷体_GB2312" w:cs="楷体_GB2312"/>
                <w:color w:val="000000" w:themeColor="text1"/>
                <w:sz w:val="20"/>
                <w:szCs w:val="20"/>
                <w14:textFill>
                  <w14:solidFill>
                    <w14:schemeClr w14:val="tx1"/>
                  </w14:solidFill>
                </w14:textFill>
              </w:rPr>
              <w:t>如果投资者通过信银理财</w:t>
            </w:r>
            <w:r>
              <w:rPr>
                <w:rFonts w:hint="eastAsia" w:ascii="楷体_GB2312" w:eastAsia="楷体_GB2312" w:cs="楷体_GB2312"/>
                <w:color w:val="000000" w:themeColor="text1"/>
                <w:sz w:val="20"/>
                <w:szCs w:val="20"/>
                <w14:textFill>
                  <w14:solidFill>
                    <w14:schemeClr w14:val="tx1"/>
                  </w14:solidFill>
                </w14:textFill>
              </w:rPr>
              <w:t>直销渠道</w:t>
            </w:r>
            <w:r>
              <w:rPr>
                <w:rFonts w:ascii="楷体_GB2312" w:eastAsia="楷体_GB2312" w:cs="楷体_GB2312"/>
                <w:color w:val="000000" w:themeColor="text1"/>
                <w:sz w:val="20"/>
                <w:szCs w:val="20"/>
                <w14:textFill>
                  <w14:solidFill>
                    <w14:schemeClr w14:val="tx1"/>
                  </w14:solidFill>
                </w14:textFill>
              </w:rPr>
              <w:t>购买的，则交易时间以</w:t>
            </w:r>
            <w:r>
              <w:rPr>
                <w:rFonts w:hint="eastAsia" w:ascii="楷体_GB2312" w:eastAsia="楷体_GB2312" w:cs="楷体_GB2312"/>
                <w:color w:val="000000" w:themeColor="text1"/>
                <w:sz w:val="20"/>
                <w:szCs w:val="20"/>
                <w14:textFill>
                  <w14:solidFill>
                    <w14:schemeClr w14:val="tx1"/>
                  </w14:solidFill>
                </w14:textFill>
              </w:rPr>
              <w:t>信银理财直销渠道</w:t>
            </w:r>
            <w:r>
              <w:rPr>
                <w:rFonts w:ascii="楷体_GB2312" w:eastAsia="楷体_GB2312" w:cs="楷体_GB2312"/>
                <w:color w:val="000000" w:themeColor="text1"/>
                <w:sz w:val="20"/>
                <w:szCs w:val="20"/>
                <w14:textFill>
                  <w14:solidFill>
                    <w14:schemeClr w14:val="tx1"/>
                  </w14:solidFill>
                </w14:textFill>
              </w:rPr>
              <w:t>的营业时间和公布的交易时间为准，且必须在【8：30-</w:t>
            </w:r>
            <w:r>
              <w:rPr>
                <w:rFonts w:hint="eastAsia" w:ascii="楷体_GB2312" w:eastAsia="楷体_GB2312" w:cs="楷体_GB2312"/>
                <w:sz w:val="20"/>
                <w:szCs w:val="20"/>
              </w:rPr>
              <w:t>1</w:t>
            </w:r>
            <w:r>
              <w:rPr>
                <w:rFonts w:ascii="楷体_GB2312" w:eastAsia="楷体_GB2312" w:cs="楷体_GB2312"/>
                <w:sz w:val="20"/>
                <w:szCs w:val="20"/>
              </w:rPr>
              <w:t>7</w:t>
            </w:r>
            <w:r>
              <w:rPr>
                <w:rFonts w:hint="eastAsia" w:ascii="楷体_GB2312" w:eastAsia="楷体_GB2312" w:cs="楷体_GB2312"/>
                <w:sz w:val="20"/>
                <w:szCs w:val="20"/>
              </w:rPr>
              <w:t>：</w:t>
            </w:r>
            <w:r>
              <w:rPr>
                <w:rFonts w:ascii="楷体_GB2312" w:eastAsia="楷体_GB2312" w:cs="楷体_GB2312"/>
                <w:sz w:val="20"/>
                <w:szCs w:val="20"/>
              </w:rPr>
              <w:t>0</w:t>
            </w:r>
            <w:r>
              <w:rPr>
                <w:rFonts w:hint="eastAsia" w:ascii="楷体_GB2312" w:eastAsia="楷体_GB2312" w:cs="楷体_GB2312"/>
                <w:sz w:val="20"/>
                <w:szCs w:val="20"/>
              </w:rPr>
              <w:t>0</w:t>
            </w:r>
            <w:r>
              <w:rPr>
                <w:rFonts w:ascii="楷体_GB2312" w:eastAsia="楷体_GB2312" w:cs="楷体_GB2312"/>
                <w:color w:val="000000" w:themeColor="text1"/>
                <w:sz w:val="20"/>
                <w:szCs w:val="20"/>
                <w14:textFill>
                  <w14:solidFill>
                    <w14:schemeClr w14:val="tx1"/>
                  </w14:solidFill>
                </w14:textFill>
              </w:rPr>
              <w:t>】内）；募集</w:t>
            </w:r>
            <w:r>
              <w:rPr>
                <w:rFonts w:hint="eastAsia" w:ascii="楷体_GB2312" w:eastAsia="楷体_GB2312" w:cs="楷体_GB2312"/>
                <w:color w:val="000000" w:themeColor="text1"/>
                <w:sz w:val="20"/>
                <w:szCs w:val="20"/>
                <w14:textFill>
                  <w14:solidFill>
                    <w14:schemeClr w14:val="tx1"/>
                  </w14:solidFill>
                </w14:textFill>
              </w:rPr>
              <w:t>期内，信银理财在认购交易时间内受理投资者的认购申请。投资者通过</w:t>
            </w:r>
            <w:r>
              <w:rPr>
                <w:rFonts w:ascii="楷体_GB2312" w:eastAsia="楷体_GB2312" w:cs="楷体_GB2312"/>
                <w:color w:val="000000" w:themeColor="text1"/>
                <w:sz w:val="20"/>
                <w:szCs w:val="20"/>
                <w14:textFill>
                  <w14:solidFill>
                    <w14:schemeClr w14:val="tx1"/>
                  </w14:solidFill>
                </w14:textFill>
              </w:rPr>
              <w:t>代销机构购买理财产品的，还应按照代销机构对于交易时间以及交易申请的相关规定执行，但认购交易时间必须在【8：30-</w:t>
            </w:r>
            <w:r>
              <w:rPr>
                <w:rFonts w:hint="eastAsia" w:ascii="楷体_GB2312" w:eastAsia="楷体_GB2312" w:cs="楷体_GB2312"/>
                <w:sz w:val="20"/>
                <w:szCs w:val="20"/>
              </w:rPr>
              <w:t>1</w:t>
            </w:r>
            <w:r>
              <w:rPr>
                <w:rFonts w:ascii="楷体_GB2312" w:eastAsia="楷体_GB2312" w:cs="楷体_GB2312"/>
                <w:sz w:val="20"/>
                <w:szCs w:val="20"/>
              </w:rPr>
              <w:t>7</w:t>
            </w:r>
            <w:r>
              <w:rPr>
                <w:rFonts w:hint="eastAsia" w:ascii="楷体_GB2312" w:eastAsia="楷体_GB2312" w:cs="楷体_GB2312"/>
                <w:sz w:val="20"/>
                <w:szCs w:val="20"/>
              </w:rPr>
              <w:t>：</w:t>
            </w:r>
            <w:r>
              <w:rPr>
                <w:rFonts w:ascii="楷体_GB2312" w:eastAsia="楷体_GB2312" w:cs="楷体_GB2312"/>
                <w:sz w:val="20"/>
                <w:szCs w:val="20"/>
              </w:rPr>
              <w:t>0</w:t>
            </w:r>
            <w:r>
              <w:rPr>
                <w:rFonts w:hint="eastAsia" w:ascii="楷体_GB2312" w:eastAsia="楷体_GB2312" w:cs="楷体_GB2312"/>
                <w:sz w:val="20"/>
                <w:szCs w:val="20"/>
              </w:rPr>
              <w:t>0</w:t>
            </w:r>
            <w:r>
              <w:rPr>
                <w:rFonts w:ascii="楷体_GB2312" w:eastAsia="楷体_GB2312" w:cs="楷体_GB2312"/>
                <w:color w:val="000000" w:themeColor="text1"/>
                <w:sz w:val="20"/>
                <w:szCs w:val="20"/>
                <w14:textFill>
                  <w14:solidFill>
                    <w14:schemeClr w14:val="tx1"/>
                  </w14:solidFill>
                </w14:textFill>
              </w:rPr>
              <w:t>】内，申购和赎回交易时间必须在【8：30-</w:t>
            </w:r>
            <w:r>
              <w:rPr>
                <w:rFonts w:hint="eastAsia" w:ascii="楷体_GB2312" w:eastAsia="楷体_GB2312" w:cs="楷体_GB2312"/>
                <w:sz w:val="20"/>
                <w:szCs w:val="20"/>
              </w:rPr>
              <w:t>1</w:t>
            </w:r>
            <w:r>
              <w:rPr>
                <w:rFonts w:ascii="楷体_GB2312" w:eastAsia="楷体_GB2312" w:cs="楷体_GB2312"/>
                <w:sz w:val="20"/>
                <w:szCs w:val="20"/>
              </w:rPr>
              <w:t>7</w:t>
            </w:r>
            <w:r>
              <w:rPr>
                <w:rFonts w:hint="eastAsia" w:ascii="楷体_GB2312" w:eastAsia="楷体_GB2312" w:cs="楷体_GB2312"/>
                <w:sz w:val="20"/>
                <w:szCs w:val="20"/>
              </w:rPr>
              <w:t>：</w:t>
            </w:r>
            <w:r>
              <w:rPr>
                <w:rFonts w:ascii="楷体_GB2312" w:eastAsia="楷体_GB2312" w:cs="楷体_GB2312"/>
                <w:sz w:val="20"/>
                <w:szCs w:val="20"/>
              </w:rPr>
              <w:t>0</w:t>
            </w:r>
            <w:r>
              <w:rPr>
                <w:rFonts w:hint="eastAsia" w:ascii="楷体_GB2312" w:eastAsia="楷体_GB2312" w:cs="楷体_GB2312"/>
                <w:sz w:val="20"/>
                <w:szCs w:val="20"/>
              </w:rPr>
              <w:t>0</w:t>
            </w:r>
            <w:r>
              <w:rPr>
                <w:rFonts w:ascii="楷体_GB2312" w:eastAsia="楷体_GB2312" w:cs="楷体_GB2312"/>
                <w:color w:val="000000" w:themeColor="text1"/>
                <w:sz w:val="20"/>
                <w:szCs w:val="20"/>
                <w14:textFill>
                  <w14:solidFill>
                    <w14:schemeClr w14:val="tx1"/>
                  </w14:solidFill>
                </w14:textFill>
              </w:rPr>
              <w:t>】内。</w:t>
            </w:r>
          </w:p>
        </w:tc>
      </w:tr>
      <w:tr w14:paraId="388A6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trPr>
        <w:tc>
          <w:tcPr>
            <w:tcW w:w="1260" w:type="pct"/>
            <w:vAlign w:val="center"/>
          </w:tcPr>
          <w:p w14:paraId="64AB6C07">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计划募集金额</w:t>
            </w:r>
            <w:r>
              <w:rPr>
                <w:rFonts w:hint="eastAsia" w:ascii="Times New Roman" w:eastAsia="楷体_GB2312" w:cs="楷体_GB2312"/>
                <w:color w:val="000000" w:themeColor="text1"/>
                <w:sz w:val="20"/>
                <w:szCs w:val="20"/>
                <w:lang w:eastAsia="zh-Hans"/>
                <w14:textFill>
                  <w14:solidFill>
                    <w14:schemeClr w14:val="tx1"/>
                  </w14:solidFill>
                </w14:textFill>
              </w:rPr>
              <w:t>上</w:t>
            </w:r>
            <w:r>
              <w:rPr>
                <w:rFonts w:ascii="Times New Roman" w:eastAsia="楷体_GB2312" w:cs="楷体_GB2312"/>
                <w:color w:val="000000" w:themeColor="text1"/>
                <w:sz w:val="20"/>
                <w:szCs w:val="20"/>
                <w14:textFill>
                  <w14:solidFill>
                    <w14:schemeClr w14:val="tx1"/>
                  </w14:solidFill>
                </w14:textFill>
              </w:rPr>
              <w:t>限</w:t>
            </w:r>
          </w:p>
        </w:tc>
        <w:tc>
          <w:tcPr>
            <w:tcW w:w="3740" w:type="pct"/>
            <w:vAlign w:val="center"/>
          </w:tcPr>
          <w:p w14:paraId="540E643F">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无。</w:t>
            </w:r>
          </w:p>
        </w:tc>
      </w:tr>
      <w:tr w14:paraId="5FFA8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trPr>
        <w:tc>
          <w:tcPr>
            <w:tcW w:w="1260" w:type="pct"/>
            <w:vAlign w:val="center"/>
          </w:tcPr>
          <w:p w14:paraId="560ED57F">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计划募集金额</w:t>
            </w:r>
            <w:r>
              <w:rPr>
                <w:rFonts w:ascii="Times New Roman" w:eastAsia="楷体_GB2312" w:cs="楷体_GB2312"/>
                <w:color w:val="000000" w:themeColor="text1"/>
                <w:sz w:val="20"/>
                <w:szCs w:val="20"/>
                <w14:textFill>
                  <w14:solidFill>
                    <w14:schemeClr w14:val="tx1"/>
                  </w14:solidFill>
                </w14:textFill>
              </w:rPr>
              <w:t>下限</w:t>
            </w:r>
          </w:p>
        </w:tc>
        <w:tc>
          <w:tcPr>
            <w:tcW w:w="3740" w:type="pct"/>
            <w:vAlign w:val="center"/>
          </w:tcPr>
          <w:p w14:paraId="73B3D58D">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本产品的计划募集金额下限为【人民币】【0】元。信银理财有权根据实际需要对此金额下限进行调整。</w:t>
            </w:r>
            <w:r>
              <w:br w:type="textWrapping"/>
            </w:r>
            <w:r>
              <w:rPr>
                <w:rFonts w:ascii="楷体_GB2312" w:eastAsia="楷体_GB2312" w:cs="楷体_GB2312"/>
                <w:color w:val="000000" w:themeColor="text1"/>
                <w:sz w:val="20"/>
                <w:szCs w:val="20"/>
                <w14:textFill>
                  <w14:solidFill>
                    <w14:schemeClr w14:val="tx1"/>
                  </w14:solidFill>
                </w14:textFill>
              </w:rPr>
              <w:t>如果募集期内未达到计划募集金额下限，信银理财有权决定产品不成立，并在宣告产品不成立后【2】个工作日内返还投资者资金，同时信银理财保留延长本产品募集期的权利。届时信银理财将按照本说明书约定的方式告知投资者。</w:t>
            </w:r>
          </w:p>
        </w:tc>
      </w:tr>
      <w:tr w14:paraId="5AB5B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FBD0D1A">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币种</w:t>
            </w:r>
          </w:p>
        </w:tc>
        <w:tc>
          <w:tcPr>
            <w:tcW w:w="3740" w:type="pct"/>
            <w:vAlign w:val="center"/>
          </w:tcPr>
          <w:p w14:paraId="10B5D8C6">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本产品投资与收益币种为【人民币</w:t>
            </w:r>
            <w:r>
              <w:rPr>
                <w:rFonts w:ascii="楷体_GB2312" w:eastAsia="楷体_GB2312" w:cs="楷体_GB2312"/>
                <w:color w:val="000000" w:themeColor="text1"/>
                <w:sz w:val="20"/>
                <w:szCs w:val="20"/>
                <w14:textFill>
                  <w14:solidFill>
                    <w14:schemeClr w14:val="tx1"/>
                  </w14:solidFill>
                </w14:textFill>
              </w:rPr>
              <w:t>】</w:t>
            </w:r>
          </w:p>
        </w:tc>
      </w:tr>
      <w:tr w14:paraId="1A002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72268D73">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认/申购起点</w:t>
            </w:r>
          </w:p>
        </w:tc>
        <w:tc>
          <w:tcPr>
            <w:tcW w:w="3740" w:type="pct"/>
            <w:vAlign w:val="center"/>
          </w:tcPr>
          <w:p w14:paraId="5449E6A5">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【B】类份额：初始认购/首次申购金额不低于【人民币】【1】元，以【人民币】【0.01】元的整数倍增加。追加认购/申购金额不低于【人民币】【0.01】元，以【人民币】【0.01】元的整数倍增加。</w:t>
            </w:r>
            <w:r>
              <w:br w:type="textWrapping"/>
            </w:r>
            <w:r>
              <w:rPr>
                <w:rFonts w:ascii="楷体_GB2312" w:eastAsia="楷体_GB2312" w:cs="楷体_GB2312"/>
                <w:color w:val="000000" w:themeColor="text1"/>
                <w:sz w:val="20"/>
                <w:szCs w:val="20"/>
                <w14:textFill>
                  <w14:solidFill>
                    <w14:schemeClr w14:val="tx1"/>
                  </w14:solidFill>
                </w14:textFill>
              </w:rPr>
              <w:t>【G】类份额：初始认购/首次申购金额不低于【人民币】【1】元，以【人民币】【0.01】元的整数倍增加。追加认购/申购金额不低于【人民币】【0.01】元，以【人民币】【0.01】元的整数倍增加。</w:t>
            </w:r>
            <w:r>
              <w:br w:type="textWrapping"/>
            </w:r>
            <w:r>
              <w:rPr>
                <w:rFonts w:ascii="楷体_GB2312" w:eastAsia="楷体_GB2312" w:cs="楷体_GB2312"/>
                <w:color w:val="000000" w:themeColor="text1"/>
                <w:sz w:val="20"/>
                <w:szCs w:val="20"/>
                <w14:textFill>
                  <w14:solidFill>
                    <w14:schemeClr w14:val="tx1"/>
                  </w14:solidFill>
                </w14:textFill>
              </w:rPr>
              <w:t>【H】类份额：初始认购/首次申购金额不低于【人民币】【1】元，以【人民币】【0.01】元的整数倍增加。追加认购/申购金额不低于【人民币】【0.01】元，以【人民币】【0.01】元的整数倍增加。</w:t>
            </w:r>
            <w:r>
              <w:rPr>
                <w:rFonts w:hint="eastAsia" w:ascii="楷体_GB2312" w:eastAsia="楷体_GB2312" w:cs="楷体_GB2312"/>
                <w:color w:val="000000" w:themeColor="text1"/>
                <w:sz w:val="20"/>
                <w:szCs w:val="20"/>
                <w14:textFill>
                  <w14:solidFill>
                    <w14:schemeClr w14:val="tx1"/>
                  </w14:solidFill>
                </w14:textFill>
              </w:rPr>
              <w:t xml:space="preserve"> </w:t>
            </w:r>
          </w:p>
          <w:p w14:paraId="38A672E2">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p>
          <w:p w14:paraId="5EDFE936">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代销机构对产品的认/申购起点及追加认/申购金额的要求与信银理财不一致的，以代销机构为准，但不得低于上述对应金额。</w:t>
            </w:r>
          </w:p>
          <w:p w14:paraId="270990CA">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客户持有理财产品份额时进行申购，不视为首次申购，按追加申购处理。客户全额赎回不再持有理财产品份额后再次申购，视同首次申购处理。</w:t>
            </w:r>
          </w:p>
        </w:tc>
      </w:tr>
      <w:tr w14:paraId="4990F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452DB398">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单个</w:t>
            </w:r>
            <w:r>
              <w:rPr>
                <w:rFonts w:ascii="Times New Roman" w:eastAsia="楷体_GB2312" w:cs="楷体_GB2312"/>
                <w:color w:val="000000" w:themeColor="text1"/>
                <w:sz w:val="20"/>
                <w:szCs w:val="20"/>
                <w14:textFill>
                  <w14:solidFill>
                    <w14:schemeClr w14:val="tx1"/>
                  </w14:solidFill>
                </w14:textFill>
              </w:rPr>
              <w:t>投资者持仓份额比例限制</w:t>
            </w:r>
          </w:p>
        </w:tc>
        <w:tc>
          <w:tcPr>
            <w:tcW w:w="3740" w:type="pct"/>
            <w:vAlign w:val="center"/>
          </w:tcPr>
          <w:p w14:paraId="3677A36C">
            <w:pPr>
              <w:spacing w:line="300" w:lineRule="exact"/>
              <w:ind w:left="-2"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单一</w:t>
            </w:r>
            <w:r>
              <w:rPr>
                <w:rFonts w:ascii="楷体_GB2312" w:eastAsia="楷体_GB2312" w:cs="楷体_GB2312"/>
                <w:color w:val="000000" w:themeColor="text1"/>
                <w:sz w:val="20"/>
                <w:szCs w:val="20"/>
                <w14:textFill>
                  <w14:solidFill>
                    <w14:schemeClr w14:val="tx1"/>
                  </w14:solidFill>
                </w14:textFill>
              </w:rPr>
              <w:t>投资者持有份额</w:t>
            </w:r>
            <w:r>
              <w:rPr>
                <w:rFonts w:hint="eastAsia" w:ascii="楷体_GB2312" w:eastAsia="楷体_GB2312" w:cs="楷体_GB2312"/>
                <w:color w:val="000000" w:themeColor="text1"/>
                <w:sz w:val="20"/>
                <w:szCs w:val="20"/>
                <w14:textFill>
                  <w14:solidFill>
                    <w14:schemeClr w14:val="tx1"/>
                  </w14:solidFill>
                </w14:textFill>
              </w:rPr>
              <w:t>不得</w:t>
            </w:r>
            <w:r>
              <w:rPr>
                <w:rFonts w:ascii="楷体_GB2312" w:eastAsia="楷体_GB2312" w:cs="楷体_GB2312"/>
                <w:color w:val="000000" w:themeColor="text1"/>
                <w:sz w:val="20"/>
                <w:szCs w:val="20"/>
                <w14:textFill>
                  <w14:solidFill>
                    <w14:schemeClr w14:val="tx1"/>
                  </w14:solidFill>
                </w14:textFill>
              </w:rPr>
              <w:t>超过产品总份额的50%</w:t>
            </w:r>
            <w:r>
              <w:rPr>
                <w:rFonts w:hint="eastAsia" w:ascii="楷体_GB2312" w:eastAsia="楷体_GB2312" w:cs="楷体_GB2312"/>
                <w:color w:val="000000" w:themeColor="text1"/>
                <w:sz w:val="20"/>
                <w:szCs w:val="20"/>
                <w14:textFill>
                  <w14:solidFill>
                    <w14:schemeClr w14:val="tx1"/>
                  </w14:solidFill>
                </w14:textFill>
              </w:rPr>
              <w:t>。投资者提出认购</w:t>
            </w:r>
            <w:r>
              <w:rPr>
                <w:rFonts w:ascii="楷体_GB2312" w:eastAsia="楷体_GB2312" w:cs="楷体_GB2312"/>
                <w:color w:val="000000" w:themeColor="text1"/>
                <w:sz w:val="20"/>
                <w:szCs w:val="20"/>
                <w14:textFill>
                  <w14:solidFill>
                    <w14:schemeClr w14:val="tx1"/>
                  </w14:solidFill>
                </w14:textFill>
              </w:rPr>
              <w:t>/申购申请时，如认/申购后投资者持有份额超过产品总份额的50%，信银理财将不接受超过单个投资者持仓份额比例限制的申请。</w:t>
            </w:r>
          </w:p>
        </w:tc>
      </w:tr>
      <w:tr w14:paraId="36E20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9C87E42">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单个</w:t>
            </w:r>
            <w:r>
              <w:rPr>
                <w:rFonts w:ascii="Times New Roman" w:eastAsia="楷体_GB2312" w:cs="楷体_GB2312"/>
                <w:color w:val="000000" w:themeColor="text1"/>
                <w:sz w:val="20"/>
                <w:szCs w:val="20"/>
                <w14:textFill>
                  <w14:solidFill>
                    <w14:schemeClr w14:val="tx1"/>
                  </w14:solidFill>
                </w14:textFill>
              </w:rPr>
              <w:t>投资者持仓</w:t>
            </w:r>
            <w:r>
              <w:rPr>
                <w:rFonts w:hint="eastAsia" w:ascii="Times New Roman" w:eastAsia="楷体_GB2312" w:cs="楷体_GB2312"/>
                <w:color w:val="000000" w:themeColor="text1"/>
                <w:sz w:val="20"/>
                <w:szCs w:val="20"/>
                <w14:textFill>
                  <w14:solidFill>
                    <w14:schemeClr w14:val="tx1"/>
                  </w14:solidFill>
                </w14:textFill>
              </w:rPr>
              <w:t>下限</w:t>
            </w:r>
          </w:p>
        </w:tc>
        <w:tc>
          <w:tcPr>
            <w:tcW w:w="3740" w:type="pct"/>
            <w:vAlign w:val="center"/>
          </w:tcPr>
          <w:p w14:paraId="6859A566">
            <w:pPr>
              <w:spacing w:line="300" w:lineRule="exact"/>
              <w:ind w:left="-2" w:leftChars="-1" w:right="36" w:rightChars="15"/>
              <w:rPr>
                <w:rFonts w:ascii="楷体_GB2312" w:eastAsia="楷体_GB2312" w:cs="楷体_GB2312"/>
                <w:sz w:val="20"/>
                <w:szCs w:val="20"/>
              </w:rPr>
            </w:pPr>
            <w:r>
              <w:rPr>
                <w:rFonts w:ascii="楷体_GB2312" w:eastAsia="楷体_GB2312" w:cs="楷体_GB2312"/>
                <w:sz w:val="20"/>
                <w:szCs w:val="20"/>
              </w:rPr>
              <w:t>【B】类份额：单个投资者持仓份额下限为【0.01】份，投资者提出部分赎回时，如赎回后投资者持有份额不足【0.01】份，则管理人将对投资者剩余份额发起强制赎回。</w:t>
            </w:r>
            <w:r>
              <w:br w:type="textWrapping"/>
            </w:r>
            <w:r>
              <w:rPr>
                <w:rFonts w:ascii="楷体_GB2312" w:eastAsia="楷体_GB2312" w:cs="楷体_GB2312"/>
                <w:sz w:val="20"/>
                <w:szCs w:val="20"/>
              </w:rPr>
              <w:t>【G】类份额：单个投资者持仓份额下限为【0.01】份，投资者提出部分赎回时，如赎回后投资者持有份额不足【0.01】份，则管理人将对投资者剩余份额发起强制赎回。</w:t>
            </w:r>
            <w:r>
              <w:br w:type="textWrapping"/>
            </w:r>
            <w:r>
              <w:rPr>
                <w:rFonts w:ascii="楷体_GB2312" w:eastAsia="楷体_GB2312" w:cs="楷体_GB2312"/>
                <w:sz w:val="20"/>
                <w:szCs w:val="20"/>
              </w:rPr>
              <w:t>【H】类份额：单个投资者持仓份额下限为【0.01】份，投资者提出部分赎回时，如赎回后投资者持有份额不足【0.01】份，则管理人将对投资者剩余份额发起强制赎回。</w:t>
            </w:r>
          </w:p>
          <w:p w14:paraId="108CF5E2">
            <w:pPr>
              <w:spacing w:line="300" w:lineRule="exact"/>
              <w:ind w:left="-2" w:leftChars="-1" w:right="36" w:rightChars="15"/>
              <w:rPr>
                <w:rFonts w:ascii="楷体_GB2312" w:eastAsia="楷体_GB2312" w:cs="楷体_GB2312"/>
                <w:color w:val="000000" w:themeColor="text1"/>
                <w:sz w:val="20"/>
                <w:szCs w:val="20"/>
                <w:u w:val="single"/>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w:t>
            </w:r>
            <w:r>
              <w:rPr>
                <w:rFonts w:ascii="楷体_GB2312" w:eastAsia="楷体_GB2312" w:cs="楷体_GB2312"/>
                <w:color w:val="000000" w:themeColor="text1"/>
                <w:sz w:val="20"/>
                <w:szCs w:val="20"/>
                <w14:textFill>
                  <w14:solidFill>
                    <w14:schemeClr w14:val="tx1"/>
                  </w14:solidFill>
                </w14:textFill>
              </w:rPr>
              <w:t>有权根据实际需要对此</w:t>
            </w:r>
            <w:r>
              <w:rPr>
                <w:rFonts w:hint="eastAsia" w:ascii="楷体_GB2312" w:eastAsia="楷体_GB2312" w:cs="楷体_GB2312"/>
                <w:color w:val="000000" w:themeColor="text1"/>
                <w:sz w:val="20"/>
                <w:szCs w:val="20"/>
                <w14:textFill>
                  <w14:solidFill>
                    <w14:schemeClr w14:val="tx1"/>
                  </w14:solidFill>
                </w14:textFill>
              </w:rPr>
              <w:t>份额</w:t>
            </w:r>
            <w:r>
              <w:rPr>
                <w:rFonts w:ascii="楷体_GB2312" w:eastAsia="楷体_GB2312" w:cs="楷体_GB2312"/>
                <w:color w:val="000000" w:themeColor="text1"/>
                <w:sz w:val="20"/>
                <w:szCs w:val="20"/>
                <w14:textFill>
                  <w14:solidFill>
                    <w14:schemeClr w14:val="tx1"/>
                  </w14:solidFill>
                </w14:textFill>
              </w:rPr>
              <w:t>下限进行调</w:t>
            </w:r>
            <w:r>
              <w:rPr>
                <w:rFonts w:hint="eastAsia" w:ascii="楷体_GB2312" w:eastAsia="楷体_GB2312" w:cs="楷体_GB2312"/>
                <w:color w:val="000000" w:themeColor="text1"/>
                <w:sz w:val="20"/>
                <w:szCs w:val="20"/>
                <w14:textFill>
                  <w14:solidFill>
                    <w14:schemeClr w14:val="tx1"/>
                  </w14:solidFill>
                </w14:textFill>
              </w:rPr>
              <w:t>整。</w:t>
            </w:r>
          </w:p>
        </w:tc>
      </w:tr>
      <w:tr w14:paraId="61DFD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3F94446B">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份额单位</w:t>
            </w:r>
          </w:p>
        </w:tc>
        <w:tc>
          <w:tcPr>
            <w:tcW w:w="3740" w:type="pct"/>
            <w:vAlign w:val="center"/>
          </w:tcPr>
          <w:p w14:paraId="42B93078">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份</w:t>
            </w:r>
          </w:p>
        </w:tc>
      </w:tr>
      <w:tr w14:paraId="12259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5F5CBD2A">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单位净值</w:t>
            </w:r>
          </w:p>
        </w:tc>
        <w:tc>
          <w:tcPr>
            <w:tcW w:w="3740" w:type="pct"/>
            <w:vAlign w:val="center"/>
          </w:tcPr>
          <w:p w14:paraId="489BBDD7">
            <w:pPr>
              <w:spacing w:line="300" w:lineRule="exact"/>
              <w:ind w:right="29" w:rightChars="12"/>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1</w:t>
            </w:r>
            <w:r>
              <w:rPr>
                <w:rFonts w:ascii="楷体_GB2312" w:eastAsia="楷体_GB2312" w:cs="楷体_GB2312"/>
                <w:color w:val="000000" w:themeColor="text1"/>
                <w:sz w:val="20"/>
                <w:szCs w:val="20"/>
                <w14:textFill>
                  <w14:solidFill>
                    <w14:schemeClr w14:val="tx1"/>
                  </w14:solidFill>
                </w14:textFill>
              </w:rPr>
              <w:t>.单位净值为单位产品份额的净值，该净值为扣除相关税费后的净值。相关税费包含固定管理费、销售服务费、托管费、本理财产品运营过程中产生的增值税及附加税费等。</w:t>
            </w:r>
          </w:p>
          <w:p w14:paraId="0600BAF3">
            <w:pPr>
              <w:spacing w:line="300" w:lineRule="exact"/>
              <w:ind w:right="29" w:rightChars="12"/>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本产品按照单位净值进行申购</w:t>
            </w:r>
            <w:r>
              <w:rPr>
                <w:rFonts w:ascii="楷体_GB2312" w:eastAsia="楷体_GB2312" w:cs="楷体_GB2312"/>
                <w:color w:val="000000" w:themeColor="text1"/>
                <w:sz w:val="20"/>
                <w:szCs w:val="20"/>
                <w14:textFill>
                  <w14:solidFill>
                    <w14:schemeClr w14:val="tx1"/>
                  </w14:solidFill>
                </w14:textFill>
              </w:rPr>
              <w:t>、赎回</w:t>
            </w:r>
            <w:r>
              <w:rPr>
                <w:rFonts w:hint="eastAsia" w:ascii="楷体_GB2312" w:eastAsia="楷体_GB2312" w:cs="楷体_GB2312"/>
                <w:color w:val="000000" w:themeColor="text1"/>
                <w:sz w:val="20"/>
                <w:szCs w:val="20"/>
                <w14:textFill>
                  <w14:solidFill>
                    <w14:schemeClr w14:val="tx1"/>
                  </w14:solidFill>
                </w14:textFill>
              </w:rPr>
              <w:t>。单位净值按照【四舍五入</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保留至小数点后【4】位。</w:t>
            </w:r>
          </w:p>
          <w:p w14:paraId="064515E5">
            <w:pPr>
              <w:spacing w:line="300" w:lineRule="exact"/>
              <w:ind w:right="29" w:rightChars="12"/>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本产品到期后，管理人将在到期日后【5】个工作日内披露份额最终单位净值。</w:t>
            </w:r>
          </w:p>
        </w:tc>
      </w:tr>
      <w:tr w14:paraId="5CB61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774619A2">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认购渠道</w:t>
            </w:r>
          </w:p>
        </w:tc>
        <w:tc>
          <w:tcPr>
            <w:tcW w:w="3740" w:type="pct"/>
            <w:vAlign w:val="center"/>
          </w:tcPr>
          <w:p w14:paraId="1858C5E2">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投资者可通过信银理财直销渠道认购本产品。</w:t>
            </w:r>
            <w:r>
              <w:br w:type="textWrapping"/>
            </w:r>
            <w:r>
              <w:rPr>
                <w:rFonts w:ascii="楷体_GB2312" w:eastAsia="楷体_GB2312" w:cs="楷体_GB2312"/>
                <w:color w:val="000000" w:themeColor="text1"/>
                <w:sz w:val="20"/>
                <w:szCs w:val="20"/>
                <w14:textFill>
                  <w14:solidFill>
                    <w14:schemeClr w14:val="tx1"/>
                  </w14:solidFill>
                </w14:textFill>
              </w:rPr>
              <w:t>如本产品通过代销机构销售，投资者可通过代销机构规定的渠道认购本产品。</w:t>
            </w:r>
          </w:p>
          <w:p w14:paraId="02FA8AB9">
            <w:pPr>
              <w:spacing w:line="300" w:lineRule="exact"/>
              <w:ind w:right="36" w:rightChars="15"/>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b/>
                <w:sz w:val="20"/>
                <w:szCs w:val="20"/>
              </w:rPr>
              <w:t>本产品可能同时在其他渠道销售，本产品收取的销售服务费可能因销售机构不同有所差异，从而导致测算的业绩比较基准有所差异，请投资者关注管理人及销售机构相关信息披露。</w:t>
            </w:r>
          </w:p>
        </w:tc>
      </w:tr>
      <w:tr w14:paraId="2F331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884E4FA">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申购</w:t>
            </w:r>
            <w:r>
              <w:rPr>
                <w:rFonts w:ascii="Times New Roman" w:eastAsia="楷体_GB2312" w:cs="楷体_GB2312"/>
                <w:color w:val="000000" w:themeColor="text1"/>
                <w:sz w:val="20"/>
                <w:szCs w:val="20"/>
                <w14:textFill>
                  <w14:solidFill>
                    <w14:schemeClr w14:val="tx1"/>
                  </w14:solidFill>
                </w14:textFill>
              </w:rPr>
              <w:t>和赎回渠道</w:t>
            </w:r>
          </w:p>
        </w:tc>
        <w:tc>
          <w:tcPr>
            <w:tcW w:w="3740" w:type="pct"/>
            <w:vAlign w:val="center"/>
          </w:tcPr>
          <w:p w14:paraId="3BCBE14F">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投资者可通过信银理财直销渠道申购及赎回本产品。</w:t>
            </w:r>
            <w:r>
              <w:br w:type="textWrapping"/>
            </w:r>
            <w:r>
              <w:rPr>
                <w:rFonts w:ascii="楷体_GB2312" w:eastAsia="楷体_GB2312" w:cs="楷体_GB2312"/>
                <w:color w:val="000000" w:themeColor="text1"/>
                <w:sz w:val="20"/>
                <w:szCs w:val="20"/>
                <w14:textFill>
                  <w14:solidFill>
                    <w14:schemeClr w14:val="tx1"/>
                  </w14:solidFill>
                </w14:textFill>
              </w:rPr>
              <w:t>如本产品通过代销机构销售，投资者可通过代销机构规定的渠道申购和赎回本产品。</w:t>
            </w:r>
          </w:p>
          <w:p w14:paraId="79B55B3A">
            <w:pPr>
              <w:spacing w:line="300" w:lineRule="exact"/>
              <w:ind w:right="36" w:rightChars="15"/>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b/>
                <w:sz w:val="20"/>
                <w:szCs w:val="20"/>
              </w:rPr>
              <w:t>本产品可能同时在其他渠道销售，本产品收取的销售服务费可能因销售机构不同有所差异，从而导致测算的业绩比较基准有所差异，请投资者关注管理人及销售机构相关信息披露。</w:t>
            </w:r>
          </w:p>
        </w:tc>
      </w:tr>
      <w:tr w14:paraId="37515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069C2955">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税收条款</w:t>
            </w:r>
          </w:p>
        </w:tc>
        <w:tc>
          <w:tcPr>
            <w:tcW w:w="3740" w:type="pct"/>
            <w:vAlign w:val="center"/>
          </w:tcPr>
          <w:p w14:paraId="5256B7F8">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根据国家法律法规、部门规章和其他规范性文件，理财产品运营过程中产生的相关税费（包括但不限于增值税及相应的附加税费等）由理财产品承担，由信银理财作为</w:t>
            </w:r>
            <w:r>
              <w:rPr>
                <w:rFonts w:ascii="楷体_GB2312" w:eastAsia="楷体_GB2312" w:cs="楷体_GB2312"/>
                <w:color w:val="000000" w:themeColor="text1"/>
                <w:sz w:val="20"/>
                <w:szCs w:val="20"/>
                <w14:textFill>
                  <w14:solidFill>
                    <w14:schemeClr w14:val="tx1"/>
                  </w14:solidFill>
                </w14:textFill>
              </w:rPr>
              <w:t>产品管理人</w:t>
            </w:r>
            <w:r>
              <w:rPr>
                <w:rFonts w:hint="eastAsia" w:ascii="楷体_GB2312" w:eastAsia="楷体_GB2312" w:cs="楷体_GB2312"/>
                <w:color w:val="000000" w:themeColor="text1"/>
                <w:sz w:val="20"/>
                <w:szCs w:val="20"/>
                <w14:textFill>
                  <w14:solidFill>
                    <w14:schemeClr w14:val="tx1"/>
                  </w14:solidFill>
                </w14:textFill>
              </w:rPr>
              <w:t>以</w:t>
            </w:r>
            <w:r>
              <w:rPr>
                <w:rFonts w:ascii="楷体_GB2312" w:eastAsia="楷体_GB2312" w:cs="楷体_GB2312"/>
                <w:color w:val="000000" w:themeColor="text1"/>
                <w:sz w:val="20"/>
                <w:szCs w:val="20"/>
                <w14:textFill>
                  <w14:solidFill>
                    <w14:schemeClr w14:val="tx1"/>
                  </w14:solidFill>
                </w14:textFill>
              </w:rPr>
              <w:t>理财资金</w:t>
            </w:r>
            <w:r>
              <w:rPr>
                <w:rFonts w:hint="eastAsia" w:ascii="楷体_GB2312" w:eastAsia="楷体_GB2312" w:cs="楷体_GB2312"/>
                <w:color w:val="000000" w:themeColor="text1"/>
                <w:sz w:val="20"/>
                <w:szCs w:val="20"/>
                <w14:textFill>
                  <w14:solidFill>
                    <w14:schemeClr w14:val="tx1"/>
                  </w14:solidFill>
                </w14:textFill>
              </w:rPr>
              <w:t>予以缴纳。前述税费具体的计算、提取及缴纳，由信银理财按照应税行为发生时有效的相关税收法规确定。理财产品的实际收益为扣除增值税及附加税费后的收益。投资者取得理财收益产生的纳税义务（包括但不限于增值税、所得税等，如有），由投资者自行缴纳，信银理财不承担代扣代缴义务，法律法规另有明确规定的除外。</w:t>
            </w:r>
          </w:p>
        </w:tc>
      </w:tr>
      <w:tr w14:paraId="446DC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41AED893">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费用条款</w:t>
            </w:r>
          </w:p>
        </w:tc>
        <w:tc>
          <w:tcPr>
            <w:tcW w:w="3740" w:type="pct"/>
            <w:vAlign w:val="center"/>
          </w:tcPr>
          <w:p w14:paraId="2A5BA5CE">
            <w:pPr>
              <w:snapToGrid w:val="0"/>
              <w:spacing w:line="300" w:lineRule="exact"/>
              <w:ind w:left="-2" w:leftChars="-1" w:right="53" w:rightChars="22"/>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本产品的费用包括认购费、申购费、赎回费、销售服务费、托管费、固定管理费、浮动管理费，产品运作和清算中产生的其他资金汇划费、结算费、交易手续费、注册登记费、信息披露费、账户服务费、审计费、律师费</w:t>
            </w:r>
            <w:r>
              <w:rPr>
                <w:rFonts w:hint="eastAsia" w:ascii="楷体_GB2312" w:eastAsia="楷体_GB2312" w:cs="楷体_GB2312"/>
                <w:b/>
                <w:color w:val="000000" w:themeColor="text1"/>
                <w:sz w:val="20"/>
                <w:szCs w:val="20"/>
                <w14:textFill>
                  <w14:solidFill>
                    <w14:schemeClr w14:val="tx1"/>
                  </w14:solidFill>
                </w14:textFill>
              </w:rPr>
              <w:t>、因投资资产而产生的资产推荐服务费等相关费用</w:t>
            </w:r>
            <w:r>
              <w:rPr>
                <w:rFonts w:ascii="楷体_GB2312" w:eastAsia="楷体_GB2312" w:cs="楷体_GB2312"/>
                <w:b/>
                <w:color w:val="000000" w:themeColor="text1"/>
                <w:sz w:val="20"/>
                <w:szCs w:val="20"/>
                <w14:textFill>
                  <w14:solidFill>
                    <w14:schemeClr w14:val="tx1"/>
                  </w14:solidFill>
                </w14:textFill>
              </w:rPr>
              <w:t>，以及按照国家规定可以列入的其他费用</w:t>
            </w:r>
            <w:r>
              <w:rPr>
                <w:rFonts w:hint="eastAsia" w:ascii="楷体_GB2312" w:eastAsia="楷体_GB2312" w:cs="楷体_GB2312"/>
                <w:b/>
                <w:color w:val="000000" w:themeColor="text1"/>
                <w:sz w:val="20"/>
                <w:szCs w:val="20"/>
                <w14:textFill>
                  <w14:solidFill>
                    <w14:schemeClr w14:val="tx1"/>
                  </w14:solidFill>
                </w14:textFill>
              </w:rPr>
              <w:t>，按照实际发生时列支</w:t>
            </w:r>
            <w:r>
              <w:rPr>
                <w:rFonts w:ascii="楷体_GB2312" w:eastAsia="楷体_GB2312" w:cs="楷体_GB2312"/>
                <w:b/>
                <w:color w:val="000000" w:themeColor="text1"/>
                <w:sz w:val="20"/>
                <w:szCs w:val="20"/>
                <w14:textFill>
                  <w14:solidFill>
                    <w14:schemeClr w14:val="tx1"/>
                  </w14:solidFill>
                </w14:textFill>
              </w:rPr>
              <w:t>。管理人因管理、运营理财产品发生的税费</w:t>
            </w:r>
            <w:r>
              <w:rPr>
                <w:rFonts w:ascii="楷体_GB2312" w:eastAsia="楷体_GB2312"/>
                <w:b/>
                <w:color w:val="000000" w:themeColor="text1"/>
                <w:sz w:val="20"/>
                <w:szCs w:val="20"/>
                <w14:textFill>
                  <w14:solidFill>
                    <w14:schemeClr w14:val="tx1"/>
                  </w14:solidFill>
                </w14:textFill>
              </w:rPr>
              <w:t>（包括但不限于增值税及相应的附加税费等）</w:t>
            </w:r>
            <w:r>
              <w:rPr>
                <w:rFonts w:ascii="楷体_GB2312" w:eastAsia="楷体_GB2312" w:cs="楷体_GB2312"/>
                <w:b/>
                <w:color w:val="000000" w:themeColor="text1"/>
                <w:sz w:val="20"/>
                <w:szCs w:val="20"/>
                <w14:textFill>
                  <w14:solidFill>
                    <w14:schemeClr w14:val="tx1"/>
                  </w14:solidFill>
                </w14:textFill>
              </w:rPr>
              <w:t>由产品资产承担。法律法规另有规定时从其规定。</w:t>
            </w:r>
          </w:p>
          <w:p w14:paraId="420B85C9">
            <w:pPr>
              <w:snapToGrid w:val="0"/>
              <w:spacing w:line="300" w:lineRule="exact"/>
              <w:ind w:right="53" w:rightChars="22"/>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1．认购费：</w:t>
            </w:r>
            <w:r>
              <w:rPr>
                <w:rFonts w:hint="eastAsia" w:ascii="楷体_GB2312" w:eastAsia="楷体_GB2312" w:cs="楷体_GB2312"/>
                <w:b/>
                <w:color w:val="000000" w:themeColor="text1"/>
                <w:sz w:val="20"/>
                <w:szCs w:val="20"/>
                <w14:textFill>
                  <w14:solidFill>
                    <w14:schemeClr w14:val="tx1"/>
                  </w14:solidFill>
                </w14:textFill>
              </w:rPr>
              <w:t>B类份额不收取认购费，G类份额不收取认购费，H类份额不收取认购费</w:t>
            </w:r>
            <w:r>
              <w:rPr>
                <w:rFonts w:hint="eastAsia" w:ascii="楷体_GB2312" w:eastAsia="楷体_GB2312" w:cs="楷体_GB2312"/>
                <w:b/>
                <w:sz w:val="20"/>
                <w:szCs w:val="20"/>
              </w:rPr>
              <w:t>。</w:t>
            </w:r>
          </w:p>
          <w:p w14:paraId="69E4B343">
            <w:pPr>
              <w:snapToGrid w:val="0"/>
              <w:spacing w:line="300" w:lineRule="exact"/>
              <w:ind w:left="-2" w:leftChars="-1" w:right="53" w:rightChars="22"/>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2．申购费：</w:t>
            </w:r>
            <w:r>
              <w:rPr>
                <w:rFonts w:hint="eastAsia" w:ascii="楷体_GB2312" w:eastAsia="楷体_GB2312" w:cs="楷体_GB2312"/>
                <w:b/>
                <w:color w:val="000000" w:themeColor="text1"/>
                <w:sz w:val="20"/>
                <w:szCs w:val="20"/>
                <w14:textFill>
                  <w14:solidFill>
                    <w14:schemeClr w14:val="tx1"/>
                  </w14:solidFill>
                </w14:textFill>
              </w:rPr>
              <w:t>B类份额不收取申购费，G类份额不收取申购费，H类份额不收取申购费</w:t>
            </w:r>
            <w:r>
              <w:rPr>
                <w:rFonts w:ascii="楷体_GB2312" w:eastAsia="楷体_GB2312" w:cs="楷体_GB2312"/>
                <w:b/>
                <w:color w:val="000000" w:themeColor="text1"/>
                <w:sz w:val="20"/>
                <w:szCs w:val="20"/>
                <w14:textFill>
                  <w14:solidFill>
                    <w14:schemeClr w14:val="tx1"/>
                  </w14:solidFill>
                </w14:textFill>
              </w:rPr>
              <w:t>。</w:t>
            </w:r>
          </w:p>
          <w:p w14:paraId="54A9A1B4">
            <w:pPr>
              <w:snapToGrid w:val="0"/>
              <w:spacing w:line="300" w:lineRule="exact"/>
              <w:ind w:left="-2" w:leftChars="-1" w:right="53" w:rightChars="22"/>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3．赎回费：</w:t>
            </w:r>
            <w:r>
              <w:rPr>
                <w:rFonts w:hint="eastAsia" w:ascii="楷体_GB2312" w:eastAsia="楷体_GB2312" w:cs="楷体_GB2312"/>
                <w:b/>
                <w:color w:val="000000" w:themeColor="text1"/>
                <w:sz w:val="20"/>
                <w:szCs w:val="20"/>
                <w14:textFill>
                  <w14:solidFill>
                    <w14:schemeClr w14:val="tx1"/>
                  </w14:solidFill>
                </w14:textFill>
              </w:rPr>
              <w:t>B类份额不收取赎回费，G类份额不收取赎回费，H类份额不收取赎回费</w:t>
            </w:r>
            <w:r>
              <w:rPr>
                <w:rFonts w:ascii="楷体_GB2312" w:eastAsia="楷体_GB2312" w:cs="楷体_GB2312"/>
                <w:b/>
                <w:color w:val="000000" w:themeColor="text1"/>
                <w:sz w:val="20"/>
                <w:szCs w:val="20"/>
                <w14:textFill>
                  <w14:solidFill>
                    <w14:schemeClr w14:val="tx1"/>
                  </w14:solidFill>
                </w14:textFill>
              </w:rPr>
              <w:t>。</w:t>
            </w:r>
          </w:p>
          <w:p w14:paraId="613F48EE">
            <w:pPr>
              <w:snapToGrid w:val="0"/>
              <w:spacing w:line="300" w:lineRule="exact"/>
              <w:ind w:right="96" w:rightChars="4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4．销售服务费：</w:t>
            </w:r>
            <w:r>
              <w:rPr>
                <w:rFonts w:hint="eastAsia" w:ascii="楷体_GB2312" w:eastAsia="楷体_GB2312" w:cs="楷体_GB2312"/>
                <w:b/>
                <w:color w:val="000000" w:themeColor="text1"/>
                <w:sz w:val="20"/>
                <w:szCs w:val="20"/>
                <w14:textFill>
                  <w14:solidFill>
                    <w14:schemeClr w14:val="tx1"/>
                  </w14:solidFill>
                </w14:textFill>
              </w:rPr>
              <w:t>B类份额费率【0.30%】/年，G类份额费率【0.30%】/年，H类份额费率【0.30%】/年</w:t>
            </w:r>
            <w:r>
              <w:rPr>
                <w:rFonts w:ascii="楷体_GB2312" w:eastAsia="楷体_GB2312" w:cs="楷体_GB2312"/>
                <w:b/>
                <w:color w:val="000000" w:themeColor="text1"/>
                <w:sz w:val="20"/>
                <w:szCs w:val="20"/>
                <w14:textFill>
                  <w14:solidFill>
                    <w14:schemeClr w14:val="tx1"/>
                  </w14:solidFill>
                </w14:textFill>
              </w:rPr>
              <w:t>。</w:t>
            </w:r>
          </w:p>
          <w:p w14:paraId="473E5AA9">
            <w:pPr>
              <w:snapToGrid w:val="0"/>
              <w:spacing w:line="300" w:lineRule="exact"/>
              <w:ind w:right="53" w:rightChars="22"/>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5．托管费：费率【</w:t>
            </w:r>
            <w:r>
              <w:rPr>
                <w:rFonts w:hint="eastAsia" w:ascii="楷体_GB2312" w:eastAsia="楷体_GB2312" w:cs="楷体_GB2312"/>
                <w:b/>
                <w:color w:val="000000" w:themeColor="text1"/>
                <w:sz w:val="20"/>
                <w:szCs w:val="20"/>
                <w14:textFill>
                  <w14:solidFill>
                    <w14:schemeClr w14:val="tx1"/>
                  </w14:solidFill>
                </w14:textFill>
              </w:rPr>
              <w:t>0.03%</w:t>
            </w:r>
            <w:r>
              <w:rPr>
                <w:rFonts w:ascii="楷体_GB2312" w:eastAsia="楷体_GB2312" w:cs="楷体_GB2312"/>
                <w:b/>
                <w:color w:val="000000" w:themeColor="text1"/>
                <w:sz w:val="20"/>
                <w:szCs w:val="20"/>
                <w14:textFill>
                  <w14:solidFill>
                    <w14:schemeClr w14:val="tx1"/>
                  </w14:solidFill>
                </w14:textFill>
              </w:rPr>
              <w:t xml:space="preserve">】/年。 </w:t>
            </w:r>
          </w:p>
          <w:p w14:paraId="7D710B98">
            <w:pPr>
              <w:snapToGrid w:val="0"/>
              <w:spacing w:line="300" w:lineRule="exact"/>
              <w:ind w:right="53" w:rightChars="22"/>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6．固定管理费：费率【</w:t>
            </w:r>
            <w:r>
              <w:rPr>
                <w:rFonts w:hint="eastAsia" w:ascii="楷体_GB2312" w:eastAsia="楷体_GB2312" w:cs="楷体_GB2312"/>
                <w:b/>
                <w:color w:val="000000" w:themeColor="text1"/>
                <w:sz w:val="20"/>
                <w:szCs w:val="20"/>
                <w14:textFill>
                  <w14:solidFill>
                    <w14:schemeClr w14:val="tx1"/>
                  </w14:solidFill>
                </w14:textFill>
              </w:rPr>
              <w:t>0.30%</w:t>
            </w:r>
            <w:r>
              <w:rPr>
                <w:rFonts w:ascii="楷体_GB2312" w:eastAsia="楷体_GB2312" w:cs="楷体_GB2312"/>
                <w:b/>
                <w:color w:val="000000" w:themeColor="text1"/>
                <w:sz w:val="20"/>
                <w:szCs w:val="20"/>
                <w14:textFill>
                  <w14:solidFill>
                    <w14:schemeClr w14:val="tx1"/>
                  </w14:solidFill>
                </w14:textFill>
              </w:rPr>
              <w:t>】/年。</w:t>
            </w:r>
          </w:p>
          <w:p w14:paraId="4ABA103C">
            <w:pPr>
              <w:snapToGrid w:val="0"/>
              <w:spacing w:line="300" w:lineRule="exact"/>
              <w:ind w:right="53" w:rightChars="22"/>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7．浮动管理费：</w:t>
            </w:r>
          </w:p>
          <w:p w14:paraId="1C8EDBD0">
            <w:pPr>
              <w:snapToGrid w:val="0"/>
              <w:spacing w:line="300" w:lineRule="exact"/>
              <w:ind w:right="53" w:rightChars="22"/>
              <w:outlineLvl w:val="0"/>
              <w:rPr>
                <w:rFonts w:ascii="楷体_GB2312" w:eastAsia="楷体_GB2312" w:cs="楷体_GB2312"/>
                <w:b/>
                <w:color w:val="000000" w:themeColor="text1"/>
                <w:sz w:val="20"/>
                <w:szCs w:val="20"/>
                <w14:textFill>
                  <w14:solidFill>
                    <w14:schemeClr w14:val="tx1"/>
                  </w14:solidFill>
                </w14:textFill>
              </w:rPr>
            </w:pPr>
            <w:r>
              <w:rPr>
                <w:rFonts w:hint="eastAsia" w:ascii="楷体_GB2312" w:eastAsia="楷体_GB2312" w:cs="楷体_GB2312"/>
                <w:b/>
                <w:color w:val="000000" w:themeColor="text1"/>
                <w:sz w:val="20"/>
                <w:szCs w:val="20"/>
                <w14:textFill>
                  <w14:solidFill>
                    <w14:schemeClr w14:val="tx1"/>
                  </w14:solidFill>
                </w14:textFill>
              </w:rPr>
              <w:t>B类、G类、H类份额不收取浮动管理费。</w:t>
            </w:r>
          </w:p>
          <w:p w14:paraId="18680150">
            <w:pPr>
              <w:snapToGrid w:val="0"/>
              <w:spacing w:line="300" w:lineRule="exact"/>
              <w:ind w:right="53" w:rightChars="22"/>
              <w:jc w:val="both"/>
              <w:outlineLvl w:val="0"/>
              <w:rPr>
                <w:rFonts w:ascii="楷体_GB2312" w:eastAsia="楷体_GB2312" w:cs="楷体_GB2312"/>
                <w:b/>
                <w:color w:val="000000" w:themeColor="text1"/>
                <w:sz w:val="20"/>
                <w:szCs w:val="20"/>
                <w14:textFill>
                  <w14:solidFill>
                    <w14:schemeClr w14:val="tx1"/>
                  </w14:solidFill>
                </w14:textFill>
              </w:rPr>
            </w:pPr>
          </w:p>
          <w:p w14:paraId="48BEEB90">
            <w:pPr>
              <w:snapToGrid w:val="0"/>
              <w:spacing w:line="300" w:lineRule="exact"/>
              <w:ind w:right="53" w:rightChars="22"/>
              <w:jc w:val="both"/>
              <w:outlineLvl w:val="0"/>
              <w:rPr>
                <w:rFonts w:ascii="楷体_GB2312" w:eastAsia="楷体_GB2312"/>
                <w:b/>
                <w:color w:val="000000" w:themeColor="text1"/>
                <w:sz w:val="20"/>
                <w:szCs w:val="20"/>
                <w14:textFill>
                  <w14:solidFill>
                    <w14:schemeClr w14:val="tx1"/>
                  </w14:solidFill>
                </w14:textFill>
              </w:rPr>
            </w:pPr>
            <w:r>
              <w:rPr>
                <w:rFonts w:hint="eastAsia" w:ascii="楷体_GB2312" w:eastAsia="楷体_GB2312" w:cs="楷体_GB2312"/>
                <w:b/>
                <w:color w:val="000000" w:themeColor="text1"/>
                <w:sz w:val="20"/>
                <w:szCs w:val="20"/>
                <w14:textFill>
                  <w14:solidFill>
                    <w14:schemeClr w14:val="tx1"/>
                  </w14:solidFill>
                </w14:textFill>
              </w:rPr>
              <w:t>以上</w:t>
            </w:r>
            <w:r>
              <w:rPr>
                <w:rFonts w:ascii="楷体_GB2312" w:eastAsia="楷体_GB2312" w:cs="楷体_GB2312"/>
                <w:b/>
                <w:color w:val="000000" w:themeColor="text1"/>
                <w:sz w:val="20"/>
                <w:szCs w:val="20"/>
                <w14:textFill>
                  <w14:solidFill>
                    <w14:schemeClr w14:val="tx1"/>
                  </w14:solidFill>
                </w14:textFill>
              </w:rPr>
              <w:t>1-7</w:t>
            </w:r>
            <w:r>
              <w:rPr>
                <w:rFonts w:hint="eastAsia" w:ascii="楷体_GB2312" w:eastAsia="楷体_GB2312" w:cs="楷体_GB2312"/>
                <w:b/>
                <w:color w:val="000000" w:themeColor="text1"/>
                <w:sz w:val="20"/>
                <w:szCs w:val="20"/>
                <w14:textFill>
                  <w14:solidFill>
                    <w14:schemeClr w14:val="tx1"/>
                  </w14:solidFill>
                </w14:textFill>
              </w:rPr>
              <w:t>项费用</w:t>
            </w:r>
            <w:r>
              <w:rPr>
                <w:rFonts w:ascii="楷体_GB2312" w:eastAsia="楷体_GB2312" w:cs="楷体_GB2312"/>
                <w:b/>
                <w:color w:val="000000" w:themeColor="text1"/>
                <w:sz w:val="20"/>
                <w:szCs w:val="20"/>
                <w14:textFill>
                  <w14:solidFill>
                    <w14:schemeClr w14:val="tx1"/>
                  </w14:solidFill>
                </w14:textFill>
              </w:rPr>
              <w:t>金额均</w:t>
            </w:r>
            <w:r>
              <w:rPr>
                <w:rFonts w:hint="eastAsia" w:ascii="楷体_GB2312" w:eastAsia="楷体_GB2312" w:cs="楷体_GB2312"/>
                <w:b/>
                <w:color w:val="000000" w:themeColor="text1"/>
                <w:sz w:val="20"/>
                <w:szCs w:val="20"/>
                <w14:textFill>
                  <w14:solidFill>
                    <w14:schemeClr w14:val="tx1"/>
                  </w14:solidFill>
                </w14:textFill>
              </w:rPr>
              <w:t>四舍五入</w:t>
            </w:r>
            <w:r>
              <w:rPr>
                <w:rFonts w:ascii="楷体_GB2312" w:eastAsia="楷体_GB2312" w:cs="楷体_GB2312"/>
                <w:b/>
                <w:color w:val="000000" w:themeColor="text1"/>
                <w:sz w:val="20"/>
                <w:szCs w:val="20"/>
                <w14:textFill>
                  <w14:solidFill>
                    <w14:schemeClr w14:val="tx1"/>
                  </w14:solidFill>
                </w14:textFill>
              </w:rPr>
              <w:t>保留小数点后</w:t>
            </w:r>
            <w:r>
              <w:rPr>
                <w:rFonts w:hint="eastAsia" w:ascii="楷体_GB2312" w:eastAsia="楷体_GB2312" w:cs="楷体_GB2312"/>
                <w:b/>
                <w:color w:val="000000" w:themeColor="text1"/>
                <w:sz w:val="20"/>
                <w:szCs w:val="20"/>
                <w14:textFill>
                  <w14:solidFill>
                    <w14:schemeClr w14:val="tx1"/>
                  </w14:solidFill>
                </w14:textFill>
              </w:rPr>
              <w:t>【</w:t>
            </w:r>
            <w:r>
              <w:rPr>
                <w:rFonts w:ascii="楷体_GB2312" w:eastAsia="楷体_GB2312" w:cs="楷体_GB2312"/>
                <w:b/>
                <w:color w:val="000000" w:themeColor="text1"/>
                <w:sz w:val="20"/>
                <w:szCs w:val="20"/>
                <w14:textFill>
                  <w14:solidFill>
                    <w14:schemeClr w14:val="tx1"/>
                  </w14:solidFill>
                </w14:textFill>
              </w:rPr>
              <w:t>2】位。</w:t>
            </w:r>
          </w:p>
          <w:p w14:paraId="40948EED">
            <w:pPr>
              <w:snapToGrid w:val="0"/>
              <w:spacing w:line="300" w:lineRule="exact"/>
              <w:ind w:right="53" w:rightChars="22"/>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具体请参见本说明书“</w:t>
            </w:r>
            <w:r>
              <w:rPr>
                <w:rFonts w:hint="eastAsia" w:ascii="黑体" w:eastAsia="黑体" w:cs="黑体"/>
                <w:b/>
                <w:color w:val="000000" w:themeColor="text1"/>
                <w:sz w:val="20"/>
                <w:szCs w:val="20"/>
                <w14:textFill>
                  <w14:solidFill>
                    <w14:schemeClr w14:val="tx1"/>
                  </w14:solidFill>
                </w14:textFill>
              </w:rPr>
              <w:t>九、理财产品的费用</w:t>
            </w:r>
            <w:r>
              <w:rPr>
                <w:rFonts w:ascii="楷体_GB2312" w:eastAsia="楷体_GB2312" w:cs="楷体_GB2312"/>
                <w:b/>
                <w:color w:val="000000" w:themeColor="text1"/>
                <w:sz w:val="20"/>
                <w:szCs w:val="20"/>
                <w14:textFill>
                  <w14:solidFill>
                    <w14:schemeClr w14:val="tx1"/>
                  </w14:solidFill>
                </w14:textFill>
              </w:rPr>
              <w:t>”部分。</w:t>
            </w:r>
          </w:p>
          <w:p w14:paraId="2EDD31AE">
            <w:pPr>
              <w:spacing w:line="300" w:lineRule="exact"/>
              <w:ind w:right="36" w:rightChars="15"/>
              <w:jc w:val="both"/>
              <w:rPr>
                <w:rFonts w:ascii="楷体_GB2312" w:eastAsia="楷体_GB2312" w:cs="楷体_GB2312"/>
                <w:b/>
                <w:color w:val="000000" w:themeColor="text1"/>
                <w:sz w:val="20"/>
                <w:szCs w:val="20"/>
                <w14:textFill>
                  <w14:solidFill>
                    <w14:schemeClr w14:val="tx1"/>
                  </w14:solidFill>
                </w14:textFill>
              </w:rPr>
            </w:pPr>
            <w:r>
              <w:rPr>
                <w:rFonts w:hint="eastAsia" w:ascii="楷体_GB2312" w:eastAsia="楷体_GB2312" w:cs="楷体_GB2312"/>
                <w:b/>
                <w:sz w:val="20"/>
                <w:szCs w:val="20"/>
              </w:rPr>
              <w:t>本产品可能同时在其他渠道销售，本产品收取的销售服务费可能因销售机构不同有所差异，从而导致测算的业绩比较基准有所差异，请投资者关注管理人及销售机构相关信息披露。</w:t>
            </w:r>
          </w:p>
          <w:p w14:paraId="328FF65F">
            <w:pPr>
              <w:snapToGrid w:val="0"/>
              <w:spacing w:line="300" w:lineRule="exact"/>
              <w:ind w:right="53" w:rightChars="22"/>
              <w:outlineLvl w:val="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投资者通过代销机构购买理财产品的，代销机构收取的销售相关费用（如有）以代销机构规定为准，但不得超过上述费用标准。</w:t>
            </w:r>
          </w:p>
        </w:tc>
      </w:tr>
      <w:tr w14:paraId="65E65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63C699A7">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理财产品</w:t>
            </w:r>
            <w:r>
              <w:rPr>
                <w:rFonts w:ascii="Times New Roman" w:eastAsia="楷体_GB2312" w:cs="楷体_GB2312"/>
                <w:color w:val="000000" w:themeColor="text1"/>
                <w:sz w:val="20"/>
                <w:szCs w:val="20"/>
                <w14:textFill>
                  <w14:solidFill>
                    <w14:schemeClr w14:val="tx1"/>
                  </w14:solidFill>
                </w14:textFill>
              </w:rPr>
              <w:t>管理人</w:t>
            </w:r>
            <w:r>
              <w:rPr>
                <w:rFonts w:hint="eastAsia" w:ascii="Times New Roman" w:eastAsia="楷体_GB2312" w:cs="楷体_GB2312"/>
                <w:color w:val="000000" w:themeColor="text1"/>
                <w:sz w:val="20"/>
                <w:szCs w:val="20"/>
                <w14:textFill>
                  <w14:solidFill>
                    <w14:schemeClr w14:val="tx1"/>
                  </w14:solidFill>
                </w14:textFill>
              </w:rPr>
              <w:t>/产品</w:t>
            </w:r>
            <w:r>
              <w:rPr>
                <w:rFonts w:ascii="Times New Roman" w:eastAsia="楷体_GB2312" w:cs="楷体_GB2312"/>
                <w:color w:val="000000" w:themeColor="text1"/>
                <w:sz w:val="20"/>
                <w:szCs w:val="20"/>
                <w14:textFill>
                  <w14:solidFill>
                    <w14:schemeClr w14:val="tx1"/>
                  </w14:solidFill>
                </w14:textFill>
              </w:rPr>
              <w:t>管理</w:t>
            </w:r>
            <w:r>
              <w:rPr>
                <w:rFonts w:hint="eastAsia" w:ascii="Times New Roman" w:eastAsia="楷体_GB2312" w:cs="楷体_GB2312"/>
                <w:color w:val="000000" w:themeColor="text1"/>
                <w:sz w:val="20"/>
                <w:szCs w:val="20"/>
                <w14:textFill>
                  <w14:solidFill>
                    <w14:schemeClr w14:val="tx1"/>
                  </w14:solidFill>
                </w14:textFill>
              </w:rPr>
              <w:t>人/管理人</w:t>
            </w:r>
            <w:r>
              <w:rPr>
                <w:rFonts w:ascii="Times New Roman" w:eastAsia="楷体_GB2312" w:cs="楷体_GB2312"/>
                <w:color w:val="000000" w:themeColor="text1"/>
                <w:sz w:val="20"/>
                <w:szCs w:val="20"/>
                <w14:textFill>
                  <w14:solidFill>
                    <w14:schemeClr w14:val="tx1"/>
                  </w14:solidFill>
                </w14:textFill>
              </w:rPr>
              <w:t>、</w:t>
            </w:r>
            <w:r>
              <w:rPr>
                <w:rFonts w:hint="eastAsia" w:ascii="Times New Roman" w:eastAsia="楷体_GB2312" w:cs="楷体_GB2312"/>
                <w:color w:val="000000" w:themeColor="text1"/>
                <w:sz w:val="20"/>
                <w:szCs w:val="20"/>
                <w14:textFill>
                  <w14:solidFill>
                    <w14:schemeClr w14:val="tx1"/>
                  </w14:solidFill>
                </w14:textFill>
              </w:rPr>
              <w:t>收益</w:t>
            </w:r>
            <w:r>
              <w:rPr>
                <w:rFonts w:ascii="Times New Roman" w:eastAsia="楷体_GB2312" w:cs="楷体_GB2312"/>
                <w:color w:val="000000" w:themeColor="text1"/>
                <w:sz w:val="20"/>
                <w:szCs w:val="20"/>
                <w14:textFill>
                  <w14:solidFill>
                    <w14:schemeClr w14:val="tx1"/>
                  </w14:solidFill>
                </w14:textFill>
              </w:rPr>
              <w:t>计算方</w:t>
            </w:r>
          </w:p>
        </w:tc>
        <w:tc>
          <w:tcPr>
            <w:tcW w:w="3740" w:type="pct"/>
            <w:vAlign w:val="center"/>
          </w:tcPr>
          <w:p w14:paraId="4C777D8B">
            <w:pPr>
              <w:spacing w:line="300" w:lineRule="atLeast"/>
              <w:ind w:left="-2"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w:t>
            </w:r>
          </w:p>
        </w:tc>
      </w:tr>
      <w:tr w14:paraId="19527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6AB3E52A">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合作销售机构</w:t>
            </w:r>
          </w:p>
        </w:tc>
        <w:tc>
          <w:tcPr>
            <w:tcW w:w="3740" w:type="pct"/>
            <w:vAlign w:val="center"/>
          </w:tcPr>
          <w:p w14:paraId="48E95867">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B类份额（份额代码【AF247784B】）合作销售机构信息：</w:t>
            </w:r>
            <w:r>
              <w:br w:type="textWrapping"/>
            </w:r>
            <w:r>
              <w:rPr>
                <w:rFonts w:ascii="楷体_GB2312" w:eastAsia="楷体_GB2312" w:cs="楷体_GB2312"/>
                <w:color w:val="000000" w:themeColor="text1"/>
                <w:sz w:val="20"/>
                <w:szCs w:val="20"/>
                <w14:textFill>
                  <w14:solidFill>
                    <w14:schemeClr w14:val="tx1"/>
                  </w14:solidFill>
                </w14:textFill>
              </w:rPr>
              <w:t>1.企业名称：【信银理财有限责任公司】</w:t>
            </w:r>
            <w:r>
              <w:br w:type="textWrapping"/>
            </w:r>
            <w:r>
              <w:rPr>
                <w:rFonts w:ascii="楷体_GB2312" w:eastAsia="楷体_GB2312" w:cs="楷体_GB2312"/>
                <w:color w:val="000000" w:themeColor="text1"/>
                <w:sz w:val="20"/>
                <w:szCs w:val="20"/>
                <w14:textFill>
                  <w14:solidFill>
                    <w14:schemeClr w14:val="tx1"/>
                  </w14:solidFill>
                </w14:textFill>
              </w:rPr>
              <w:t>统一社会信用代码：【91310000MA1FL7AC87】</w:t>
            </w:r>
            <w:r>
              <w:br w:type="textWrapping"/>
            </w:r>
            <w:r>
              <w:rPr>
                <w:rFonts w:ascii="楷体_GB2312" w:eastAsia="楷体_GB2312" w:cs="楷体_GB2312"/>
                <w:color w:val="000000" w:themeColor="text1"/>
                <w:sz w:val="20"/>
                <w:szCs w:val="20"/>
                <w14:textFill>
                  <w14:solidFill>
                    <w14:schemeClr w14:val="tx1"/>
                  </w14:solidFill>
                </w14:textFill>
              </w:rPr>
              <w:t>住所：【上海市黄浦区中山东二路600号1幢35层、36层】</w:t>
            </w:r>
            <w:r>
              <w:br w:type="textWrapping"/>
            </w:r>
            <w:r>
              <w:rPr>
                <w:rFonts w:ascii="楷体_GB2312" w:eastAsia="楷体_GB2312" w:cs="楷体_GB2312"/>
                <w:color w:val="000000" w:themeColor="text1"/>
                <w:sz w:val="20"/>
                <w:szCs w:val="20"/>
                <w14:textFill>
                  <w14:solidFill>
                    <w14:schemeClr w14:val="tx1"/>
                  </w14:solidFill>
                </w14:textFill>
              </w:rPr>
              <w:t>客户服务热线：【950950】</w:t>
            </w:r>
          </w:p>
          <w:p w14:paraId="2B499FBD">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2</w:t>
            </w:r>
            <w:r>
              <w:rPr>
                <w:rFonts w:ascii="楷体_GB2312" w:eastAsia="楷体_GB2312" w:cs="楷体_GB2312"/>
                <w:color w:val="000000" w:themeColor="text1"/>
                <w:sz w:val="20"/>
                <w:szCs w:val="20"/>
                <w14:textFill>
                  <w14:solidFill>
                    <w14:schemeClr w14:val="tx1"/>
                  </w14:solidFill>
                </w14:textFill>
              </w:rPr>
              <w:t>.企业名称：【兴业银行股份有限公司】</w:t>
            </w:r>
          </w:p>
          <w:p w14:paraId="6EC76259">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w:t>
            </w:r>
            <w:r>
              <w:rPr>
                <w:rFonts w:ascii="楷体_GB2312" w:eastAsia="楷体_GB2312" w:cs="楷体_GB2312"/>
                <w:color w:val="000000" w:themeColor="text1"/>
                <w:sz w:val="20"/>
                <w:szCs w:val="20"/>
                <w14:textFill>
                  <w14:solidFill>
                    <w14:schemeClr w14:val="tx1"/>
                  </w14:solidFill>
                </w14:textFill>
              </w:rPr>
              <w:t>91350000158142711F】</w:t>
            </w:r>
          </w:p>
          <w:p w14:paraId="06F9FE40">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住所：【福建省福州市台江区江滨中大道</w:t>
            </w:r>
            <w:r>
              <w:rPr>
                <w:rFonts w:ascii="楷体_GB2312" w:eastAsia="楷体_GB2312" w:cs="楷体_GB2312"/>
                <w:color w:val="000000" w:themeColor="text1"/>
                <w:sz w:val="20"/>
                <w:szCs w:val="20"/>
                <w14:textFill>
                  <w14:solidFill>
                    <w14:schemeClr w14:val="tx1"/>
                  </w14:solidFill>
                </w14:textFill>
              </w:rPr>
              <w:t>398号兴业银行大厦】</w:t>
            </w:r>
          </w:p>
          <w:p w14:paraId="17C6F145">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w:t>
            </w:r>
            <w:r>
              <w:rPr>
                <w:rFonts w:ascii="楷体_GB2312" w:eastAsia="楷体_GB2312" w:cs="楷体_GB2312"/>
                <w:color w:val="000000" w:themeColor="text1"/>
                <w:sz w:val="20"/>
                <w:szCs w:val="20"/>
                <w14:textFill>
                  <w14:solidFill>
                    <w14:schemeClr w14:val="tx1"/>
                  </w14:solidFill>
                </w14:textFill>
              </w:rPr>
              <w:t>95561】</w:t>
            </w:r>
          </w:p>
          <w:p w14:paraId="0ECDB168">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.企业名称：【深圳农村商业银行股份有限公司】</w:t>
            </w:r>
          </w:p>
          <w:p w14:paraId="0F8586EB">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统一社会信用代码：【91440300782792953J】</w:t>
            </w:r>
          </w:p>
          <w:p w14:paraId="24C8B7A3">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住所：【广东省深圳市宝安区新安街道海旺社区海秀路2028号农商银行大厦】</w:t>
            </w:r>
          </w:p>
          <w:p w14:paraId="67CF98C6">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客户服务热线：【4001961200】</w:t>
            </w:r>
          </w:p>
          <w:p w14:paraId="07F32FFE">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.企业名称：【郑州银行股份有限公司】</w:t>
            </w:r>
          </w:p>
          <w:p w14:paraId="04A41422">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统一社会信用代码：【914100001699995779】</w:t>
            </w:r>
          </w:p>
          <w:p w14:paraId="6EDFE5EE">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住所：【郑州市郑东新区商务外环路22号】</w:t>
            </w:r>
          </w:p>
          <w:p w14:paraId="7A02E7B2">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客户服务热线：【95097】</w:t>
            </w:r>
          </w:p>
          <w:p w14:paraId="6C7E8052">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.企业名称：【江苏镇江农村商业银行股份有限公司】</w:t>
            </w:r>
          </w:p>
          <w:p w14:paraId="042A2ECA">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统一社会信用代码：【913211005691909538】</w:t>
            </w:r>
          </w:p>
          <w:p w14:paraId="79DDC7C0">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住所：【江苏省镇江市润州区长江路97号】</w:t>
            </w:r>
          </w:p>
          <w:p w14:paraId="26F61973">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客户服务热线：【0513-96008】</w:t>
            </w:r>
          </w:p>
          <w:p w14:paraId="62D668A7">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6</w:t>
            </w:r>
            <w:r>
              <w:rPr>
                <w:rFonts w:hint="eastAsia" w:ascii="楷体_GB2312" w:eastAsia="楷体_GB2312" w:cs="楷体_GB2312"/>
                <w:color w:val="000000" w:themeColor="text1"/>
                <w:sz w:val="20"/>
                <w:szCs w:val="20"/>
                <w14:textFill>
                  <w14:solidFill>
                    <w14:schemeClr w14:val="tx1"/>
                  </w14:solidFill>
                </w14:textFill>
              </w:rPr>
              <w:t>.企业名称：【江苏句容农村商业银行股份有限公司】</w:t>
            </w:r>
          </w:p>
          <w:p w14:paraId="1D22F0F4">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统一社会信用代码：【91321100576724933U】</w:t>
            </w:r>
          </w:p>
          <w:p w14:paraId="6DE3297B">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住所：【江苏省句容市福地东路66号】</w:t>
            </w:r>
          </w:p>
          <w:p w14:paraId="79654D1A">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客户服务热线：【0511-96008】</w:t>
            </w:r>
          </w:p>
          <w:p w14:paraId="41DDF6B4">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7</w:t>
            </w:r>
            <w:r>
              <w:rPr>
                <w:rFonts w:hint="eastAsia" w:ascii="楷体_GB2312" w:eastAsia="楷体_GB2312" w:cs="楷体_GB2312"/>
                <w:color w:val="000000" w:themeColor="text1"/>
                <w:sz w:val="20"/>
                <w:szCs w:val="20"/>
                <w14:textFill>
                  <w14:solidFill>
                    <w14:schemeClr w14:val="tx1"/>
                  </w14:solidFill>
                </w14:textFill>
              </w:rPr>
              <w:t>.企业名称：【江苏姜堰农村商业银行股份有限公司】</w:t>
            </w:r>
          </w:p>
          <w:p w14:paraId="327A40CC">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统一社会信用代码：【913212001419478711】</w:t>
            </w:r>
          </w:p>
          <w:p w14:paraId="73B7E005">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住所：【泰州市姜堰区姜堰大道128号】</w:t>
            </w:r>
          </w:p>
          <w:p w14:paraId="41EBB08A">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客户服务热线：【96008】</w:t>
            </w:r>
          </w:p>
          <w:p w14:paraId="5B65926F">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p>
          <w:p w14:paraId="5D4A3637">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G类份额（份额代码【AF247784G】）合作销售机构信息：</w:t>
            </w:r>
          </w:p>
          <w:p w14:paraId="75410BD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1.企业名称：【浙江新昌农村商业银行股份有限公司】</w:t>
            </w:r>
          </w:p>
          <w:p w14:paraId="528C74E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统一社会信用代码：【913306007707448740】</w:t>
            </w:r>
          </w:p>
          <w:p w14:paraId="355F8E9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住所：【浙江省新昌县七星街道七星路18号】</w:t>
            </w:r>
          </w:p>
          <w:p w14:paraId="1D339F8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638119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2.企业名称：【浙江杭州余杭农村商业银行股份有限公司】</w:t>
            </w:r>
          </w:p>
          <w:p w14:paraId="64D8987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统一社会信用代码：【9133010014387221XY】</w:t>
            </w:r>
          </w:p>
          <w:p w14:paraId="05DE255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住所：【浙江省杭州市临平区南苑街道南大街72号】</w:t>
            </w:r>
          </w:p>
          <w:p w14:paraId="6A6A108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90235A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3.企业名称：【浙江德清农村商业银行股份有限公司】</w:t>
            </w:r>
          </w:p>
          <w:p w14:paraId="7303092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统一社会信用代码：【9133050076962455XQ】</w:t>
            </w:r>
          </w:p>
          <w:p w14:paraId="3A711E6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住所：【浙江省德清县武康街道沈长圩街50号】</w:t>
            </w:r>
          </w:p>
          <w:p w14:paraId="40DCB5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71692D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4.企业名称：【浙江瑞安农村商业银行股份有限公司】</w:t>
            </w:r>
          </w:p>
          <w:p w14:paraId="57F1A91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统一社会信用代码：【91330300773121154L】</w:t>
            </w:r>
          </w:p>
          <w:p w14:paraId="103E797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住所：【瑞安市安阳街道万松东路148号】</w:t>
            </w:r>
          </w:p>
          <w:p w14:paraId="5013228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DC0904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5.企业名称：【浙江富阳农村商业银行股份有限公司】</w:t>
            </w:r>
          </w:p>
          <w:p w14:paraId="4F4AB10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统一社会信用代码：【91330100YA3600224E】</w:t>
            </w:r>
          </w:p>
          <w:p w14:paraId="3C5EFDF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住所：【浙江省杭州市富阳区鹿山街道依江路501号第1幢】</w:t>
            </w:r>
          </w:p>
          <w:p w14:paraId="0168972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78C819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6.企业名称：【浙江金华成泰农村商业银行股份有限公司】</w:t>
            </w:r>
          </w:p>
          <w:p w14:paraId="58BD3D8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统一社会信用代码：【91330700685598446M】</w:t>
            </w:r>
          </w:p>
          <w:p w14:paraId="3AEB515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住所：【浙江省金华市八一南街123号】</w:t>
            </w:r>
          </w:p>
          <w:p w14:paraId="606E425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F62E4C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7.企业名称：【浙江永康农村商业银行股份有限公司】</w:t>
            </w:r>
          </w:p>
          <w:p w14:paraId="2896092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统一社会信用代码：【91330700563336405G】</w:t>
            </w:r>
          </w:p>
          <w:p w14:paraId="266284E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住所：【浙江省金华市永康市九铃东路3259号】</w:t>
            </w:r>
          </w:p>
          <w:p w14:paraId="4A6A15C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CA0939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8.企业名称：【浙江东阳农村商业银行股份有限公司】</w:t>
            </w:r>
          </w:p>
          <w:p w14:paraId="5168682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统一社会信用代码：【91330700147546390Q】</w:t>
            </w:r>
          </w:p>
          <w:p w14:paraId="5FAB95C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住所：【东阳市双岘路18号】</w:t>
            </w:r>
          </w:p>
          <w:p w14:paraId="11548BA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05D2EC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9.企业名称：【浙江浦江农村商业银行股份有限公司】</w:t>
            </w:r>
          </w:p>
          <w:p w14:paraId="77CC1A0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统一社会信用代码：【913307261476928819】</w:t>
            </w:r>
          </w:p>
          <w:p w14:paraId="0F7D576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住所：【浙江省浦江县人民东路90号】</w:t>
            </w:r>
          </w:p>
          <w:p w14:paraId="2C06101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84A330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10.企业名称：【浙江衢州柯城农村商业银行股份有限公司】</w:t>
            </w:r>
          </w:p>
          <w:p w14:paraId="47FC227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统一社会信用代码：【913308001477477826】</w:t>
            </w:r>
          </w:p>
          <w:p w14:paraId="359EC60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住所：【浙江省上街92号】</w:t>
            </w:r>
          </w:p>
          <w:p w14:paraId="7472A07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820B31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11.企业名称：【浙江衢州衢江农村商业银行股份有限公司】</w:t>
            </w:r>
          </w:p>
          <w:p w14:paraId="2F4C61A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统一社会信用代码：【91330800147752813B】</w:t>
            </w:r>
          </w:p>
          <w:p w14:paraId="00F3E94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住所：【浙江省衢州市衢江区樟潭街道信安东路37号】</w:t>
            </w:r>
          </w:p>
          <w:p w14:paraId="707D294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253173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12.企业名称：【浙江龙游农村商业银行股份有限公司】</w:t>
            </w:r>
          </w:p>
          <w:p w14:paraId="1E4307B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统一社会信用代码：【91330825769632509M】</w:t>
            </w:r>
          </w:p>
          <w:p w14:paraId="22761FD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住所：【浙江省衢州市龙游县龙洲街道荣昌大道683、685、687号】</w:t>
            </w:r>
          </w:p>
          <w:p w14:paraId="0C5D473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6996B0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13.企业名称：【浙江江山农村商业银行股份有限公司】</w:t>
            </w:r>
          </w:p>
          <w:p w14:paraId="25335BD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统一社会信用代码：【913308001478831865】</w:t>
            </w:r>
          </w:p>
          <w:p w14:paraId="7A537AF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住所：【浙江省江山市双塔街道江滨路188号】</w:t>
            </w:r>
          </w:p>
          <w:p w14:paraId="46F4FC0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C50E71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14.企业名称：【浙江常山农村商业银行股份有限公司】</w:t>
            </w:r>
          </w:p>
          <w:p w14:paraId="5C7AD07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统一社会信用代码：【91330822147845315H】</w:t>
            </w:r>
          </w:p>
          <w:p w14:paraId="47DC16D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住所：【浙江省衢州市常山县天马街道人民路125号】</w:t>
            </w:r>
          </w:p>
          <w:p w14:paraId="10AFBE8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947081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15.企业名称：【浙江开化农村商业银行股份有限公司】</w:t>
            </w:r>
          </w:p>
          <w:p w14:paraId="0C80CFE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统一社会信用代码：【913308241479259480】</w:t>
            </w:r>
          </w:p>
          <w:p w14:paraId="62AB467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住所：【浙江省衢州市开化县华埠镇永吉二路8号】</w:t>
            </w:r>
          </w:p>
          <w:p w14:paraId="377843B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684ACE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16.企业名称：【浙江丽水莲都农村商业银行股份有限公司】</w:t>
            </w:r>
          </w:p>
          <w:p w14:paraId="02D01C9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统一社会信用代码：【91331100148440061D】</w:t>
            </w:r>
          </w:p>
          <w:p w14:paraId="37BDFFB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住所：【浙江丽水市解放街438号】</w:t>
            </w:r>
          </w:p>
          <w:p w14:paraId="4861A0A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3B907E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17.企业名称：【浙江青田农村商业银行股份有限公司】</w:t>
            </w:r>
          </w:p>
          <w:p w14:paraId="1C28740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统一社会信用代码：【913311007757320399】</w:t>
            </w:r>
          </w:p>
          <w:p w14:paraId="71EF078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住所：【浙江省青田县鹤城街道鹤城东路180号】</w:t>
            </w:r>
          </w:p>
          <w:p w14:paraId="2CCA90C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E87E94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18.企业名称：【浙江龙泉农村商业银行股份有限公司】</w:t>
            </w:r>
          </w:p>
          <w:p w14:paraId="705EC2B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统一社会信用代码：【91331181148543853J】</w:t>
            </w:r>
          </w:p>
          <w:p w14:paraId="630865D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住所：【浙江省丽水市龙泉市中山东路101号】</w:t>
            </w:r>
          </w:p>
          <w:p w14:paraId="0EF370C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A4E4DB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19.企业名称：【浙江遂昌农村商业银行股份有限公司】</w:t>
            </w:r>
          </w:p>
          <w:p w14:paraId="65A14D7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统一社会信用代码：【91331123148661817E】</w:t>
            </w:r>
          </w:p>
          <w:p w14:paraId="2DD6AE2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住所：【浙江省丽水市遂昌县妙高街道溪边路100号】</w:t>
            </w:r>
          </w:p>
          <w:p w14:paraId="0157C75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5E10F5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20.企业名称：【浙江松阳农村商业银行股份有限公司】</w:t>
            </w:r>
          </w:p>
          <w:p w14:paraId="3EE797D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统一社会信用代码：【91331124148632856X】</w:t>
            </w:r>
          </w:p>
          <w:p w14:paraId="69B7E79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住所：【浙江省丽水市松阳县水南街道要津南路71号】</w:t>
            </w:r>
          </w:p>
          <w:p w14:paraId="7139C87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A686D6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21.企业名称：【浙江景宁农村商业银行股份有限公司】</w:t>
            </w:r>
          </w:p>
          <w:p w14:paraId="155F8D3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统一社会信用代码：【91331127704796094T】</w:t>
            </w:r>
          </w:p>
          <w:p w14:paraId="3DCAA0C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住所：【浙江省丽水市景宁畲族自治县红星街道人民中路201号】</w:t>
            </w:r>
          </w:p>
          <w:p w14:paraId="4997A22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254DE8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22.企业名称：【浙江台州椒江农村商业银行股份有限公司】</w:t>
            </w:r>
          </w:p>
          <w:p w14:paraId="6B55A02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统一社会信用代码：【913310021482768636】</w:t>
            </w:r>
          </w:p>
          <w:p w14:paraId="53525C1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住所：【浙江省台州市椒江区工人东路322号】</w:t>
            </w:r>
          </w:p>
          <w:p w14:paraId="5AD60D8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DBFC28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23.企业名称：【浙江台州黄岩农村商业银行股份有限公司】</w:t>
            </w:r>
          </w:p>
          <w:p w14:paraId="2724E8E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统一社会信用代码：【91331003770736460B】</w:t>
            </w:r>
          </w:p>
          <w:p w14:paraId="2DDBF9E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住所：【浙江省台州市黄岩区洞天路88号】</w:t>
            </w:r>
          </w:p>
          <w:p w14:paraId="089E6A3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5C52A8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24.企业名称：【浙江台州路桥农村商业银行股份有限公司】</w:t>
            </w:r>
          </w:p>
          <w:p w14:paraId="27BF89C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统一社会信用代码：【91331004771942717H】</w:t>
            </w:r>
          </w:p>
          <w:p w14:paraId="0FC817F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住所：【浙江省台州市路桥区西路桥大道328号】</w:t>
            </w:r>
          </w:p>
          <w:p w14:paraId="7BFCF4F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88284B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25.企业名称：【浙江温岭农村商业银行股份有限公司】</w:t>
            </w:r>
          </w:p>
          <w:p w14:paraId="646D84A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统一社会信用代码：【913310001489096329】</w:t>
            </w:r>
          </w:p>
          <w:p w14:paraId="5930E86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住所：【浙江省台州市温岭市城东街道下保路100号】</w:t>
            </w:r>
          </w:p>
          <w:p w14:paraId="5F9DF20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FFA021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26.企业名称：【浙江天台农村商业银行股份有限公司】</w:t>
            </w:r>
          </w:p>
          <w:p w14:paraId="6D8311F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统一社会信用代码：【91331000148073695C】</w:t>
            </w:r>
          </w:p>
          <w:p w14:paraId="1E167D7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住所：【浙江省天台县赤城街道飞鹤路358号】</w:t>
            </w:r>
          </w:p>
          <w:p w14:paraId="574AF03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CF9A93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27.企业名称：【浙江三门农村商业银行股份有限公司】</w:t>
            </w:r>
          </w:p>
          <w:p w14:paraId="0F2C266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统一社会信用代码：【91331022774367359X】</w:t>
            </w:r>
          </w:p>
          <w:p w14:paraId="0E8DB43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住所：【浙江省三门县海游街道上洋路68号】</w:t>
            </w:r>
          </w:p>
          <w:p w14:paraId="0310470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DFA48C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28.企业名称：【浙江舟山定海海洋农村商业银行股份有限公司】</w:t>
            </w:r>
          </w:p>
          <w:p w14:paraId="06F4C03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统一社会信用代码：【91330900148740320U】</w:t>
            </w:r>
          </w:p>
          <w:p w14:paraId="63FC96E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住所：【浙江省舟山市定海区环城东路81号】</w:t>
            </w:r>
          </w:p>
          <w:p w14:paraId="5BF5081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C48E94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29.企业名称：【浙江舟山普陀农村商业银行股份有限公司】</w:t>
            </w:r>
          </w:p>
          <w:p w14:paraId="327EE14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统一社会信用代码：【913309006831072360】</w:t>
            </w:r>
          </w:p>
          <w:p w14:paraId="2D76573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住所：【浙江省舟山市普陀区东港街道麒麟街225号（自贸试验区内）】</w:t>
            </w:r>
          </w:p>
          <w:p w14:paraId="4507F41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E20894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30.企业名称：【湖州吴兴农村商业银行股份有限公司】</w:t>
            </w:r>
          </w:p>
          <w:p w14:paraId="43D7CB9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统一社会信用代码：【913305007782713708】</w:t>
            </w:r>
          </w:p>
          <w:p w14:paraId="32774DE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住所：【浙江省湖州市东街55号】</w:t>
            </w:r>
          </w:p>
          <w:p w14:paraId="77F3F13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FCACB5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31.企业名称：【浙江临安农村商业银行股份有限公司】</w:t>
            </w:r>
          </w:p>
          <w:p w14:paraId="5F23866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统一社会信用代码：【913301851437582064】</w:t>
            </w:r>
          </w:p>
          <w:p w14:paraId="289E6CF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住所：【浙江省杭州市临安区锦城街道城中街442号】</w:t>
            </w:r>
          </w:p>
          <w:p w14:paraId="3753981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4C84C1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32.企业名称：【浙江淳安农村商业银行股份有限公司】</w:t>
            </w:r>
          </w:p>
          <w:p w14:paraId="400D617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统一社会信用代码：【9133012714400940XB】</w:t>
            </w:r>
          </w:p>
          <w:p w14:paraId="694ADCE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住所：【浙江省杭州市淳安县千岛湖镇环湖北路369号】</w:t>
            </w:r>
          </w:p>
          <w:p w14:paraId="57C311C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92EE50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33.企业名称：【宁波北仑农村商业银行股份有限公司】</w:t>
            </w:r>
          </w:p>
          <w:p w14:paraId="4EF0638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统一社会信用代码：【91330206144292356K】</w:t>
            </w:r>
          </w:p>
          <w:p w14:paraId="55F2689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住所：【浙江省宁波市北仑区新碶宝山路69号（凤凰国际商务广场）1幢69号、63号（凤凰国际商务广场）1幢（2-26层）】</w:t>
            </w:r>
          </w:p>
          <w:p w14:paraId="4987DFE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53D4F8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34.企业名称：【宁波奉化农村商业银行股份有限公司】</w:t>
            </w:r>
          </w:p>
          <w:p w14:paraId="49B8412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统一社会信用代码：【913302001448601066】</w:t>
            </w:r>
          </w:p>
          <w:p w14:paraId="4943E0F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住所：【浙江省宁波市奉化区锦屏街道中山路27号】</w:t>
            </w:r>
          </w:p>
          <w:p w14:paraId="36BA455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5CE30B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35.企业名称：【宁波镇海农村商业银行股份有限公司】</w:t>
            </w:r>
          </w:p>
          <w:p w14:paraId="3085BC0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统一社会信用代码：【91330200717212676J】</w:t>
            </w:r>
          </w:p>
          <w:p w14:paraId="0695901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住所：【宁波市镇海区骆驼街道镇海大道中段788号】</w:t>
            </w:r>
          </w:p>
          <w:p w14:paraId="59D611B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6F1A4D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36.企业名称：【宁波宁海农村商业银行股份有限公司】</w:t>
            </w:r>
          </w:p>
          <w:p w14:paraId="2C3D4A0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统一社会信用代码：【91330200144938786M】</w:t>
            </w:r>
          </w:p>
          <w:p w14:paraId="4634BF8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住所：【宁海县跃龙街道学勉路1号（金融中心）】</w:t>
            </w:r>
          </w:p>
          <w:p w14:paraId="04AB1DD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0F1385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37.企业名称：【宁波甬城农村商业银行股份有限公司】</w:t>
            </w:r>
          </w:p>
          <w:p w14:paraId="1BA8FEA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统一社会信用代码：【91330205704848042N】</w:t>
            </w:r>
          </w:p>
          <w:p w14:paraId="69F3C30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住所：【浙江省宁波市江北区育才路15、17号】</w:t>
            </w:r>
          </w:p>
          <w:p w14:paraId="226205C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4568A4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38.企业名称：【浙江永嘉农村商业银行股份有限公司】</w:t>
            </w:r>
          </w:p>
          <w:p w14:paraId="6C6625E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统一社会信用代码：【91330300693852088P】</w:t>
            </w:r>
          </w:p>
          <w:p w14:paraId="18B5BCD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住所：【浙江省温州市永嘉县瓯北街道阳光大道3918号101室、201室、301室、401室、501室、1101室、1801室、2201室】</w:t>
            </w:r>
          </w:p>
          <w:p w14:paraId="2A0460D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7B0927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39.企业名称：【浙江平阳农村商业银行股份有限公司】</w:t>
            </w:r>
          </w:p>
          <w:p w14:paraId="729309A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统一社会信用代码：【91330300778260532C】</w:t>
            </w:r>
          </w:p>
          <w:p w14:paraId="4D2A29E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住所：【浙江省平阳县鳌江镇车站大道999号】</w:t>
            </w:r>
          </w:p>
          <w:p w14:paraId="2A6B1C1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860D31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40.企业名称：【浙江嘉善农村商业银行股份有限公司】</w:t>
            </w:r>
          </w:p>
          <w:p w14:paraId="2620064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统一社会信用代码：【91330400146600914H】</w:t>
            </w:r>
          </w:p>
          <w:p w14:paraId="2C39BFB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住所：【浙江省嘉兴市嘉善县罗星街道车站南路999号】</w:t>
            </w:r>
          </w:p>
          <w:p w14:paraId="2FC2365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D04BB3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41.企业名称：【浙江平湖农村商业银行股份有限公司】</w:t>
            </w:r>
          </w:p>
          <w:p w14:paraId="0A6920D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统一社会信用代码：【913304821466775403】</w:t>
            </w:r>
          </w:p>
          <w:p w14:paraId="29DEC63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住所：【浙江省平湖市当湖街道胜利路518号】</w:t>
            </w:r>
          </w:p>
          <w:p w14:paraId="3EAC417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BC6436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42.企业名称：【浙江海宁农村商业银行股份有限公司】</w:t>
            </w:r>
          </w:p>
          <w:p w14:paraId="1096674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统一社会信用代码：【91330400146707324M】</w:t>
            </w:r>
          </w:p>
          <w:p w14:paraId="4D0A21C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住所：【浙江省海宁市海洲街道钱江西路278号】</w:t>
            </w:r>
          </w:p>
          <w:p w14:paraId="3A812EA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0C6B10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43.企业名称：【浙江海盐农村商业银行股份有限公司】</w:t>
            </w:r>
          </w:p>
          <w:p w14:paraId="0689245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统一社会信用代码：【91330424254846268L】</w:t>
            </w:r>
          </w:p>
          <w:p w14:paraId="2E8840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住所：【浙江省海盐县武原街道枣园西路176号】</w:t>
            </w:r>
          </w:p>
          <w:p w14:paraId="3DACAC3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F8B6B4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44.企业名称：【浙江桐乡农村商业银行股份有限公司】</w:t>
            </w:r>
          </w:p>
          <w:p w14:paraId="399287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统一社会信用代码：【91330483146852863F】</w:t>
            </w:r>
          </w:p>
          <w:p w14:paraId="1C997FC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住所：【浙江省嘉兴市桐乡市梧桐街道校场东路59号】</w:t>
            </w:r>
          </w:p>
          <w:p w14:paraId="624F59C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711BF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45.企业名称：【浙江安吉农村商业银行股份有限公司】</w:t>
            </w:r>
          </w:p>
          <w:p w14:paraId="6922A29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统一社会信用代码：【91330500680700499G】</w:t>
            </w:r>
          </w:p>
          <w:p w14:paraId="5AFB640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住所：【浙江省湖州市安吉县昌硕街道昌硕东路1号】</w:t>
            </w:r>
          </w:p>
          <w:p w14:paraId="0DD1C0C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B3DFC8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46.企业名称：【浙江南浔农村商业银行股份有限公司】</w:t>
            </w:r>
          </w:p>
          <w:p w14:paraId="213A3B3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统一社会信用代码：【913305001470196549】</w:t>
            </w:r>
          </w:p>
          <w:p w14:paraId="1DD7A1E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住所：【浙江省湖州市南浔区南浔镇人瑞路1188号】</w:t>
            </w:r>
          </w:p>
          <w:p w14:paraId="46CAA65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C270C8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47.企业名称：【浙江上虞农村商业银行股份有限公司】</w:t>
            </w:r>
          </w:p>
          <w:p w14:paraId="7CC824E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统一社会信用代码：【91330600146116161G】</w:t>
            </w:r>
          </w:p>
          <w:p w14:paraId="1C2E91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住所：【浙江省百官街道德盛路55号】</w:t>
            </w:r>
          </w:p>
          <w:p w14:paraId="1AECDB6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C80DF4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48.企业名称：【浙江缙云农村商业银行股份有限公司】</w:t>
            </w:r>
          </w:p>
          <w:p w14:paraId="3A19AE9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统一社会信用代码：【913311227047843259】</w:t>
            </w:r>
          </w:p>
          <w:p w14:paraId="4DD3C2F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住所：【浙江省丽水市缙云县五云镇新区仙都路68号】</w:t>
            </w:r>
          </w:p>
          <w:p w14:paraId="5216155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E41127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49.企业名称：【浙江义乌农村商业银行股份有限公司】</w:t>
            </w:r>
          </w:p>
          <w:p w14:paraId="7C4403C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统一社会信用代码：【91330782609786576E】</w:t>
            </w:r>
          </w:p>
          <w:p w14:paraId="5B0F196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住所：【浙江省义乌市福田街道城北路677号】</w:t>
            </w:r>
          </w:p>
          <w:p w14:paraId="6E010DF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6DD036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50.企业名称：【浙江兰溪农村商业银行股份有限公司】</w:t>
            </w:r>
          </w:p>
          <w:p w14:paraId="67E6114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统一社会信用代码：【91330781147387545R】</w:t>
            </w:r>
          </w:p>
          <w:p w14:paraId="66DC817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住所：【浙江省兰溪市兰江街道丹溪大道18号】</w:t>
            </w:r>
          </w:p>
          <w:p w14:paraId="125EA68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75CC93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51.企业名称：【浙江长兴农村商业银行股份有限公司】</w:t>
            </w:r>
          </w:p>
          <w:p w14:paraId="1E5F42A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统一社会信用代码：【91330522147148640A】</w:t>
            </w:r>
          </w:p>
          <w:p w14:paraId="5BC0ACB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住所：【浙江省湖州市长兴县太湖街道明珠路1298号】</w:t>
            </w:r>
          </w:p>
          <w:p w14:paraId="1AAE85B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31D8AC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52.企业名称：【浙江绍兴恒信农村商业银行股份有限公司】</w:t>
            </w:r>
          </w:p>
          <w:p w14:paraId="378130D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统一社会信用代码：【9133060271252980XJ】</w:t>
            </w:r>
          </w:p>
          <w:p w14:paraId="3F878A9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住所：【浙江省绍兴市中兴中路159号】</w:t>
            </w:r>
          </w:p>
          <w:p w14:paraId="740AE0A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98B0AF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53.企业名称：【浙江武义农村商业银行股份有限公司】</w:t>
            </w:r>
          </w:p>
          <w:p w14:paraId="5F32391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统一社会信用代码：【91330723552860156J】</w:t>
            </w:r>
          </w:p>
          <w:p w14:paraId="7EAB6B9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住所：【浙江省武义县城武阳中路37号】</w:t>
            </w:r>
          </w:p>
          <w:p w14:paraId="0553115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9BA41D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54.企业名称：【浙江岱山农村商业银行股份有限公司】</w:t>
            </w:r>
          </w:p>
          <w:p w14:paraId="6273D5D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统一社会信用代码：【91330921778250107N】</w:t>
            </w:r>
          </w:p>
          <w:p w14:paraId="712DA3B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住所：【浙江省舟山市岱山县高亭镇衢山大道1009号】</w:t>
            </w:r>
          </w:p>
          <w:p w14:paraId="2E93CF4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09206D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55.企业名称：【浙江仙居农村商业银行股份有限公司】</w:t>
            </w:r>
          </w:p>
          <w:p w14:paraId="3E8BA20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统一社会信用代码：【91331024148032965W】</w:t>
            </w:r>
          </w:p>
          <w:p w14:paraId="49B812E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住所：【浙江省仙居县南峰街道穿城中路21号】</w:t>
            </w:r>
          </w:p>
          <w:p w14:paraId="4918986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2E3352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56.企业名称：【浙江玉环农村商业银行股份有限公司】</w:t>
            </w:r>
          </w:p>
          <w:p w14:paraId="7582C58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统一社会信用代码：【91331021704702414T】</w:t>
            </w:r>
          </w:p>
          <w:p w14:paraId="3A91BC0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住所：【浙江省玉环市玉城街道珠港大道26号】</w:t>
            </w:r>
          </w:p>
          <w:p w14:paraId="6B6EC29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D9ECFE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57.企业名称：【浙江诸暨农村商业银行股份有限公司】</w:t>
            </w:r>
          </w:p>
          <w:p w14:paraId="1F8FC96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统一社会信用代码：【91330600146217704F】</w:t>
            </w:r>
          </w:p>
          <w:p w14:paraId="70A5E0D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住所：【浙江省诸暨市暨阳街道大桥东路2号】</w:t>
            </w:r>
          </w:p>
          <w:p w14:paraId="49E41AA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32A388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58.企业名称：【浙江临海农村商业银行股份有限公司】</w:t>
            </w:r>
          </w:p>
          <w:p w14:paraId="1D9CD48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统一社会信用代码：【91331000147999461D】</w:t>
            </w:r>
          </w:p>
          <w:p w14:paraId="0C2FB6D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住所：【浙江省台州市临海市大洋街道河阳路299号】</w:t>
            </w:r>
          </w:p>
          <w:p w14:paraId="01A9F4D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D442E3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59.企业名称：【浙江建德农村商业银行股份有限公司】</w:t>
            </w:r>
          </w:p>
          <w:p w14:paraId="6E02662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统一社会信用代码：【9133018270429246XA】</w:t>
            </w:r>
          </w:p>
          <w:p w14:paraId="3AA8121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住所：【浙江省建德市新安江街道江滨中路176号】</w:t>
            </w:r>
          </w:p>
          <w:p w14:paraId="56010A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5D8D62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60.企业名称：【浙江文成农村商业银行股份有限公司】</w:t>
            </w:r>
          </w:p>
          <w:p w14:paraId="2B50CE2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统一社会信用代码：【91330328145827746X】</w:t>
            </w:r>
          </w:p>
          <w:p w14:paraId="7B8227F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住所：【浙江省温州市文成县大峃镇伯温路6号】</w:t>
            </w:r>
          </w:p>
          <w:p w14:paraId="3480052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C34158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61.企业名称：【浙江萧山农村商业银行股份有限公司】</w:t>
            </w:r>
          </w:p>
          <w:p w14:paraId="5DAF6F5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统一社会信用代码：【91330100143568234F】</w:t>
            </w:r>
          </w:p>
          <w:p w14:paraId="0AA5A0D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住所：【浙江省杭州市萧山区人民路258号】</w:t>
            </w:r>
          </w:p>
          <w:p w14:paraId="09B47B3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578030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62.企业名称：【浙江乐清农村商业银行股份有限公司】</w:t>
            </w:r>
          </w:p>
          <w:p w14:paraId="545B01A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统一社会信用代码：【91330300712576278B】</w:t>
            </w:r>
          </w:p>
          <w:p w14:paraId="597C08A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住所：【乐清市城南街道伯乐西路99号】</w:t>
            </w:r>
          </w:p>
          <w:p w14:paraId="09DB38F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4440FA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63.企业名称：【宁波余姚农村商业银行股份有限公司】</w:t>
            </w:r>
          </w:p>
          <w:p w14:paraId="1ABD9FF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统一社会信用代码：【91330281768530578N】</w:t>
            </w:r>
          </w:p>
          <w:p w14:paraId="22EBE58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住所：【余姚市新建路69号】</w:t>
            </w:r>
          </w:p>
          <w:p w14:paraId="6819A14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C492C7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64.企业名称：【浙江桐庐农村商业银行股份有限公司】</w:t>
            </w:r>
          </w:p>
          <w:p w14:paraId="45B031A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统一社会信用代码：【913301228436000474】</w:t>
            </w:r>
          </w:p>
          <w:p w14:paraId="0BE9B1E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住所：【浙江省杭州市桐庐县城迎春南路278号】</w:t>
            </w:r>
          </w:p>
          <w:p w14:paraId="088EB52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F66662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65.企业名称：【杭州联合农村商业银行股份有限公司】</w:t>
            </w:r>
          </w:p>
          <w:p w14:paraId="32BF248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统一社会信用代码：【91330100773585469H】</w:t>
            </w:r>
          </w:p>
          <w:p w14:paraId="17D7328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住所：【浙江省杭州市上城区建国中路99号】</w:t>
            </w:r>
          </w:p>
          <w:p w14:paraId="4F7FD37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0F7DCC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66.企业名称：【浙江温州鹿城农村商业银行股份有限公司】</w:t>
            </w:r>
          </w:p>
          <w:p w14:paraId="52C26E9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统一社会信用代码：【91330300777212117L】</w:t>
            </w:r>
          </w:p>
          <w:p w14:paraId="33C850C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住所：【浙江省温州市鹿城区会展路1500号富银大厦】</w:t>
            </w:r>
          </w:p>
          <w:p w14:paraId="6DF470C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8E5E2E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67.企业名称：【浙江绍兴瑞丰农村商业银行股份有限公司】</w:t>
            </w:r>
          </w:p>
          <w:p w14:paraId="76E12A0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统一社会信用代码：【91330600145965997H】</w:t>
            </w:r>
          </w:p>
          <w:p w14:paraId="6870F69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住所：【浙江省绍兴市柯桥区柯桥笛扬路1363号】</w:t>
            </w:r>
          </w:p>
          <w:p w14:paraId="7419C2A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337E0B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68.企业名称：【浙江禾城农村商业银行股份有限公司】</w:t>
            </w:r>
          </w:p>
          <w:p w14:paraId="2D8EEA8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统一社会信用代码：【91330400146466356E】</w:t>
            </w:r>
          </w:p>
          <w:p w14:paraId="502F005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住所：【浙江省嘉兴市经济技术开发区文昌路 1229 号】</w:t>
            </w:r>
          </w:p>
          <w:p w14:paraId="2A99C0C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BC7092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69.企业名称：【浙江泰顺农村商业银行股份有限公司】</w:t>
            </w:r>
          </w:p>
          <w:p w14:paraId="62630ED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统一社会信用代码：【913303297043793629】</w:t>
            </w:r>
          </w:p>
          <w:p w14:paraId="22D9631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住所：【浙江省温州市泰顺县罗阳镇新城区文祥大道181号】</w:t>
            </w:r>
          </w:p>
          <w:p w14:paraId="07DAE6C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C72120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70.企业名称：【浙江嵊州农村商业银行股份有限公司】</w:t>
            </w:r>
          </w:p>
          <w:p w14:paraId="3EFECC7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统一社会信用代码：【91330683146384641Y】</w:t>
            </w:r>
          </w:p>
          <w:p w14:paraId="4744189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住所：【浙江省嵊州市剡湖街道官河路398号】</w:t>
            </w:r>
          </w:p>
          <w:p w14:paraId="74C0ACD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1B80F1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71.企业名称：【浙江庆元农村商业银行股份有限公司】</w:t>
            </w:r>
          </w:p>
          <w:p w14:paraId="53A5D73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统一社会信用代码：【91331126609962015U】</w:t>
            </w:r>
          </w:p>
          <w:p w14:paraId="5F86775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住所：【浙江省丽水市庆元县濛洲街道云鹤路3号】</w:t>
            </w:r>
          </w:p>
          <w:p w14:paraId="65BD899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DF9B43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72.企业名称：【浙江温州瓯海农村商业银行股份有限公司】</w:t>
            </w:r>
          </w:p>
          <w:p w14:paraId="14A42E1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统一社会信用代码：【91330300776489333D】</w:t>
            </w:r>
          </w:p>
          <w:p w14:paraId="0918C6B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住所：【浙江省温州市瓯海区瓯海大道989号】</w:t>
            </w:r>
          </w:p>
          <w:p w14:paraId="5F2B85D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C14A66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73.企业名称：【浙江云和农村商业银行股份有限公司】</w:t>
            </w:r>
          </w:p>
          <w:p w14:paraId="7172055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统一社会信用代码：【9133112514848825XE】</w:t>
            </w:r>
          </w:p>
          <w:p w14:paraId="11202C6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住所：【浙江省丽水市云和县浮云街道新建路72号】</w:t>
            </w:r>
          </w:p>
          <w:p w14:paraId="7CFEA81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2C6EE4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74.企业名称：【宁波慈溪农村商业银行股份有限公司】</w:t>
            </w:r>
          </w:p>
          <w:p w14:paraId="6862E20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统一社会信用代码：【91330200144756720Q】</w:t>
            </w:r>
          </w:p>
          <w:p w14:paraId="48A35AF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住所：【浙江省慈溪市浒山街道南城路25号、59号5-6楼】</w:t>
            </w:r>
          </w:p>
          <w:p w14:paraId="7A0E1F7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AF2F6B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75.企业名称：【浙江温州龙湾农村商业银行股份有限公司 】</w:t>
            </w:r>
          </w:p>
          <w:p w14:paraId="225B78E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统一社会信用代码：【913303007772078015】</w:t>
            </w:r>
          </w:p>
          <w:p w14:paraId="21C8307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住所：【浙江省温州市龙湾区永中街道永宁西路555号】</w:t>
            </w:r>
          </w:p>
          <w:p w14:paraId="217B20E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6247FA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76.企业名称：【浙江苍南农村商业银行股份有限公司】</w:t>
            </w:r>
          </w:p>
          <w:p w14:paraId="26AC43D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统一社会信用代码：【913303007043722167】</w:t>
            </w:r>
          </w:p>
          <w:p w14:paraId="27C32C5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住所：【浙江省苍南县灵溪镇人民大道425号】</w:t>
            </w:r>
          </w:p>
          <w:p w14:paraId="07709D0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AE6FBF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77.企业名称：【浙江嵊泗农村商业银行股份有限公司】</w:t>
            </w:r>
          </w:p>
          <w:p w14:paraId="5286669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统一社会信用代码：【9133092270466354XL】</w:t>
            </w:r>
          </w:p>
          <w:p w14:paraId="101E595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住所：【浙江省嵊泗县菜园镇沙河路110号】</w:t>
            </w:r>
          </w:p>
          <w:p w14:paraId="2489DDB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客户服务热线：【400-88-96596】</w:t>
            </w:r>
          </w:p>
          <w:p w14:paraId="6691834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78.企业名称：【广发银行股份有限公司】</w:t>
            </w:r>
          </w:p>
          <w:p w14:paraId="39C3A60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统一社会信用代码：【91440000190336428Q】</w:t>
            </w:r>
          </w:p>
          <w:p w14:paraId="26DD769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住所：【广州市越秀区东风东路713号】</w:t>
            </w:r>
          </w:p>
          <w:p w14:paraId="41ACBA3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客户服务热线：【400-830-8003】</w:t>
            </w:r>
          </w:p>
          <w:p w14:paraId="25E6339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79.企业名称：【宁波银行股份有限公司】</w:t>
            </w:r>
          </w:p>
          <w:p w14:paraId="5A6684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统一社会信用代码：【91330200711192037M】</w:t>
            </w:r>
          </w:p>
          <w:p w14:paraId="78443DD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住所：【浙江省宁波市鄞州区宁东路 345 号】</w:t>
            </w:r>
          </w:p>
          <w:p w14:paraId="61278C0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客户服务热线：【95574】</w:t>
            </w:r>
          </w:p>
          <w:p w14:paraId="0EEF689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80.企业名称：【江苏靖江农村商业银行股份有限公司】</w:t>
            </w:r>
          </w:p>
          <w:p w14:paraId="072AB42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统一社会信用代码：【913212001411273988】</w:t>
            </w:r>
          </w:p>
          <w:p w14:paraId="7FD7CC5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住所：【江苏省靖江市南环西路12号】</w:t>
            </w:r>
          </w:p>
          <w:p w14:paraId="18F4666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7E10326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81.企业名称：【江苏淮安农村商业银行股份有限公司】</w:t>
            </w:r>
          </w:p>
          <w:p w14:paraId="6CB5422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统一社会信用代码：【913208005884978380】</w:t>
            </w:r>
          </w:p>
          <w:p w14:paraId="62CB684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住所：【江苏省淮安市清江浦区水渡口大道20号金融中心B1号楼】</w:t>
            </w:r>
          </w:p>
          <w:p w14:paraId="07561D6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1562485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82.企业名称：【江苏宜兴农村商业银行股份有限公司】</w:t>
            </w:r>
          </w:p>
          <w:p w14:paraId="0191251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统一社会信用代码：【913202007910522609】</w:t>
            </w:r>
          </w:p>
          <w:p w14:paraId="3D2759B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住所：【江苏省宜兴市宜城街道解放东路579号】</w:t>
            </w:r>
          </w:p>
          <w:p w14:paraId="063BCF7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2E0D6AC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83.企业名称：【江苏射阳农村商业银行股份有限公司】</w:t>
            </w:r>
          </w:p>
          <w:p w14:paraId="241358A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统一社会信用代码：【913209001405584874】</w:t>
            </w:r>
          </w:p>
          <w:p w14:paraId="33F704A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住所：【江苏省盐城市射阳县合德镇解放路385号】</w:t>
            </w:r>
          </w:p>
          <w:p w14:paraId="5DC076F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客户服务热线：【0515-69966666】</w:t>
            </w:r>
          </w:p>
          <w:p w14:paraId="0E093B3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84.企业名称：【江苏邳州农村商业银行股份有限公司】</w:t>
            </w:r>
          </w:p>
          <w:p w14:paraId="15AC89C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统一社会信用代码：【91320300552524785P】</w:t>
            </w:r>
          </w:p>
          <w:p w14:paraId="4E89085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住所：【江苏省邳州市建设中路16号】</w:t>
            </w:r>
          </w:p>
          <w:p w14:paraId="63EC1A0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4037C04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85.企业名称：【江苏紫金农村商业银行股份有限公司】</w:t>
            </w:r>
          </w:p>
          <w:p w14:paraId="28429D4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统一社会信用代码：【91320000571433432L】</w:t>
            </w:r>
          </w:p>
          <w:p w14:paraId="3891992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住所：【南京市建邺区江东中路381号】</w:t>
            </w:r>
          </w:p>
          <w:p w14:paraId="6E5E59D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0E095EB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86.企业名称：【江苏响水农村商业银行股份有限公司】</w:t>
            </w:r>
          </w:p>
          <w:p w14:paraId="72EF09F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统一社会信用代码：【91320900703856446L】</w:t>
            </w:r>
          </w:p>
          <w:p w14:paraId="7453B57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住所：【江苏省盐城市响水县双园路84号】</w:t>
            </w:r>
          </w:p>
          <w:p w14:paraId="73EA4E9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5C8DB5E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87.企业名称：【江苏民丰农村商业银行股份有限公司】</w:t>
            </w:r>
          </w:p>
          <w:p w14:paraId="120C56B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统一社会信用代码：【9132130068353983XJ】</w:t>
            </w:r>
          </w:p>
          <w:p w14:paraId="4E8E1BA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住所：【江苏省宿迁市宿城区高宝湖路1号 】</w:t>
            </w:r>
          </w:p>
          <w:p w14:paraId="72647D1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78D2463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88.企业名称：【江苏大丰农村商业银行股份有限公司】</w:t>
            </w:r>
          </w:p>
          <w:p w14:paraId="4EA36BF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统一社会信用代码：【91320900782094063W】</w:t>
            </w:r>
          </w:p>
          <w:p w14:paraId="611280E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住所：【江苏省盐城市大丰区常新中路9号】</w:t>
            </w:r>
          </w:p>
          <w:p w14:paraId="4444738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客户服务热线：【0515-96008】</w:t>
            </w:r>
          </w:p>
          <w:p w14:paraId="31C5F03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89.企业名称：【江苏扬中农村商业银行股份有限公司】</w:t>
            </w:r>
          </w:p>
          <w:p w14:paraId="79BE849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统一社会信用代码：【91321100591145817W】</w:t>
            </w:r>
          </w:p>
          <w:p w14:paraId="6EEF30D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住所：【扬中市扬子西路79号】</w:t>
            </w:r>
          </w:p>
          <w:p w14:paraId="320EA6F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客户服务热线：【0511-96008】</w:t>
            </w:r>
          </w:p>
          <w:p w14:paraId="42772D8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90.企业名称：【江苏东台农村商业银行股份有限公司】</w:t>
            </w:r>
          </w:p>
          <w:p w14:paraId="3CC99F0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统一社会信用代码：【913209001425654533】</w:t>
            </w:r>
          </w:p>
          <w:p w14:paraId="3C32287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住所：【东台市东城大道10号】</w:t>
            </w:r>
          </w:p>
          <w:p w14:paraId="7D56020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客户服务热线：【0515-96008】</w:t>
            </w:r>
          </w:p>
          <w:p w14:paraId="15943F4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91.企业名称：【江苏如东农村商业银行股份有限公司】</w:t>
            </w:r>
          </w:p>
          <w:p w14:paraId="0FACAF9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统一社会信用代码：【91320600050214904J】</w:t>
            </w:r>
          </w:p>
          <w:p w14:paraId="4687397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住所：【江苏省如东县掘港镇钟山路66号】</w:t>
            </w:r>
          </w:p>
          <w:p w14:paraId="650C7DF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客户服务热线：【0513-96008】</w:t>
            </w:r>
          </w:p>
          <w:p w14:paraId="2D4682DB">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9</w:t>
            </w:r>
            <w:r>
              <w:rPr>
                <w:rFonts w:hint="eastAsia" w:ascii="楷体_GB2312" w:eastAsia="楷体_GB2312" w:cs="楷体_GB2312"/>
                <w:color w:val="000000" w:themeColor="text1"/>
                <w:sz w:val="20"/>
                <w:szCs w:val="20"/>
                <w:lang w:val="en-US" w:eastAsia="zh-CN"/>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.企业名称：【江苏江南农村商业银行股份有限公司】</w:t>
            </w:r>
          </w:p>
          <w:p w14:paraId="05E78425">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统一社会信用代码：【91320400699343815D】</w:t>
            </w:r>
          </w:p>
          <w:p w14:paraId="04355C55">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住所：【江苏省常州市武进区延政中路9号】</w:t>
            </w:r>
          </w:p>
          <w:p w14:paraId="31A5F785">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客户服务热线：【0519-96005】</w:t>
            </w:r>
            <w:r>
              <w:rPr>
                <w:rFonts w:ascii="楷体_GB2312" w:eastAsia="楷体_GB2312" w:cs="楷体_GB2312"/>
                <w:color w:val="000000" w:themeColor="text1"/>
                <w:sz w:val="20"/>
                <w:szCs w:val="20"/>
                <w14:textFill>
                  <w14:solidFill>
                    <w14:schemeClr w14:val="tx1"/>
                  </w14:solidFill>
                </w14:textFill>
              </w:rPr>
              <w:br w:type="textWrapping"/>
            </w:r>
            <w:r>
              <w:rPr>
                <w:rFonts w:hint="default" w:ascii="楷体_GB2312" w:eastAsia="楷体_GB2312" w:cs="楷体_GB2312"/>
                <w:color w:val="000000" w:themeColor="text1"/>
                <w:sz w:val="20"/>
                <w:szCs w:val="20"/>
                <w:lang w:val="en-US" w:eastAsia="zh-CN"/>
                <w14:textFill>
                  <w14:solidFill>
                    <w14:schemeClr w14:val="tx1"/>
                  </w14:solidFill>
                </w14:textFill>
              </w:rPr>
              <w:t>9</w:t>
            </w:r>
            <w:r>
              <w:rPr>
                <w:rFonts w:hint="eastAsia" w:ascii="楷体_GB2312" w:eastAsia="楷体_GB2312" w:cs="楷体_GB2312"/>
                <w:color w:val="000000" w:themeColor="text1"/>
                <w:sz w:val="20"/>
                <w:szCs w:val="20"/>
                <w:lang w:val="en-US" w:eastAsia="zh-CN"/>
                <w14:textFill>
                  <w14:solidFill>
                    <w14:schemeClr w14:val="tx1"/>
                  </w14:solidFill>
                </w14:textFill>
              </w:rPr>
              <w:t>3</w:t>
            </w:r>
            <w:r>
              <w:rPr>
                <w:rFonts w:ascii="楷体_GB2312" w:eastAsia="楷体_GB2312" w:cs="楷体_GB2312"/>
                <w:color w:val="000000" w:themeColor="text1"/>
                <w:sz w:val="20"/>
                <w:szCs w:val="20"/>
                <w14:textFill>
                  <w14:solidFill>
                    <w14:schemeClr w14:val="tx1"/>
                  </w14:solidFill>
                </w14:textFill>
              </w:rPr>
              <w:t>.企业名称：【信银理财有限责任公司】</w:t>
            </w:r>
            <w:r>
              <w:rPr>
                <w:rFonts w:ascii="楷体_GB2312" w:eastAsia="楷体_GB2312" w:cs="楷体_GB2312"/>
                <w:color w:val="000000" w:themeColor="text1"/>
                <w:sz w:val="20"/>
                <w:szCs w:val="20"/>
                <w14:textFill>
                  <w14:solidFill>
                    <w14:schemeClr w14:val="tx1"/>
                  </w14:solidFill>
                </w14:textFill>
              </w:rPr>
              <w:br w:type="textWrapping"/>
            </w:r>
            <w:r>
              <w:rPr>
                <w:rFonts w:ascii="楷体_GB2312" w:eastAsia="楷体_GB2312" w:cs="楷体_GB2312"/>
                <w:color w:val="000000" w:themeColor="text1"/>
                <w:sz w:val="20"/>
                <w:szCs w:val="20"/>
                <w14:textFill>
                  <w14:solidFill>
                    <w14:schemeClr w14:val="tx1"/>
                  </w14:solidFill>
                </w14:textFill>
              </w:rPr>
              <w:t>统一社会信用代码：【91310000MA1FL7AC87】</w:t>
            </w:r>
            <w:r>
              <w:rPr>
                <w:rFonts w:ascii="楷体_GB2312" w:eastAsia="楷体_GB2312" w:cs="楷体_GB2312"/>
                <w:color w:val="000000" w:themeColor="text1"/>
                <w:sz w:val="20"/>
                <w:szCs w:val="20"/>
                <w14:textFill>
                  <w14:solidFill>
                    <w14:schemeClr w14:val="tx1"/>
                  </w14:solidFill>
                </w14:textFill>
              </w:rPr>
              <w:br w:type="textWrapping"/>
            </w:r>
            <w:r>
              <w:rPr>
                <w:rFonts w:ascii="楷体_GB2312" w:eastAsia="楷体_GB2312" w:cs="楷体_GB2312"/>
                <w:color w:val="000000" w:themeColor="text1"/>
                <w:sz w:val="20"/>
                <w:szCs w:val="20"/>
                <w14:textFill>
                  <w14:solidFill>
                    <w14:schemeClr w14:val="tx1"/>
                  </w14:solidFill>
                </w14:textFill>
              </w:rPr>
              <w:t>住所：【上海市黄浦区中山东二路600号1幢35层、36层】</w:t>
            </w:r>
            <w:r>
              <w:rPr>
                <w:rFonts w:ascii="楷体_GB2312" w:eastAsia="楷体_GB2312" w:cs="楷体_GB2312"/>
                <w:color w:val="000000" w:themeColor="text1"/>
                <w:sz w:val="20"/>
                <w:szCs w:val="20"/>
                <w14:textFill>
                  <w14:solidFill>
                    <w14:schemeClr w14:val="tx1"/>
                  </w14:solidFill>
                </w14:textFill>
              </w:rPr>
              <w:br w:type="textWrapping"/>
            </w:r>
            <w:r>
              <w:rPr>
                <w:rFonts w:ascii="楷体_GB2312" w:eastAsia="楷体_GB2312" w:cs="楷体_GB2312"/>
                <w:color w:val="000000" w:themeColor="text1"/>
                <w:sz w:val="20"/>
                <w:szCs w:val="20"/>
                <w14:textFill>
                  <w14:solidFill>
                    <w14:schemeClr w14:val="tx1"/>
                  </w14:solidFill>
                </w14:textFill>
              </w:rPr>
              <w:t>客户服务热线：【950950】</w:t>
            </w:r>
          </w:p>
          <w:p w14:paraId="0E41FD03">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lang w:val="en-US" w:eastAsia="zh-CN"/>
                <w14:textFill>
                  <w14:solidFill>
                    <w14:schemeClr w14:val="tx1"/>
                  </w14:solidFill>
                </w14:textFill>
              </w:rPr>
              <w:t>9</w:t>
            </w:r>
            <w:r>
              <w:rPr>
                <w:rFonts w:hint="eastAsia" w:ascii="楷体_GB2312" w:eastAsia="楷体_GB2312" w:cs="楷体_GB2312"/>
                <w:color w:val="000000" w:themeColor="text1"/>
                <w:sz w:val="20"/>
                <w:szCs w:val="20"/>
                <w:lang w:val="en-US" w:eastAsia="zh-CN"/>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.企业名称：【上海浦东发展银行股份有限公司】</w:t>
            </w:r>
          </w:p>
          <w:p w14:paraId="294E37F7">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统一社会信用代码：【9131000013221158XC】</w:t>
            </w:r>
          </w:p>
          <w:p w14:paraId="1DA37FE4">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住所：【上海市黄浦区中山东一路12号】</w:t>
            </w:r>
          </w:p>
          <w:p w14:paraId="550E1383">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客户服务热线：【95528】</w:t>
            </w:r>
          </w:p>
          <w:p w14:paraId="740F8C56">
            <w:pPr>
              <w:spacing w:line="300" w:lineRule="atLeast"/>
              <w:ind w:right="31"/>
              <w:rPr>
                <w:rFonts w:ascii="楷体_GB2312" w:eastAsia="楷体_GB2312" w:cs="楷体_GB2312"/>
                <w:color w:val="000000" w:themeColor="text1"/>
                <w:sz w:val="20"/>
                <w:szCs w:val="20"/>
                <w14:textFill>
                  <w14:solidFill>
                    <w14:schemeClr w14:val="tx1"/>
                  </w14:solidFill>
                </w14:textFill>
              </w:rPr>
            </w:pPr>
            <w:r>
              <w:br w:type="textWrapping"/>
            </w:r>
            <w:r>
              <w:rPr>
                <w:rFonts w:ascii="楷体_GB2312" w:eastAsia="楷体_GB2312" w:cs="楷体_GB2312"/>
                <w:color w:val="000000" w:themeColor="text1"/>
                <w:sz w:val="20"/>
                <w:szCs w:val="20"/>
                <w14:textFill>
                  <w14:solidFill>
                    <w14:schemeClr w14:val="tx1"/>
                  </w14:solidFill>
                </w14:textFill>
              </w:rPr>
              <w:t>H类份额（份额代码【AF247784H】）合作销售机构信息：</w:t>
            </w:r>
            <w:r>
              <w:br w:type="textWrapping"/>
            </w:r>
            <w:r>
              <w:rPr>
                <w:rFonts w:ascii="楷体_GB2312" w:eastAsia="楷体_GB2312" w:cs="楷体_GB2312"/>
                <w:color w:val="000000" w:themeColor="text1"/>
                <w:sz w:val="20"/>
                <w:szCs w:val="20"/>
                <w14:textFill>
                  <w14:solidFill>
                    <w14:schemeClr w14:val="tx1"/>
                  </w14:solidFill>
                </w14:textFill>
              </w:rPr>
              <w:t>1.企业名称：【信银理财有限责任公司】</w:t>
            </w:r>
            <w:r>
              <w:br w:type="textWrapping"/>
            </w:r>
            <w:r>
              <w:rPr>
                <w:rFonts w:ascii="楷体_GB2312" w:eastAsia="楷体_GB2312" w:cs="楷体_GB2312"/>
                <w:color w:val="000000" w:themeColor="text1"/>
                <w:sz w:val="20"/>
                <w:szCs w:val="20"/>
                <w14:textFill>
                  <w14:solidFill>
                    <w14:schemeClr w14:val="tx1"/>
                  </w14:solidFill>
                </w14:textFill>
              </w:rPr>
              <w:t>统一社会信用代码：【91310000MA1FL7AC87】</w:t>
            </w:r>
            <w:r>
              <w:br w:type="textWrapping"/>
            </w:r>
            <w:r>
              <w:rPr>
                <w:rFonts w:ascii="楷体_GB2312" w:eastAsia="楷体_GB2312" w:cs="楷体_GB2312"/>
                <w:color w:val="000000" w:themeColor="text1"/>
                <w:sz w:val="20"/>
                <w:szCs w:val="20"/>
                <w14:textFill>
                  <w14:solidFill>
                    <w14:schemeClr w14:val="tx1"/>
                  </w14:solidFill>
                </w14:textFill>
              </w:rPr>
              <w:t>住所：【上海市黄浦区中山东二路600号1幢35层、36层】</w:t>
            </w:r>
            <w:r>
              <w:br w:type="textWrapping"/>
            </w:r>
            <w:r>
              <w:rPr>
                <w:rFonts w:ascii="楷体_GB2312" w:eastAsia="楷体_GB2312" w:cs="楷体_GB2312"/>
                <w:color w:val="000000" w:themeColor="text1"/>
                <w:sz w:val="20"/>
                <w:szCs w:val="20"/>
                <w14:textFill>
                  <w14:solidFill>
                    <w14:schemeClr w14:val="tx1"/>
                  </w14:solidFill>
                </w14:textFill>
              </w:rPr>
              <w:t>客户服务热线：【950950】</w:t>
            </w:r>
          </w:p>
          <w:p w14:paraId="31A38187">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2.企业名称：【江苏银行股份有限公司】</w:t>
            </w:r>
          </w:p>
          <w:p w14:paraId="04E36657">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w:t>
            </w:r>
            <w:r>
              <w:rPr>
                <w:rFonts w:ascii="楷体_GB2312" w:eastAsia="楷体_GB2312" w:cs="楷体_GB2312"/>
                <w:color w:val="000000" w:themeColor="text1"/>
                <w:sz w:val="20"/>
                <w:szCs w:val="20"/>
                <w14:textFill>
                  <w14:solidFill>
                    <w14:schemeClr w14:val="tx1"/>
                  </w14:solidFill>
                </w14:textFill>
              </w:rPr>
              <w:t>91320000796544598E】</w:t>
            </w:r>
          </w:p>
          <w:p w14:paraId="47E74534">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住所：【江苏省南京市中华路</w:t>
            </w:r>
            <w:r>
              <w:rPr>
                <w:rFonts w:ascii="楷体_GB2312" w:eastAsia="楷体_GB2312" w:cs="楷体_GB2312"/>
                <w:color w:val="000000" w:themeColor="text1"/>
                <w:sz w:val="20"/>
                <w:szCs w:val="20"/>
                <w14:textFill>
                  <w14:solidFill>
                    <w14:schemeClr w14:val="tx1"/>
                  </w14:solidFill>
                </w14:textFill>
              </w:rPr>
              <w:t>26号】</w:t>
            </w:r>
          </w:p>
          <w:p w14:paraId="71ACC4C1">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w:t>
            </w:r>
            <w:r>
              <w:rPr>
                <w:rFonts w:ascii="楷体_GB2312" w:eastAsia="楷体_GB2312" w:cs="楷体_GB2312"/>
                <w:color w:val="000000" w:themeColor="text1"/>
                <w:sz w:val="20"/>
                <w:szCs w:val="20"/>
                <w14:textFill>
                  <w14:solidFill>
                    <w14:schemeClr w14:val="tx1"/>
                  </w14:solidFill>
                </w14:textFill>
              </w:rPr>
              <w:t>95319】</w:t>
            </w:r>
          </w:p>
          <w:p w14:paraId="040BE691">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3</w:t>
            </w:r>
            <w:r>
              <w:rPr>
                <w:rFonts w:ascii="楷体_GB2312" w:eastAsia="楷体_GB2312" w:cs="楷体_GB2312"/>
                <w:color w:val="000000" w:themeColor="text1"/>
                <w:sz w:val="20"/>
                <w:szCs w:val="20"/>
                <w14:textFill>
                  <w14:solidFill>
                    <w14:schemeClr w14:val="tx1"/>
                  </w14:solidFill>
                </w14:textFill>
              </w:rPr>
              <w:t>.企业名称：【交通银行股份有限公司】</w:t>
            </w:r>
          </w:p>
          <w:p w14:paraId="7F767421">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w:t>
            </w:r>
            <w:r>
              <w:rPr>
                <w:rFonts w:ascii="楷体_GB2312" w:eastAsia="楷体_GB2312" w:cs="楷体_GB2312"/>
                <w:color w:val="000000" w:themeColor="text1"/>
                <w:sz w:val="20"/>
                <w:szCs w:val="20"/>
                <w14:textFill>
                  <w14:solidFill>
                    <w14:schemeClr w14:val="tx1"/>
                  </w14:solidFill>
                </w14:textFill>
              </w:rPr>
              <w:t>9131000010000595XD】</w:t>
            </w:r>
          </w:p>
          <w:p w14:paraId="56693CFB">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住所：【上海市浦东新区银城中路</w:t>
            </w:r>
            <w:r>
              <w:rPr>
                <w:rFonts w:ascii="楷体_GB2312" w:eastAsia="楷体_GB2312" w:cs="楷体_GB2312"/>
                <w:color w:val="000000" w:themeColor="text1"/>
                <w:sz w:val="20"/>
                <w:szCs w:val="20"/>
                <w14:textFill>
                  <w14:solidFill>
                    <w14:schemeClr w14:val="tx1"/>
                  </w14:solidFill>
                </w14:textFill>
              </w:rPr>
              <w:t>188号】</w:t>
            </w:r>
          </w:p>
          <w:p w14:paraId="2547E3C7">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w:t>
            </w:r>
            <w:r>
              <w:rPr>
                <w:rFonts w:ascii="楷体_GB2312" w:eastAsia="楷体_GB2312" w:cs="楷体_GB2312"/>
                <w:color w:val="000000" w:themeColor="text1"/>
                <w:sz w:val="20"/>
                <w:szCs w:val="20"/>
                <w14:textFill>
                  <w14:solidFill>
                    <w14:schemeClr w14:val="tx1"/>
                  </w14:solidFill>
                </w14:textFill>
              </w:rPr>
              <w:t>95559】</w:t>
            </w:r>
          </w:p>
          <w:p w14:paraId="4EEE915B">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.企业名称：【北京银行股份有限公司】</w:t>
            </w:r>
          </w:p>
          <w:p w14:paraId="18BAF248">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统一社会信用代码：【91110000101174712L】</w:t>
            </w:r>
          </w:p>
          <w:p w14:paraId="530AB18C">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住所：【北京市西城区金融大街甲17号首层】</w:t>
            </w:r>
          </w:p>
          <w:p w14:paraId="0BC18019">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客户服务热线：【95526】</w:t>
            </w:r>
          </w:p>
          <w:p w14:paraId="298B24EA">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.企业名称：【徽商银行股份有限公司】</w:t>
            </w:r>
          </w:p>
          <w:p w14:paraId="2E19E6BB">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统一社会信用代码：【913400001489746613】</w:t>
            </w:r>
          </w:p>
          <w:p w14:paraId="1DB4C87A">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住所：【安徽省合肥市云谷路1699号徽银大厦】</w:t>
            </w:r>
          </w:p>
          <w:p w14:paraId="77099473">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客户服务热线：【40088-96588】</w:t>
            </w:r>
          </w:p>
          <w:p w14:paraId="2DB2BF12">
            <w:pPr>
              <w:spacing w:line="300" w:lineRule="atLeast"/>
              <w:ind w:right="31"/>
              <w:rPr>
                <w:rFonts w:ascii="楷体_GB2312" w:eastAsia="楷体_GB2312" w:cs="楷体_GB2312"/>
                <w:color w:val="000000" w:themeColor="text1"/>
                <w:sz w:val="20"/>
                <w:szCs w:val="20"/>
                <w14:textFill>
                  <w14:solidFill>
                    <w14:schemeClr w14:val="tx1"/>
                  </w14:solidFill>
                </w14:textFill>
              </w:rPr>
            </w:pPr>
          </w:p>
          <w:p w14:paraId="779EFD4F">
            <w:pPr>
              <w:spacing w:line="300" w:lineRule="atLeast"/>
              <w:ind w:right="31"/>
              <w:rPr>
                <w:rFonts w:ascii="楷体_GB2312" w:eastAsia="楷体_GB2312" w:cs="楷体_GB2312"/>
                <w:sz w:val="20"/>
                <w:szCs w:val="20"/>
              </w:rPr>
            </w:pPr>
            <w:r>
              <w:rPr>
                <w:rFonts w:ascii="楷体_GB2312" w:eastAsia="楷体_GB2312" w:cs="楷体_GB2312"/>
                <w:color w:val="000000" w:themeColor="text1"/>
                <w:sz w:val="20"/>
                <w:szCs w:val="20"/>
                <w14:textFill>
                  <w14:solidFill>
                    <w14:schemeClr w14:val="tx1"/>
                  </w14:solidFill>
                </w14:textFill>
              </w:rPr>
              <w:t>后续合作销售机构如有新增、减少和变更，信银理财将按照本说明书约定的方式告知投资者。</w:t>
            </w:r>
          </w:p>
        </w:tc>
      </w:tr>
      <w:tr w14:paraId="2765B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6E5F30F5">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合作销售机构主要职责</w:t>
            </w:r>
          </w:p>
        </w:tc>
        <w:tc>
          <w:tcPr>
            <w:tcW w:w="3740" w:type="pct"/>
            <w:vAlign w:val="center"/>
          </w:tcPr>
          <w:p w14:paraId="0E16382E">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理财产品的宣传推广；</w:t>
            </w:r>
          </w:p>
          <w:p w14:paraId="29265036">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投资者风险承受能力评估和投资者适当性管理；</w:t>
            </w:r>
          </w:p>
          <w:p w14:paraId="3902998C">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理财产品认</w:t>
            </w:r>
            <w:r>
              <w:rPr>
                <w:rFonts w:hint="eastAsia" w:ascii="楷体_GB2312" w:eastAsia="楷体_GB2312" w:cs="楷体_GB2312"/>
                <w:color w:val="000000" w:themeColor="text1"/>
                <w:sz w:val="20"/>
                <w:szCs w:val="20"/>
                <w14:textFill>
                  <w14:solidFill>
                    <w14:schemeClr w14:val="tx1"/>
                  </w14:solidFill>
                </w14:textFill>
              </w:rPr>
              <w:t>/申购、赎回等业务办理；</w:t>
            </w:r>
          </w:p>
          <w:p w14:paraId="6ECB70B0">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协助管理人与投资者订立相关协议；</w:t>
            </w:r>
          </w:p>
          <w:p w14:paraId="06AF181D">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协助管理人与投资者沟通及进行信息披露；</w:t>
            </w:r>
          </w:p>
          <w:p w14:paraId="66C98189">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接受投资者咨询、投诉和客户维护等销售服务；</w:t>
            </w:r>
          </w:p>
          <w:p w14:paraId="448F8552">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国务院银行业监督管理机构规定的其他职责。</w:t>
            </w:r>
          </w:p>
        </w:tc>
      </w:tr>
      <w:tr w14:paraId="61CC2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336B744F">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托管人</w:t>
            </w:r>
          </w:p>
        </w:tc>
        <w:tc>
          <w:tcPr>
            <w:tcW w:w="3740" w:type="pct"/>
            <w:vAlign w:val="center"/>
          </w:tcPr>
          <w:p w14:paraId="365FB170">
            <w:pPr>
              <w:spacing w:line="300" w:lineRule="exact"/>
              <w:ind w:left="-2" w:leftChars="-1" w:right="36" w:rightChars="15"/>
              <w:rPr>
                <w:rFonts w:ascii="楷体_GB2312" w:eastAsia="楷体_GB2312" w:cs="楷体_GB2312"/>
                <w:sz w:val="20"/>
                <w:szCs w:val="20"/>
                <w:highlight w:val="yellow"/>
              </w:rPr>
            </w:pPr>
            <w:r>
              <w:rPr>
                <w:rFonts w:hint="eastAsia" w:ascii="楷体_GB2312" w:eastAsia="楷体_GB2312" w:cs="楷体_GB2312"/>
                <w:sz w:val="20"/>
                <w:szCs w:val="20"/>
              </w:rPr>
              <w:t>企业名称：【中信银行股份有限公司】</w:t>
            </w:r>
            <w:r>
              <w:br w:type="textWrapping"/>
            </w:r>
            <w:r>
              <w:rPr>
                <w:rFonts w:hint="eastAsia" w:ascii="楷体_GB2312" w:eastAsia="楷体_GB2312" w:cs="楷体_GB2312"/>
                <w:sz w:val="20"/>
                <w:szCs w:val="20"/>
              </w:rPr>
              <w:t>统一社会信用代码：【91110000101690725E】</w:t>
            </w:r>
            <w:r>
              <w:br w:type="textWrapping"/>
            </w:r>
            <w:r>
              <w:rPr>
                <w:rFonts w:hint="eastAsia" w:ascii="楷体_GB2312" w:eastAsia="楷体_GB2312" w:cs="楷体_GB2312"/>
                <w:sz w:val="20"/>
                <w:szCs w:val="20"/>
              </w:rPr>
              <w:t>纳税人识别号：【91110000101690725E】</w:t>
            </w:r>
            <w:r>
              <w:br w:type="textWrapping"/>
            </w:r>
            <w:r>
              <w:rPr>
                <w:rFonts w:hint="eastAsia" w:ascii="楷体_GB2312" w:eastAsia="楷体_GB2312" w:cs="楷体_GB2312"/>
                <w:sz w:val="20"/>
                <w:szCs w:val="20"/>
              </w:rPr>
              <w:t>法定代表人：【方合英】</w:t>
            </w:r>
            <w:r>
              <w:br w:type="textWrapping"/>
            </w:r>
            <w:r>
              <w:rPr>
                <w:rFonts w:hint="eastAsia" w:ascii="楷体_GB2312" w:eastAsia="楷体_GB2312" w:cs="楷体_GB2312"/>
                <w:sz w:val="20"/>
                <w:szCs w:val="20"/>
              </w:rPr>
              <w:t>住所：【北京市朝阳区光华路10号中信大厦】</w:t>
            </w:r>
          </w:p>
        </w:tc>
      </w:tr>
      <w:tr w14:paraId="41F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4A213442">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托管人职责</w:t>
            </w:r>
          </w:p>
        </w:tc>
        <w:tc>
          <w:tcPr>
            <w:tcW w:w="3740" w:type="pct"/>
            <w:vAlign w:val="center"/>
          </w:tcPr>
          <w:p w14:paraId="1E1A328D">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安全保管理财产品财产；</w:t>
            </w:r>
          </w:p>
          <w:p w14:paraId="483A3E93">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为每只理财产品开设独立的托管账户，不同托管账户中的资产应当相互独立，为理财产品开立所需的证券账户等其他账户；</w:t>
            </w:r>
          </w:p>
          <w:p w14:paraId="73948A6C">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按照托管协议约定和管理人的投资指令，及时办理理财产品的清算、交割事宜，核对理财产品资金划拨记录；</w:t>
            </w:r>
          </w:p>
          <w:p w14:paraId="127F2122">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建立与理财产品管理人的对账机制，复核、审查理财产品资金头寸、资产账目、资产净值、理财产品份额认/申购、赎回价格等数据，及时核查认/申购、赎回以及投资资金的支付和到账情况；</w:t>
            </w:r>
          </w:p>
          <w:p w14:paraId="282C832D">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监督理财产品投资运作，发现理财产品违反法律、行政法规、规章规定或合同约定进行投资的，应当拒绝执行，及时通知理财产品管理人并报告银行业监督管理机构；</w:t>
            </w:r>
          </w:p>
          <w:p w14:paraId="2E14BA0F">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办理与理财产品托管业务活动相关的信息披露事项，包括披露理财产品托管协议、对理财产品信息披露文件中的理财产品财务会计报告等出具意见，以及在公募理财产品半年度和年度报告中出具理财托管机构报告等；</w:t>
            </w:r>
          </w:p>
          <w:p w14:paraId="6F07AEEF">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保存理财产品托管业务活动的记录、账册、报表和其他相关材料1</w:t>
            </w:r>
            <w:r>
              <w:rPr>
                <w:rFonts w:ascii="楷体_GB2312" w:eastAsia="楷体_GB2312" w:cs="楷体_GB2312"/>
                <w:color w:val="000000" w:themeColor="text1"/>
                <w:sz w:val="20"/>
                <w:szCs w:val="20"/>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年以上；</w:t>
            </w:r>
          </w:p>
          <w:p w14:paraId="243624F6">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对理财产品投资信息和相关资料承担保密责任，除法律、行政法规、规章规定、审计要求或者合同约定外，不得向任何机构或者个人提供相关信息和资料；</w:t>
            </w:r>
          </w:p>
          <w:p w14:paraId="44153619">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国务院银行业监督管理机构规定的其他职责。</w:t>
            </w:r>
          </w:p>
        </w:tc>
      </w:tr>
      <w:tr w14:paraId="4B6F3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9ED91AC">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理财托管</w:t>
            </w:r>
            <w:r>
              <w:rPr>
                <w:rFonts w:ascii="Times New Roman" w:eastAsia="楷体_GB2312" w:cs="楷体_GB2312"/>
                <w:color w:val="000000" w:themeColor="text1"/>
                <w:sz w:val="20"/>
                <w:szCs w:val="20"/>
                <w14:textFill>
                  <w14:solidFill>
                    <w14:schemeClr w14:val="tx1"/>
                  </w14:solidFill>
                </w14:textFill>
              </w:rPr>
              <w:t>账户</w:t>
            </w:r>
          </w:p>
        </w:tc>
        <w:tc>
          <w:tcPr>
            <w:tcW w:w="3740" w:type="pct"/>
            <w:vAlign w:val="center"/>
          </w:tcPr>
          <w:p w14:paraId="06E6DC6B">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w:t>
            </w:r>
            <w:r>
              <w:rPr>
                <w:rFonts w:hint="eastAsia" w:ascii="楷体_GB2312" w:eastAsia="楷体_GB2312" w:cs="楷体_GB2312"/>
                <w:color w:val="000000" w:themeColor="text1"/>
                <w:sz w:val="20"/>
                <w:szCs w:val="20"/>
                <w14:textFill>
                  <w14:solidFill>
                    <w14:schemeClr w14:val="tx1"/>
                  </w14:solidFill>
                </w14:textFill>
              </w:rPr>
              <w:t>管理人为理财产品资金管理之目的，以理财产品的名义在托管人处单独开立资金账户，理财产品资金的一切收支活动，包括但不限于接收募集资金、划付对外投资资金、缴纳理财产品税费、接收理财产品回收资金、支付理财产品费用以及向投资者划付理财产品分配款项，均通过该账户进行。</w:t>
            </w:r>
          </w:p>
        </w:tc>
      </w:tr>
      <w:tr w14:paraId="750E4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51EAF2DA">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投资者</w:t>
            </w:r>
            <w:r>
              <w:rPr>
                <w:rFonts w:ascii="Times New Roman" w:eastAsia="楷体_GB2312" w:cs="楷体_GB2312"/>
                <w:color w:val="000000" w:themeColor="text1"/>
                <w:sz w:val="20"/>
                <w:szCs w:val="20"/>
                <w14:textFill>
                  <w14:solidFill>
                    <w14:schemeClr w14:val="tx1"/>
                  </w14:solidFill>
                </w14:textFill>
              </w:rPr>
              <w:t>账户</w:t>
            </w:r>
          </w:p>
        </w:tc>
        <w:tc>
          <w:tcPr>
            <w:tcW w:w="3740" w:type="pct"/>
            <w:vAlign w:val="center"/>
          </w:tcPr>
          <w:p w14:paraId="05CBC5C7">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投资者认购或申购（如有）理财</w:t>
            </w:r>
            <w:r>
              <w:rPr>
                <w:rFonts w:ascii="楷体_GB2312" w:eastAsia="楷体_GB2312" w:cs="楷体_GB2312"/>
                <w:color w:val="000000" w:themeColor="text1"/>
                <w:sz w:val="20"/>
                <w:szCs w:val="20"/>
                <w14:textFill>
                  <w14:solidFill>
                    <w14:schemeClr w14:val="tx1"/>
                  </w14:solidFill>
                </w14:textFill>
              </w:rPr>
              <w:t>产品</w:t>
            </w:r>
            <w:r>
              <w:rPr>
                <w:rFonts w:hint="eastAsia" w:ascii="楷体_GB2312" w:eastAsia="楷体_GB2312" w:cs="楷体_GB2312"/>
                <w:color w:val="000000" w:themeColor="text1"/>
                <w:sz w:val="20"/>
                <w:szCs w:val="20"/>
                <w14:textFill>
                  <w14:solidFill>
                    <w14:schemeClr w14:val="tx1"/>
                  </w14:solidFill>
                </w14:textFill>
              </w:rPr>
              <w:t>的资金划出账户与理财产品到期或期间赎回（如有）接收资金的银行</w:t>
            </w:r>
            <w:r>
              <w:rPr>
                <w:rFonts w:ascii="楷体_GB2312" w:eastAsia="楷体_GB2312" w:cs="楷体_GB2312"/>
                <w:color w:val="000000" w:themeColor="text1"/>
                <w:sz w:val="20"/>
                <w:szCs w:val="20"/>
                <w14:textFill>
                  <w14:solidFill>
                    <w14:schemeClr w14:val="tx1"/>
                  </w14:solidFill>
                </w14:textFill>
              </w:rPr>
              <w:t>结算</w:t>
            </w:r>
            <w:r>
              <w:rPr>
                <w:rFonts w:hint="eastAsia" w:ascii="楷体_GB2312" w:eastAsia="楷体_GB2312" w:cs="楷体_GB2312"/>
                <w:color w:val="000000" w:themeColor="text1"/>
                <w:sz w:val="20"/>
                <w:szCs w:val="20"/>
                <w14:textFill>
                  <w14:solidFill>
                    <w14:schemeClr w14:val="tx1"/>
                  </w14:solidFill>
                </w14:textFill>
              </w:rPr>
              <w:t>账户。在本理财产品存续期间，除非经理财</w:t>
            </w:r>
            <w:r>
              <w:rPr>
                <w:rFonts w:ascii="楷体_GB2312" w:eastAsia="楷体_GB2312" w:cs="楷体_GB2312"/>
                <w:color w:val="000000" w:themeColor="text1"/>
                <w:sz w:val="20"/>
                <w:szCs w:val="20"/>
                <w14:textFill>
                  <w14:solidFill>
                    <w14:schemeClr w14:val="tx1"/>
                  </w14:solidFill>
                </w14:textFill>
              </w:rPr>
              <w:t>产品</w:t>
            </w:r>
            <w:r>
              <w:rPr>
                <w:rFonts w:hint="eastAsia" w:ascii="楷体_GB2312" w:eastAsia="楷体_GB2312" w:cs="楷体_GB2312"/>
                <w:color w:val="000000" w:themeColor="text1"/>
                <w:sz w:val="20"/>
                <w:szCs w:val="20"/>
                <w14:textFill>
                  <w14:solidFill>
                    <w14:schemeClr w14:val="tx1"/>
                  </w14:solidFill>
                </w14:textFill>
              </w:rPr>
              <w:t>管理人同意，该账户不得变更、注销。如发生投资者账户被有权机关采取司法强制措施的，投资者不得申请对投资者账户予以变更或注销。</w:t>
            </w:r>
          </w:p>
        </w:tc>
      </w:tr>
      <w:tr w14:paraId="6B1C5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1CBA8C03">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投资者</w:t>
            </w:r>
            <w:r>
              <w:rPr>
                <w:rFonts w:ascii="Times New Roman" w:eastAsia="楷体_GB2312" w:cs="楷体_GB2312"/>
                <w:color w:val="000000" w:themeColor="text1"/>
                <w:sz w:val="20"/>
                <w:szCs w:val="20"/>
                <w14:textFill>
                  <w14:solidFill>
                    <w14:schemeClr w14:val="tx1"/>
                  </w14:solidFill>
                </w14:textFill>
              </w:rPr>
              <w:t>理财账户</w:t>
            </w:r>
          </w:p>
        </w:tc>
        <w:tc>
          <w:tcPr>
            <w:tcW w:w="3740" w:type="pct"/>
            <w:vAlign w:val="center"/>
          </w:tcPr>
          <w:p w14:paraId="5B0FBB59">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信银理财</w:t>
            </w:r>
            <w:r>
              <w:rPr>
                <w:rFonts w:hint="eastAsia" w:ascii="楷体_GB2312" w:eastAsia="楷体_GB2312" w:cs="楷体_GB2312"/>
                <w:color w:val="000000" w:themeColor="text1"/>
                <w:sz w:val="20"/>
                <w:szCs w:val="20"/>
                <w14:textFill>
                  <w14:solidFill>
                    <w14:schemeClr w14:val="tx1"/>
                  </w14:solidFill>
                </w14:textFill>
              </w:rPr>
              <w:t>为投资者</w:t>
            </w:r>
            <w:r>
              <w:rPr>
                <w:rFonts w:ascii="楷体_GB2312" w:eastAsia="楷体_GB2312" w:cs="楷体_GB2312"/>
                <w:color w:val="000000" w:themeColor="text1"/>
                <w:sz w:val="20"/>
                <w:szCs w:val="20"/>
                <w14:textFill>
                  <w14:solidFill>
                    <w14:schemeClr w14:val="tx1"/>
                  </w14:solidFill>
                </w14:textFill>
              </w:rPr>
              <w:t>开立的</w:t>
            </w:r>
            <w:r>
              <w:rPr>
                <w:rFonts w:hint="eastAsia" w:ascii="楷体_GB2312" w:eastAsia="楷体_GB2312" w:cs="楷体_GB2312"/>
                <w:color w:val="000000" w:themeColor="text1"/>
                <w:sz w:val="20"/>
                <w:szCs w:val="20"/>
                <w14:textFill>
                  <w14:solidFill>
                    <w14:schemeClr w14:val="tx1"/>
                  </w14:solidFill>
                </w14:textFill>
              </w:rPr>
              <w:t>，唯一</w:t>
            </w:r>
            <w:r>
              <w:rPr>
                <w:rFonts w:ascii="楷体_GB2312" w:eastAsia="楷体_GB2312" w:cs="楷体_GB2312"/>
                <w:color w:val="000000" w:themeColor="text1"/>
                <w:sz w:val="20"/>
                <w:szCs w:val="20"/>
                <w14:textFill>
                  <w14:solidFill>
                    <w14:schemeClr w14:val="tx1"/>
                  </w14:solidFill>
                </w14:textFill>
              </w:rPr>
              <w:t>用于</w:t>
            </w:r>
            <w:r>
              <w:rPr>
                <w:rFonts w:hint="eastAsia" w:ascii="楷体_GB2312" w:eastAsia="楷体_GB2312" w:cs="楷体_GB2312"/>
                <w:color w:val="000000" w:themeColor="text1"/>
                <w:sz w:val="20"/>
                <w:szCs w:val="20"/>
                <w14:textFill>
                  <w14:solidFill>
                    <w14:schemeClr w14:val="tx1"/>
                  </w14:solidFill>
                </w14:textFill>
              </w:rPr>
              <w:t>信银</w:t>
            </w:r>
            <w:r>
              <w:rPr>
                <w:rFonts w:ascii="楷体_GB2312" w:eastAsia="楷体_GB2312" w:cs="楷体_GB2312"/>
                <w:color w:val="000000" w:themeColor="text1"/>
                <w:sz w:val="20"/>
                <w:szCs w:val="20"/>
                <w14:textFill>
                  <w14:solidFill>
                    <w14:schemeClr w14:val="tx1"/>
                  </w14:solidFill>
                </w14:textFill>
              </w:rPr>
              <w:t>理财管理和记录投资者持有信银理财理财产品份额及</w:t>
            </w: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w:t>
            </w:r>
            <w:r>
              <w:rPr>
                <w:rFonts w:hint="eastAsia" w:ascii="楷体_GB2312" w:eastAsia="楷体_GB2312" w:cs="楷体_GB2312"/>
                <w:color w:val="000000" w:themeColor="text1"/>
                <w:sz w:val="20"/>
                <w:szCs w:val="20"/>
                <w14:textFill>
                  <w14:solidFill>
                    <w14:schemeClr w14:val="tx1"/>
                  </w14:solidFill>
                </w14:textFill>
              </w:rPr>
              <w:t>份额</w:t>
            </w:r>
            <w:r>
              <w:rPr>
                <w:rFonts w:ascii="楷体_GB2312" w:eastAsia="楷体_GB2312" w:cs="楷体_GB2312"/>
                <w:color w:val="000000" w:themeColor="text1"/>
                <w:sz w:val="20"/>
                <w:szCs w:val="20"/>
                <w14:textFill>
                  <w14:solidFill>
                    <w14:schemeClr w14:val="tx1"/>
                  </w14:solidFill>
                </w14:textFill>
              </w:rPr>
              <w:t>变化</w:t>
            </w:r>
            <w:r>
              <w:rPr>
                <w:rFonts w:hint="eastAsia" w:ascii="楷体_GB2312" w:eastAsia="楷体_GB2312" w:cs="楷体_GB2312"/>
                <w:color w:val="000000" w:themeColor="text1"/>
                <w:sz w:val="20"/>
                <w:szCs w:val="20"/>
                <w14:textFill>
                  <w14:solidFill>
                    <w14:schemeClr w14:val="tx1"/>
                  </w14:solidFill>
                </w14:textFill>
              </w:rPr>
              <w:t>等</w:t>
            </w:r>
            <w:r>
              <w:rPr>
                <w:rFonts w:ascii="楷体_GB2312" w:eastAsia="楷体_GB2312" w:cs="楷体_GB2312"/>
                <w:color w:val="000000" w:themeColor="text1"/>
                <w:sz w:val="20"/>
                <w:szCs w:val="20"/>
                <w14:textFill>
                  <w14:solidFill>
                    <w14:schemeClr w14:val="tx1"/>
                  </w14:solidFill>
                </w14:textFill>
              </w:rPr>
              <w:t>情况的账户。</w:t>
            </w:r>
            <w:r>
              <w:rPr>
                <w:rFonts w:hint="eastAsia" w:ascii="楷体_GB2312" w:eastAsia="楷体_GB2312" w:cs="楷体_GB2312"/>
                <w:color w:val="000000" w:themeColor="text1"/>
                <w:sz w:val="20"/>
                <w:szCs w:val="20"/>
                <w14:textFill>
                  <w14:solidFill>
                    <w14:schemeClr w14:val="tx1"/>
                  </w14:solidFill>
                </w14:textFill>
              </w:rPr>
              <w:t>投资者购买信银</w:t>
            </w:r>
            <w:r>
              <w:rPr>
                <w:rFonts w:ascii="楷体_GB2312" w:eastAsia="楷体_GB2312" w:cs="楷体_GB2312"/>
                <w:color w:val="000000" w:themeColor="text1"/>
                <w:sz w:val="20"/>
                <w:szCs w:val="20"/>
                <w14:textFill>
                  <w14:solidFill>
                    <w14:schemeClr w14:val="tx1"/>
                  </w14:solidFill>
                </w14:textFill>
              </w:rPr>
              <w:t>理财理财产品的，信银理财</w:t>
            </w:r>
            <w:r>
              <w:rPr>
                <w:rFonts w:hint="eastAsia" w:ascii="楷体_GB2312" w:eastAsia="楷体_GB2312" w:cs="楷体_GB2312"/>
                <w:color w:val="000000" w:themeColor="text1"/>
                <w:sz w:val="20"/>
                <w:szCs w:val="20"/>
                <w14:textFill>
                  <w14:solidFill>
                    <w14:schemeClr w14:val="tx1"/>
                  </w14:solidFill>
                </w14:textFill>
              </w:rPr>
              <w:t>将为其开立</w:t>
            </w:r>
            <w:r>
              <w:rPr>
                <w:rFonts w:ascii="楷体_GB2312" w:eastAsia="楷体_GB2312" w:cs="楷体_GB2312"/>
                <w:color w:val="000000" w:themeColor="text1"/>
                <w:sz w:val="20"/>
                <w:szCs w:val="20"/>
                <w14:textFill>
                  <w14:solidFill>
                    <w14:schemeClr w14:val="tx1"/>
                  </w14:solidFill>
                </w14:textFill>
              </w:rPr>
              <w:t>理财账户</w:t>
            </w:r>
            <w:r>
              <w:rPr>
                <w:rFonts w:hint="eastAsia" w:ascii="楷体_GB2312" w:eastAsia="楷体_GB2312" w:cs="楷体_GB2312"/>
                <w:color w:val="000000" w:themeColor="text1"/>
                <w:sz w:val="20"/>
                <w:szCs w:val="20"/>
                <w14:textFill>
                  <w14:solidFill>
                    <w14:schemeClr w14:val="tx1"/>
                  </w14:solidFill>
                </w14:textFill>
              </w:rPr>
              <w:t>。开户需要的信息和要求以</w:t>
            </w:r>
            <w:r>
              <w:rPr>
                <w:rFonts w:ascii="楷体_GB2312" w:eastAsia="楷体_GB2312" w:cs="楷体_GB2312"/>
                <w:color w:val="000000" w:themeColor="text1"/>
                <w:sz w:val="20"/>
                <w:szCs w:val="20"/>
                <w14:textFill>
                  <w14:solidFill>
                    <w14:schemeClr w14:val="tx1"/>
                  </w14:solidFill>
                </w14:textFill>
              </w:rPr>
              <w:t>信银理财或代销机构</w:t>
            </w:r>
            <w:r>
              <w:rPr>
                <w:rFonts w:hint="eastAsia" w:ascii="楷体_GB2312" w:eastAsia="楷体_GB2312" w:cs="楷体_GB2312"/>
                <w:color w:val="000000" w:themeColor="text1"/>
                <w:sz w:val="20"/>
                <w:szCs w:val="20"/>
                <w14:textFill>
                  <w14:solidFill>
                    <w14:schemeClr w14:val="tx1"/>
                  </w14:solidFill>
                </w14:textFill>
              </w:rPr>
              <w:t>营业</w:t>
            </w:r>
            <w:r>
              <w:rPr>
                <w:rFonts w:ascii="楷体_GB2312" w:eastAsia="楷体_GB2312" w:cs="楷体_GB2312"/>
                <w:color w:val="000000" w:themeColor="text1"/>
                <w:sz w:val="20"/>
                <w:szCs w:val="20"/>
                <w14:textFill>
                  <w14:solidFill>
                    <w14:schemeClr w14:val="tx1"/>
                  </w14:solidFill>
                </w14:textFill>
              </w:rPr>
              <w:t>场所或线上办理要求</w:t>
            </w:r>
            <w:r>
              <w:rPr>
                <w:rFonts w:hint="eastAsia" w:ascii="楷体_GB2312" w:eastAsia="楷体_GB2312" w:cs="楷体_GB2312"/>
                <w:color w:val="000000" w:themeColor="text1"/>
                <w:sz w:val="20"/>
                <w:szCs w:val="20"/>
                <w14:textFill>
                  <w14:solidFill>
                    <w14:schemeClr w14:val="tx1"/>
                  </w14:solidFill>
                </w14:textFill>
              </w:rPr>
              <w:t>为准</w:t>
            </w:r>
            <w:r>
              <w:rPr>
                <w:rFonts w:ascii="楷体_GB2312" w:eastAsia="楷体_GB2312" w:cs="楷体_GB2312"/>
                <w:color w:val="000000" w:themeColor="text1"/>
                <w:sz w:val="20"/>
                <w:szCs w:val="20"/>
                <w14:textFill>
                  <w14:solidFill>
                    <w14:schemeClr w14:val="tx1"/>
                  </w14:solidFill>
                </w14:textFill>
              </w:rPr>
              <w:t>。</w:t>
            </w:r>
          </w:p>
        </w:tc>
      </w:tr>
      <w:tr w14:paraId="416B6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389408B4">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投资者</w:t>
            </w:r>
            <w:r>
              <w:rPr>
                <w:rFonts w:ascii="Times New Roman" w:eastAsia="楷体_GB2312" w:cs="楷体_GB2312"/>
                <w:color w:val="000000" w:themeColor="text1"/>
                <w:sz w:val="20"/>
                <w:szCs w:val="20"/>
                <w14:textFill>
                  <w14:solidFill>
                    <w14:schemeClr w14:val="tx1"/>
                  </w14:solidFill>
                </w14:textFill>
              </w:rPr>
              <w:t>理财交易账户</w:t>
            </w:r>
          </w:p>
        </w:tc>
        <w:tc>
          <w:tcPr>
            <w:tcW w:w="3740" w:type="pct"/>
            <w:vAlign w:val="center"/>
          </w:tcPr>
          <w:p w14:paraId="70A69A96">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销售机构为投资者开立的、记录投资者通过该销售机构办理认购、申购、赎回、转换、转托管及定期定额投资等业务导致理财份额变动及结余情况的账户。</w:t>
            </w:r>
            <w:r>
              <w:rPr>
                <w:rFonts w:ascii="楷体_GB2312" w:eastAsia="楷体_GB2312" w:cs="楷体_GB2312"/>
                <w:color w:val="000000" w:themeColor="text1"/>
                <w:sz w:val="20"/>
                <w:szCs w:val="20"/>
                <w14:textFill>
                  <w14:solidFill>
                    <w14:schemeClr w14:val="tx1"/>
                  </w14:solidFill>
                </w14:textFill>
              </w:rPr>
              <w:t>具体</w:t>
            </w:r>
            <w:r>
              <w:rPr>
                <w:rFonts w:hint="eastAsia" w:ascii="楷体_GB2312" w:eastAsia="楷体_GB2312" w:cs="楷体_GB2312"/>
                <w:color w:val="000000" w:themeColor="text1"/>
                <w:sz w:val="20"/>
                <w:szCs w:val="20"/>
                <w14:textFill>
                  <w14:solidFill>
                    <w14:schemeClr w14:val="tx1"/>
                  </w14:solidFill>
                </w14:textFill>
              </w:rPr>
              <w:t>开户</w:t>
            </w:r>
            <w:r>
              <w:rPr>
                <w:rFonts w:ascii="楷体_GB2312" w:eastAsia="楷体_GB2312" w:cs="楷体_GB2312"/>
                <w:color w:val="000000" w:themeColor="text1"/>
                <w:sz w:val="20"/>
                <w:szCs w:val="20"/>
                <w14:textFill>
                  <w14:solidFill>
                    <w14:schemeClr w14:val="tx1"/>
                  </w14:solidFill>
                </w14:textFill>
              </w:rPr>
              <w:t>流程应</w:t>
            </w:r>
            <w:r>
              <w:rPr>
                <w:rFonts w:hint="eastAsia" w:ascii="楷体_GB2312" w:eastAsia="楷体_GB2312" w:cs="楷体_GB2312"/>
                <w:color w:val="000000" w:themeColor="text1"/>
                <w:sz w:val="20"/>
                <w:szCs w:val="20"/>
                <w14:textFill>
                  <w14:solidFill>
                    <w14:schemeClr w14:val="tx1"/>
                  </w14:solidFill>
                </w14:textFill>
              </w:rPr>
              <w:t>遵守</w:t>
            </w:r>
            <w:r>
              <w:rPr>
                <w:rFonts w:ascii="楷体_GB2312" w:eastAsia="楷体_GB2312" w:cs="楷体_GB2312"/>
                <w:color w:val="000000" w:themeColor="text1"/>
                <w:sz w:val="20"/>
                <w:szCs w:val="20"/>
                <w14:textFill>
                  <w14:solidFill>
                    <w14:schemeClr w14:val="tx1"/>
                  </w14:solidFill>
                </w14:textFill>
              </w:rPr>
              <w:t>信银理财或代销机构</w:t>
            </w:r>
            <w:r>
              <w:rPr>
                <w:rFonts w:hint="eastAsia" w:ascii="楷体_GB2312" w:eastAsia="楷体_GB2312" w:cs="楷体_GB2312"/>
                <w:color w:val="000000" w:themeColor="text1"/>
                <w:sz w:val="20"/>
                <w:szCs w:val="20"/>
                <w14:textFill>
                  <w14:solidFill>
                    <w14:schemeClr w14:val="tx1"/>
                  </w14:solidFill>
                </w14:textFill>
              </w:rPr>
              <w:t>网点</w:t>
            </w:r>
            <w:r>
              <w:rPr>
                <w:rFonts w:ascii="楷体_GB2312" w:eastAsia="楷体_GB2312" w:cs="楷体_GB2312"/>
                <w:color w:val="000000" w:themeColor="text1"/>
                <w:sz w:val="20"/>
                <w:szCs w:val="20"/>
                <w14:textFill>
                  <w14:solidFill>
                    <w14:schemeClr w14:val="tx1"/>
                  </w14:solidFill>
                </w14:textFill>
              </w:rPr>
              <w:t>或线上办理要求。</w:t>
            </w:r>
          </w:p>
        </w:tc>
      </w:tr>
      <w:tr w14:paraId="6514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54872A19">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信息披露</w:t>
            </w:r>
          </w:p>
        </w:tc>
        <w:tc>
          <w:tcPr>
            <w:tcW w:w="3740" w:type="pct"/>
            <w:vAlign w:val="center"/>
          </w:tcPr>
          <w:p w14:paraId="3E0B7443">
            <w:pPr>
              <w:pStyle w:val="19"/>
              <w:numPr>
                <w:ilvl w:val="3"/>
                <w:numId w:val="3"/>
              </w:numPr>
              <w:spacing w:line="300" w:lineRule="exact"/>
              <w:ind w:left="427" w:right="36" w:rightChars="15" w:hanging="42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信银理财将通过【信银理财官方网站（</w:t>
            </w:r>
            <w:r>
              <w:fldChar w:fldCharType="begin"/>
            </w:r>
            <w:r>
              <w:instrText xml:space="preserve"> HYPERLINK "http://www.citic-wealth.com" </w:instrText>
            </w:r>
            <w:r>
              <w:fldChar w:fldCharType="separate"/>
            </w:r>
            <w:r>
              <w:rPr>
                <w:rStyle w:val="11"/>
                <w:rFonts w:ascii="楷体_GB2312" w:eastAsia="楷体_GB2312" w:cs="楷体_GB2312"/>
                <w:sz w:val="20"/>
                <w:szCs w:val="20"/>
              </w:rPr>
              <w:t>http://www.citic-wealth.com</w:t>
            </w:r>
            <w:r>
              <w:rPr>
                <w:rStyle w:val="11"/>
                <w:rFonts w:ascii="楷体_GB2312" w:eastAsia="楷体_GB2312" w:cs="楷体_GB2312"/>
                <w:sz w:val="20"/>
                <w:szCs w:val="20"/>
              </w:rPr>
              <w:fldChar w:fldCharType="end"/>
            </w:r>
            <w:r>
              <w:rPr>
                <w:rFonts w:hint="eastAsia" w:ascii="楷体_GB2312" w:eastAsia="楷体_GB2312" w:cs="楷体_GB2312"/>
                <w:color w:val="000000" w:themeColor="text1"/>
                <w:sz w:val="20"/>
                <w:szCs w:val="20"/>
                <w14:textFill>
                  <w14:solidFill>
                    <w14:schemeClr w14:val="tx1"/>
                  </w14:solidFill>
                </w14:textFill>
              </w:rPr>
              <w:t>）】披露本理财产品的各类信息。</w:t>
            </w:r>
          </w:p>
          <w:p w14:paraId="584994CB">
            <w:pPr>
              <w:pStyle w:val="19"/>
              <w:numPr>
                <w:ilvl w:val="3"/>
                <w:numId w:val="3"/>
              </w:numPr>
              <w:spacing w:line="300" w:lineRule="exact"/>
              <w:ind w:left="427" w:right="36" w:rightChars="15" w:hanging="42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本理财产品存续期间内，信银理财有权提前【</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个工作日向投资者发出通知，以符合监管规定的方式对说明书条款进行补充、说明和修改，投资者不接受的，可于最近一个开放日赎回理财产品。信银理财有权根据情况决定增加临时开放日。信银理财根据法律法规、监管规定的强制性要求对产品说明书做出修改的，无须取得投资者同意。</w:t>
            </w:r>
          </w:p>
          <w:p w14:paraId="39098C7F">
            <w:pPr>
              <w:pStyle w:val="19"/>
              <w:numPr>
                <w:ilvl w:val="3"/>
                <w:numId w:val="3"/>
              </w:numPr>
              <w:spacing w:line="300" w:lineRule="exact"/>
              <w:ind w:left="427" w:right="36" w:rightChars="15" w:hanging="42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如信银理财</w:t>
            </w:r>
            <w:r>
              <w:rPr>
                <w:rFonts w:ascii="楷体_GB2312" w:eastAsia="楷体_GB2312" w:cs="楷体_GB2312"/>
                <w:color w:val="000000" w:themeColor="text1"/>
                <w:sz w:val="20"/>
                <w:szCs w:val="20"/>
                <w14:textFill>
                  <w14:solidFill>
                    <w14:schemeClr w14:val="tx1"/>
                  </w14:solidFill>
                </w14:textFill>
              </w:rPr>
              <w:t>决定理财产品不成立，将在决定本理财产品不成立后的【2】</w:t>
            </w:r>
            <w:r>
              <w:rPr>
                <w:rFonts w:hint="eastAsia" w:ascii="楷体_GB2312" w:eastAsia="楷体_GB2312" w:cs="楷体_GB2312"/>
                <w:color w:val="000000" w:themeColor="text1"/>
                <w:sz w:val="20"/>
                <w:szCs w:val="20"/>
                <w14:textFill>
                  <w14:solidFill>
                    <w14:schemeClr w14:val="tx1"/>
                  </w14:solidFill>
                </w14:textFill>
              </w:rPr>
              <w:t>个</w:t>
            </w:r>
            <w:r>
              <w:rPr>
                <w:rFonts w:ascii="楷体_GB2312" w:eastAsia="楷体_GB2312" w:cs="楷体_GB2312"/>
                <w:color w:val="000000" w:themeColor="text1"/>
                <w:sz w:val="20"/>
                <w:szCs w:val="20"/>
                <w14:textFill>
                  <w14:solidFill>
                    <w14:schemeClr w14:val="tx1"/>
                  </w14:solidFill>
                </w14:textFill>
              </w:rPr>
              <w:t>工作日内向投资者发布信息。</w:t>
            </w:r>
          </w:p>
          <w:p w14:paraId="21F1F311">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如信银理财</w:t>
            </w:r>
            <w:r>
              <w:rPr>
                <w:rFonts w:ascii="楷体_GB2312" w:eastAsia="楷体_GB2312" w:cs="楷体_GB2312"/>
                <w:color w:val="000000" w:themeColor="text1"/>
                <w:sz w:val="20"/>
                <w:szCs w:val="20"/>
                <w14:textFill>
                  <w14:solidFill>
                    <w14:schemeClr w14:val="tx1"/>
                  </w14:solidFill>
                </w14:textFill>
              </w:rPr>
              <w:t>决定提前结束募集期或延长募集期的，将在决定调整募集期后的【2】</w:t>
            </w:r>
            <w:r>
              <w:rPr>
                <w:rFonts w:hint="eastAsia" w:ascii="楷体_GB2312" w:eastAsia="楷体_GB2312" w:cs="楷体_GB2312"/>
                <w:color w:val="000000" w:themeColor="text1"/>
                <w:sz w:val="20"/>
                <w:szCs w:val="20"/>
                <w14:textFill>
                  <w14:solidFill>
                    <w14:schemeClr w14:val="tx1"/>
                  </w14:solidFill>
                </w14:textFill>
              </w:rPr>
              <w:t>个</w:t>
            </w:r>
            <w:r>
              <w:rPr>
                <w:rFonts w:ascii="楷体_GB2312" w:eastAsia="楷体_GB2312" w:cs="楷体_GB2312"/>
                <w:color w:val="000000" w:themeColor="text1"/>
                <w:sz w:val="20"/>
                <w:szCs w:val="20"/>
                <w14:textFill>
                  <w14:solidFill>
                    <w14:schemeClr w14:val="tx1"/>
                  </w14:solidFill>
                </w14:textFill>
              </w:rPr>
              <w:t>工作日内向投资者发布相关信息。</w:t>
            </w:r>
          </w:p>
          <w:p w14:paraId="269A3595">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信银理财将在本产品成立后【</w:t>
            </w:r>
            <w:r>
              <w:rPr>
                <w:rFonts w:ascii="楷体_GB2312" w:eastAsia="楷体_GB2312" w:cs="楷体_GB2312"/>
                <w:color w:val="000000" w:themeColor="text1"/>
                <w:sz w:val="20"/>
                <w:szCs w:val="20"/>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个</w:t>
            </w:r>
            <w:r>
              <w:rPr>
                <w:rFonts w:ascii="楷体_GB2312" w:eastAsia="楷体_GB2312" w:cs="楷体_GB2312"/>
                <w:color w:val="000000" w:themeColor="text1"/>
                <w:sz w:val="20"/>
                <w:szCs w:val="20"/>
                <w14:textFill>
                  <w14:solidFill>
                    <w14:schemeClr w14:val="tx1"/>
                  </w14:solidFill>
                </w14:textFill>
              </w:rPr>
              <w:t>工作日内披露发行公告。</w:t>
            </w:r>
          </w:p>
          <w:p w14:paraId="7ADFC544">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本产品成立后，信银理财</w:t>
            </w:r>
            <w:r>
              <w:rPr>
                <w:rFonts w:ascii="楷体_GB2312" w:eastAsia="楷体_GB2312" w:cs="楷体_GB2312"/>
                <w:color w:val="000000" w:themeColor="text1"/>
                <w:sz w:val="20"/>
                <w:szCs w:val="20"/>
                <w14:textFill>
                  <w14:solidFill>
                    <w14:schemeClr w14:val="tx1"/>
                  </w14:solidFill>
                </w14:textFill>
              </w:rPr>
              <w:t>将在每个开放日结束后【2】</w:t>
            </w:r>
            <w:r>
              <w:rPr>
                <w:rFonts w:hint="eastAsia" w:ascii="楷体_GB2312" w:eastAsia="楷体_GB2312" w:cs="楷体_GB2312"/>
                <w:color w:val="000000" w:themeColor="text1"/>
                <w:sz w:val="20"/>
                <w:szCs w:val="20"/>
                <w14:textFill>
                  <w14:solidFill>
                    <w14:schemeClr w14:val="tx1"/>
                  </w14:solidFill>
                </w14:textFill>
              </w:rPr>
              <w:t>个</w:t>
            </w:r>
            <w:r>
              <w:rPr>
                <w:rFonts w:ascii="楷体_GB2312" w:eastAsia="楷体_GB2312" w:cs="楷体_GB2312"/>
                <w:color w:val="000000" w:themeColor="text1"/>
                <w:sz w:val="20"/>
                <w:szCs w:val="20"/>
                <w14:textFill>
                  <w14:solidFill>
                    <w14:schemeClr w14:val="tx1"/>
                  </w14:solidFill>
                </w14:textFill>
              </w:rPr>
              <w:t>工作日内，披露该开放日的份额净值、份额累计净值、认购/申购价格和赎回价格。</w:t>
            </w:r>
          </w:p>
          <w:p w14:paraId="12AD6A7A">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如本产品合作销售机构有新增、减少和变更，信银理财将提前【</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个工作日内向投资者发布相关信息。</w:t>
            </w:r>
          </w:p>
          <w:p w14:paraId="07B7A6CE">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如信银理财决定提前终止本产品，将于提前终止日前【</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个工作日向投资者发布相关信息。</w:t>
            </w:r>
          </w:p>
          <w:p w14:paraId="50DF3362">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如本产品需延期清算，将于原定到期日前【</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个工作日内向投资者发布相关信息。</w:t>
            </w:r>
          </w:p>
          <w:p w14:paraId="18907F0A">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信银理财将在本产品终止（包括到期和提前终止）日后【</w:t>
            </w:r>
            <w:r>
              <w:rPr>
                <w:rFonts w:ascii="楷体_GB2312" w:eastAsia="楷体_GB2312" w:cs="楷体_GB2312"/>
                <w:color w:val="000000" w:themeColor="text1"/>
                <w:sz w:val="20"/>
                <w:szCs w:val="20"/>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个工作日内，向投资者披露到期公告，包括到期日产</w:t>
            </w:r>
            <w:r>
              <w:rPr>
                <w:rFonts w:ascii="楷体_GB2312" w:eastAsia="楷体_GB2312" w:cs="楷体_GB2312"/>
                <w:color w:val="000000" w:themeColor="text1"/>
                <w:sz w:val="20"/>
                <w:szCs w:val="20"/>
                <w14:textFill>
                  <w14:solidFill>
                    <w14:schemeClr w14:val="tx1"/>
                  </w14:solidFill>
                </w14:textFill>
              </w:rPr>
              <w:t>品单位净值在内的到期相关信息。</w:t>
            </w:r>
          </w:p>
          <w:p w14:paraId="233ABD3A">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管理人在运用收取短期赎回费、摆动定价等措施后，将在【</w:t>
            </w:r>
            <w:r>
              <w:rPr>
                <w:rFonts w:ascii="楷体_GB2312" w:eastAsia="楷体_GB2312" w:cs="楷体_GB2312"/>
                <w:color w:val="000000" w:themeColor="text1"/>
                <w:sz w:val="20"/>
                <w:szCs w:val="20"/>
                <w14:textFill>
                  <w14:solidFill>
                    <w14:schemeClr w14:val="tx1"/>
                  </w14:solidFill>
                </w14:textFill>
              </w:rPr>
              <w:t>3】个交易日内告知投资者；在运用暂停或拒绝认/申购、延期办理巨额赎回申请、暂停或拒绝接受赎回申请、延缓支付赎回款项、暂停理财产品估值等措施后，【3】个交易日内告知投资者，并说明运用相关措施的原因、拟采取的应对安排等。在发生涉及理财产品认购、赎回事项调整或潜在影响投资者赎回等事项时，及时发布临时公告。</w:t>
            </w:r>
          </w:p>
          <w:p w14:paraId="356D6F43">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如因实际投资运作需要等因素，管理人有权增加或调整开放日和到期日，并最迟于增加或调整生效前【2】个工作日向投资者发布相关信息。</w:t>
            </w:r>
          </w:p>
          <w:p w14:paraId="7F8ED3BE">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在产品存续期间，信银理财根据市场情况对投资范围、投资品种或投资比例进行调整的，将提前【</w:t>
            </w:r>
            <w:r>
              <w:rPr>
                <w:rFonts w:ascii="楷体_GB2312" w:eastAsia="楷体_GB2312" w:cs="楷体_GB2312"/>
                <w:color w:val="000000" w:themeColor="text1"/>
                <w:sz w:val="20"/>
                <w:szCs w:val="20"/>
                <w14:textFill>
                  <w14:solidFill>
                    <w14:schemeClr w14:val="tx1"/>
                  </w14:solidFill>
                </w14:textFill>
              </w:rPr>
              <w:t>2】个工作日告知投资者。</w:t>
            </w:r>
          </w:p>
          <w:p w14:paraId="53F2445C">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如因法律法规、规范性文件的规定或市场变化等原因，信银理财确需调整本产品说明书项下收费标准的，应在变更生效前【</w:t>
            </w:r>
            <w:r>
              <w:rPr>
                <w:rFonts w:ascii="楷体_GB2312" w:eastAsia="楷体_GB2312"/>
                <w:color w:val="000000" w:themeColor="text1"/>
                <w:sz w:val="20"/>
                <w:szCs w:val="20"/>
                <w14:textFill>
                  <w14:solidFill>
                    <w14:schemeClr w14:val="tx1"/>
                  </w14:solidFill>
                </w14:textFill>
              </w:rPr>
              <w:t>2】</w:t>
            </w:r>
            <w:r>
              <w:rPr>
                <w:rFonts w:hint="eastAsia" w:ascii="楷体_GB2312" w:eastAsia="楷体_GB2312"/>
                <w:color w:val="000000" w:themeColor="text1"/>
                <w:sz w:val="20"/>
                <w:szCs w:val="20"/>
                <w14:textFill>
                  <w14:solidFill>
                    <w14:schemeClr w14:val="tx1"/>
                  </w14:solidFill>
                </w14:textFill>
              </w:rPr>
              <w:t>个</w:t>
            </w:r>
            <w:r>
              <w:rPr>
                <w:rFonts w:ascii="楷体_GB2312" w:eastAsia="楷体_GB2312"/>
                <w:color w:val="000000" w:themeColor="text1"/>
                <w:sz w:val="20"/>
                <w:szCs w:val="20"/>
                <w14:textFill>
                  <w14:solidFill>
                    <w14:schemeClr w14:val="tx1"/>
                  </w14:solidFill>
                </w14:textFill>
              </w:rPr>
              <w:t>工作日告知投资者。</w:t>
            </w:r>
          </w:p>
          <w:p w14:paraId="50E045D1">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本产品存续期间，如因市场重大变化导致投资比例暂时超出本说明书约定的投资比例区间且可能对理财产品收益产生重大影响的，信银理财将在【2】个工作日内告知投资者。</w:t>
            </w:r>
          </w:p>
          <w:p w14:paraId="336980FA">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本产品存续期间，信银理财每【月】向投资者提供本产品的理财产品账单，投资者可以通过信银理财营业网点等渠道进行查询，也可致电信银理财客户服务热线咨询。投资者通过合作销售机构购买本产品的，可以通过合作销售机构的手机银行、网上银行、营业网点等渠道进行查询，具体查询方式以代销机构规则为准。产品账单内容包括但不限于投资者持有本产品份额、认购金额、份额净值、份额累计净值、净资产、收益情况、投资者理财交易账户发生的交易明细记录等。</w:t>
            </w:r>
          </w:p>
          <w:p w14:paraId="5C689A7B">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本产品存续期间，信银理财</w:t>
            </w:r>
            <w:r>
              <w:rPr>
                <w:rFonts w:ascii="楷体_GB2312" w:eastAsia="楷体_GB2312" w:cs="楷体_GB2312"/>
                <w:color w:val="000000" w:themeColor="text1"/>
                <w:sz w:val="20"/>
                <w:szCs w:val="20"/>
                <w14:textFill>
                  <w14:solidFill>
                    <w14:schemeClr w14:val="tx1"/>
                  </w14:solidFill>
                </w14:textFill>
              </w:rPr>
              <w:t>将向投资者发布定期报告，包括但不限于季度、半年和年度报告。理财产品成立不足90日或者剩余存续期不超过90日的，管理人可以不编制理财产品当期的季度、半年和年度报告。管理人将在理财产品季度、半年和年度报告中披露理财产品组合资产情况及其流动性风险分析等。</w:t>
            </w:r>
          </w:p>
          <w:p w14:paraId="797ABBA1">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在本理财产品存续</w:t>
            </w:r>
            <w:r>
              <w:rPr>
                <w:rFonts w:ascii="楷体_GB2312" w:eastAsia="楷体_GB2312" w:cs="楷体_GB2312"/>
                <w:color w:val="000000" w:themeColor="text1"/>
                <w:sz w:val="20"/>
                <w:szCs w:val="20"/>
                <w14:textFill>
                  <w14:solidFill>
                    <w14:schemeClr w14:val="tx1"/>
                  </w14:solidFill>
                </w14:textFill>
              </w:rPr>
              <w:t>期间信银</w:t>
            </w:r>
            <w:r>
              <w:rPr>
                <w:rFonts w:hint="eastAsia" w:ascii="楷体_GB2312" w:eastAsia="楷体_GB2312" w:cs="楷体_GB2312"/>
                <w:color w:val="000000" w:themeColor="text1"/>
                <w:sz w:val="20"/>
                <w:szCs w:val="20"/>
                <w14:textFill>
                  <w14:solidFill>
                    <w14:schemeClr w14:val="tx1"/>
                  </w14:solidFill>
                </w14:textFill>
              </w:rPr>
              <w:t>理财获知并</w:t>
            </w:r>
            <w:r>
              <w:rPr>
                <w:rFonts w:ascii="楷体_GB2312" w:eastAsia="楷体_GB2312" w:cs="楷体_GB2312"/>
                <w:color w:val="000000" w:themeColor="text1"/>
                <w:sz w:val="20"/>
                <w:szCs w:val="20"/>
                <w14:textFill>
                  <w14:solidFill>
                    <w14:schemeClr w14:val="tx1"/>
                  </w14:solidFill>
                </w14:textFill>
              </w:rPr>
              <w:t>经信银理财合理判断认为对本产品、投资者权益、投资收益等有重大影响的事件，将按照法律法规、监管规定及时向投资者发布相关信息。</w:t>
            </w:r>
          </w:p>
          <w:p w14:paraId="0411D0EE">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法律法规、规范性文件、监管政策规定或本说明书约定其他应向投资者进行信息披露的情形的，信银理财</w:t>
            </w:r>
            <w:r>
              <w:rPr>
                <w:rFonts w:ascii="楷体_GB2312" w:eastAsia="楷体_GB2312" w:cs="楷体_GB2312"/>
                <w:color w:val="000000" w:themeColor="text1"/>
                <w:sz w:val="20"/>
                <w:szCs w:val="20"/>
                <w14:textFill>
                  <w14:solidFill>
                    <w14:schemeClr w14:val="tx1"/>
                  </w14:solidFill>
                </w14:textFill>
              </w:rPr>
              <w:t>将根据上述规定向投资者发布相关信息。</w:t>
            </w:r>
          </w:p>
        </w:tc>
      </w:tr>
    </w:tbl>
    <w:p w14:paraId="5A9F96A0">
      <w:pPr>
        <w:snapToGrid w:val="0"/>
        <w:ind w:right="53" w:rightChars="22"/>
        <w:outlineLvl w:val="0"/>
        <w:rPr>
          <w:rFonts w:ascii="黑体" w:hAnsi="Times New Roman" w:eastAsia="黑体" w:cs="黑体"/>
          <w:color w:val="000000" w:themeColor="text1"/>
          <w:sz w:val="20"/>
          <w:szCs w:val="20"/>
          <w14:textFill>
            <w14:solidFill>
              <w14:schemeClr w14:val="tx1"/>
            </w14:solidFill>
          </w14:textFill>
        </w:rPr>
      </w:pPr>
    </w:p>
    <w:p w14:paraId="5929AF54">
      <w:pPr>
        <w:snapToGrid w:val="0"/>
        <w:ind w:left="-2" w:leftChars="-1" w:right="53" w:rightChars="22"/>
        <w:outlineLvl w:val="0"/>
        <w:rPr>
          <w:b/>
          <w:color w:val="000000" w:themeColor="text1"/>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三、理财产品管理人</w:t>
      </w:r>
    </w:p>
    <w:p w14:paraId="61029C14">
      <w:pPr>
        <w:pStyle w:val="19"/>
        <w:spacing w:line="300" w:lineRule="exact"/>
        <w:ind w:firstLine="402"/>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本理财产品的投资管理人为信银理财。信银理财接受客户的委托和授权，按照本产品说明书约定的投资方向和方式进行投资和资产管理，投资者在此授权并同意信银理财享有以下权利：</w:t>
      </w:r>
    </w:p>
    <w:p w14:paraId="5D407C78">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b/>
          <w:color w:val="000000" w:themeColor="text1"/>
          <w:sz w:val="20"/>
          <w:szCs w:val="20"/>
          <w14:textFill>
            <w14:solidFill>
              <w14:schemeClr w14:val="tx1"/>
            </w14:solidFill>
          </w14:textFill>
        </w:rPr>
        <w:t>按照理财产品说明书的约定，管理、运用和处分理财资金。</w:t>
      </w:r>
    </w:p>
    <w:p w14:paraId="7C6F37E9">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代表理财产品签订投资和资产管理过程中涉及到的协议、合同等文本。</w:t>
      </w:r>
    </w:p>
    <w:p w14:paraId="41710939">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以理财产品投资管理人的名义，依照法律法规相关规定以及为理财产品投资者的利益，对被投资的信托计划、资管计划、各类基金（含公募基金和私募基金）、公司/企业等各类投资对象行使出资人/投资者权利（包括但不限于表决投票的权利）以及行使因理财产品财产投资于证券类基础资产（含债券、股票等）或其他基础资产（包括但不限于债权类资产）所产生的相关权利。</w:t>
      </w:r>
    </w:p>
    <w:p w14:paraId="04D5239D">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b/>
          <w:color w:val="000000" w:themeColor="text1"/>
          <w:sz w:val="20"/>
          <w:szCs w:val="20"/>
          <w14:textFill>
            <w14:solidFill>
              <w14:schemeClr w14:val="tx1"/>
            </w14:solidFill>
          </w14:textFill>
        </w:rPr>
        <w:t>以理财产品投资管理人的名义，依照法律法规相关规定以及代表理财产品投资者的利益行使代为追索的权利（包括但不限于提起诉讼/仲裁、申请保全/执行的权利）或者实施风险处置，行使、放弃、变更相关权利义务等其他法律行为，产生的合理费用由理财产品承担。</w:t>
      </w:r>
    </w:p>
    <w:p w14:paraId="7C25CB3F">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按照理财产品说明书的约定，及时、足额获得投资管理费和本产品说明书约定的其他费用（如有）。</w:t>
      </w:r>
    </w:p>
    <w:p w14:paraId="13EE2C65">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管理人以其固有财产先行垫付因处理本理财产品相关事务所支出的费用及税费的，对理财产品资金享有优先受偿的权利。</w:t>
      </w:r>
    </w:p>
    <w:p w14:paraId="2FBCCA17">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管理人有权按照法律规定和监管机构的要求将投资者的信息向有权部门或相关机构披露。</w:t>
      </w:r>
    </w:p>
    <w:p w14:paraId="6C415633">
      <w:pPr>
        <w:spacing w:line="300" w:lineRule="exact"/>
        <w:ind w:left="-2" w:leftChars="-1" w:right="36" w:rightChars="15" w:firstLine="400" w:firstLineChars="200"/>
        <w:rPr>
          <w:rFonts w:ascii="楷体_GB2312" w:eastAsia="楷体_GB2312"/>
          <w:color w:val="000000" w:themeColor="text1"/>
          <w:sz w:val="20"/>
          <w:szCs w:val="20"/>
          <w14:textFill>
            <w14:solidFill>
              <w14:schemeClr w14:val="tx1"/>
            </w14:solidFill>
          </w14:textFill>
        </w:rPr>
      </w:pPr>
    </w:p>
    <w:p w14:paraId="47754B27">
      <w:pPr>
        <w:spacing w:line="300" w:lineRule="exact"/>
        <w:ind w:left="-2" w:leftChars="-1" w:right="36" w:rightChars="15"/>
        <w:rPr>
          <w:rFonts w:ascii="黑体" w:hAnsi="Times New Roman" w:eastAsia="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四、理财</w:t>
      </w:r>
      <w:r>
        <w:rPr>
          <w:rFonts w:ascii="黑体" w:hAnsi="Times New Roman" w:eastAsia="黑体" w:cs="黑体"/>
          <w:color w:val="000000" w:themeColor="text1"/>
          <w:sz w:val="20"/>
          <w:szCs w:val="20"/>
          <w14:textFill>
            <w14:solidFill>
              <w14:schemeClr w14:val="tx1"/>
            </w14:solidFill>
          </w14:textFill>
        </w:rPr>
        <w:t>产品的认购、</w:t>
      </w:r>
      <w:r>
        <w:rPr>
          <w:rFonts w:hint="eastAsia" w:ascii="黑体" w:hAnsi="Times New Roman" w:eastAsia="黑体" w:cs="黑体"/>
          <w:color w:val="000000" w:themeColor="text1"/>
          <w:sz w:val="20"/>
          <w:szCs w:val="20"/>
          <w14:textFill>
            <w14:solidFill>
              <w14:schemeClr w14:val="tx1"/>
            </w14:solidFill>
          </w14:textFill>
        </w:rPr>
        <w:t>申购</w:t>
      </w:r>
    </w:p>
    <w:p w14:paraId="3EB38DC2">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．投资者</w:t>
      </w:r>
      <w:r>
        <w:rPr>
          <w:rFonts w:ascii="楷体_GB2312" w:eastAsia="楷体_GB2312" w:cs="楷体_GB2312"/>
          <w:color w:val="000000" w:themeColor="text1"/>
          <w:sz w:val="20"/>
          <w:szCs w:val="20"/>
          <w14:textFill>
            <w14:solidFill>
              <w14:schemeClr w14:val="tx1"/>
            </w14:solidFill>
          </w14:textFill>
        </w:rPr>
        <w:t>可在</w:t>
      </w:r>
      <w:r>
        <w:rPr>
          <w:rFonts w:hint="eastAsia" w:ascii="楷体_GB2312" w:eastAsia="楷体_GB2312" w:cs="楷体_GB2312"/>
          <w:color w:val="000000" w:themeColor="text1"/>
          <w:sz w:val="20"/>
          <w:szCs w:val="20"/>
          <w14:textFill>
            <w14:solidFill>
              <w14:schemeClr w14:val="tx1"/>
            </w14:solidFill>
          </w14:textFill>
        </w:rPr>
        <w:t>本产品募集期内</w:t>
      </w:r>
      <w:r>
        <w:rPr>
          <w:rFonts w:ascii="楷体_GB2312" w:eastAsia="楷体_GB2312" w:cs="楷体_GB2312"/>
          <w:color w:val="000000" w:themeColor="text1"/>
          <w:sz w:val="20"/>
          <w:szCs w:val="20"/>
          <w14:textFill>
            <w14:solidFill>
              <w14:schemeClr w14:val="tx1"/>
            </w14:solidFill>
          </w14:textFill>
        </w:rPr>
        <w:t>进行认购</w:t>
      </w:r>
      <w:r>
        <w:rPr>
          <w:rFonts w:hint="eastAsia" w:ascii="楷体_GB2312" w:eastAsia="楷体_GB2312" w:cs="楷体_GB2312"/>
          <w:color w:val="000000" w:themeColor="text1"/>
          <w:sz w:val="20"/>
          <w:szCs w:val="20"/>
          <w14:textFill>
            <w14:solidFill>
              <w14:schemeClr w14:val="tx1"/>
            </w14:solidFill>
          </w14:textFill>
        </w:rPr>
        <w:t>。</w:t>
      </w:r>
    </w:p>
    <w:p w14:paraId="51E8CFA0">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本产品采取金额认购</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方式，认购份额</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人民币认购金额×（</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认购费率）</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元，认购份额按照四舍五入方法计算，保留小数点后【2】位，由此误差产生的损失由理财财产承担，产生的收益归理财财产所有。</w:t>
      </w:r>
    </w:p>
    <w:p w14:paraId="0665095A">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sz w:val="20"/>
          <w:szCs w:val="20"/>
        </w:rPr>
        <w:t>募集期结束后的第一个工作</w:t>
      </w:r>
      <w:r>
        <w:rPr>
          <w:rFonts w:ascii="楷体_GB2312" w:eastAsia="楷体_GB2312" w:cs="楷体_GB2312"/>
          <w:sz w:val="20"/>
          <w:szCs w:val="20"/>
        </w:rPr>
        <w:t>日</w:t>
      </w:r>
      <w:r>
        <w:rPr>
          <w:rFonts w:ascii="楷体_GB2312" w:eastAsia="楷体_GB2312" w:cs="楷体_GB2312"/>
          <w:color w:val="000000" w:themeColor="text1"/>
          <w:sz w:val="20"/>
          <w:szCs w:val="20"/>
          <w14:textFill>
            <w14:solidFill>
              <w14:schemeClr w14:val="tx1"/>
            </w14:solidFill>
          </w14:textFill>
        </w:rPr>
        <w:t>】为认购份额确认日，</w:t>
      </w:r>
      <w:r>
        <w:rPr>
          <w:rFonts w:hint="eastAsia" w:ascii="楷体_GB2312" w:eastAsia="楷体_GB2312" w:cs="楷体_GB2312"/>
          <w:color w:val="000000" w:themeColor="text1"/>
          <w:sz w:val="20"/>
          <w:szCs w:val="20"/>
          <w14:textFill>
            <w14:solidFill>
              <w14:schemeClr w14:val="tx1"/>
            </w14:solidFill>
          </w14:textFill>
        </w:rPr>
        <w:t>认购</w:t>
      </w:r>
      <w:r>
        <w:rPr>
          <w:rFonts w:ascii="楷体_GB2312" w:eastAsia="楷体_GB2312" w:cs="楷体_GB2312"/>
          <w:color w:val="000000" w:themeColor="text1"/>
          <w:sz w:val="20"/>
          <w:szCs w:val="20"/>
          <w14:textFill>
            <w14:solidFill>
              <w14:schemeClr w14:val="tx1"/>
            </w14:solidFill>
          </w14:textFill>
        </w:rPr>
        <w:t>份额确认日后投资者可向</w:t>
      </w:r>
      <w:r>
        <w:rPr>
          <w:rFonts w:hint="eastAsia" w:ascii="楷体_GB2312" w:eastAsia="楷体_GB2312" w:cs="楷体_GB2312"/>
          <w:color w:val="000000" w:themeColor="text1"/>
          <w:sz w:val="20"/>
          <w:szCs w:val="20"/>
          <w14:textFill>
            <w14:solidFill>
              <w14:schemeClr w14:val="tx1"/>
            </w14:solidFill>
          </w14:textFill>
        </w:rPr>
        <w:t>销售机构</w:t>
      </w:r>
      <w:r>
        <w:rPr>
          <w:rFonts w:ascii="楷体_GB2312" w:eastAsia="楷体_GB2312" w:cs="楷体_GB2312"/>
          <w:color w:val="000000" w:themeColor="text1"/>
          <w:sz w:val="20"/>
          <w:szCs w:val="20"/>
          <w14:textFill>
            <w14:solidFill>
              <w14:schemeClr w14:val="tx1"/>
            </w14:solidFill>
          </w14:textFill>
        </w:rPr>
        <w:t>查询认购是否成功。</w:t>
      </w:r>
    </w:p>
    <w:p w14:paraId="1667A7ED">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．投资者可在本产品开放日的交易时间内进行</w:t>
      </w:r>
      <w:r>
        <w:rPr>
          <w:rFonts w:ascii="楷体_GB2312" w:eastAsia="楷体_GB2312" w:cs="楷体_GB2312"/>
          <w:color w:val="000000" w:themeColor="text1"/>
          <w:sz w:val="20"/>
          <w:szCs w:val="20"/>
          <w14:textFill>
            <w14:solidFill>
              <w14:schemeClr w14:val="tx1"/>
            </w14:solidFill>
          </w14:textFill>
        </w:rPr>
        <w:t>申购，</w:t>
      </w:r>
      <w:r>
        <w:rPr>
          <w:rFonts w:hint="eastAsia" w:ascii="楷体_GB2312" w:eastAsia="楷体_GB2312" w:cs="楷体_GB2312"/>
          <w:sz w:val="20"/>
          <w:szCs w:val="20"/>
        </w:rPr>
        <w:t>同时可在开放日的交易时间内对提交的申购申请进行撤销，开放日是否可以撤单以及撤单规则，如合作销售机构</w:t>
      </w:r>
      <w:r>
        <w:rPr>
          <w:rFonts w:ascii="楷体_GB2312" w:eastAsia="楷体_GB2312" w:cs="楷体_GB2312"/>
          <w:sz w:val="20"/>
          <w:szCs w:val="20"/>
        </w:rPr>
        <w:t>/代销机构另有规定的，以合作销售机构/代销机构为准</w:t>
      </w:r>
      <w:r>
        <w:rPr>
          <w:rFonts w:hint="eastAsia" w:ascii="楷体_GB2312" w:eastAsia="楷体_GB2312" w:cs="楷体_GB2312"/>
          <w:color w:val="000000" w:themeColor="text1"/>
          <w:sz w:val="20"/>
          <w:szCs w:val="20"/>
          <w14:textFill>
            <w14:solidFill>
              <w14:schemeClr w14:val="tx1"/>
            </w14:solidFill>
          </w14:textFill>
        </w:rPr>
        <w:t>。非交易时间提交的申购申请将于下一个申购开放日正式受理，</w:t>
      </w:r>
      <w:r>
        <w:rPr>
          <w:rFonts w:ascii="楷体_GB2312" w:eastAsia="楷体_GB2312" w:cs="楷体_GB2312"/>
          <w:color w:val="000000" w:themeColor="text1"/>
          <w:sz w:val="20"/>
          <w:szCs w:val="20"/>
          <w14:textFill>
            <w14:solidFill>
              <w14:schemeClr w14:val="tx1"/>
            </w14:solidFill>
          </w14:textFill>
        </w:rPr>
        <w:t>代销机构</w:t>
      </w:r>
      <w:r>
        <w:rPr>
          <w:rFonts w:hint="eastAsia" w:ascii="楷体_GB2312" w:eastAsia="楷体_GB2312" w:cs="楷体_GB2312"/>
          <w:color w:val="000000" w:themeColor="text1"/>
          <w:sz w:val="20"/>
          <w:szCs w:val="20"/>
          <w14:textFill>
            <w14:solidFill>
              <w14:schemeClr w14:val="tx1"/>
            </w14:solidFill>
          </w14:textFill>
        </w:rPr>
        <w:t>有</w:t>
      </w:r>
      <w:r>
        <w:rPr>
          <w:rFonts w:ascii="楷体_GB2312" w:eastAsia="楷体_GB2312" w:cs="楷体_GB2312"/>
          <w:color w:val="000000" w:themeColor="text1"/>
          <w:sz w:val="20"/>
          <w:szCs w:val="20"/>
          <w14:textFill>
            <w14:solidFill>
              <w14:schemeClr w14:val="tx1"/>
            </w14:solidFill>
          </w14:textFill>
        </w:rPr>
        <w:t>另行规定的，以代销机构的规定为准</w:t>
      </w:r>
      <w:r>
        <w:rPr>
          <w:rFonts w:hint="eastAsia" w:ascii="楷体_GB2312" w:eastAsia="楷体_GB2312" w:cs="楷体_GB2312"/>
          <w:color w:val="000000" w:themeColor="text1"/>
          <w:sz w:val="20"/>
          <w:szCs w:val="20"/>
          <w14:textFill>
            <w14:solidFill>
              <w14:schemeClr w14:val="tx1"/>
            </w14:solidFill>
          </w14:textFill>
        </w:rPr>
        <w:t>。本产品按金额申购，按【申购开放</w:t>
      </w:r>
      <w:r>
        <w:rPr>
          <w:rFonts w:ascii="楷体_GB2312" w:eastAsia="楷体_GB2312" w:cs="楷体_GB2312"/>
          <w:color w:val="000000" w:themeColor="text1"/>
          <w:sz w:val="20"/>
          <w:szCs w:val="20"/>
          <w14:textFill>
            <w14:solidFill>
              <w14:schemeClr w14:val="tx1"/>
            </w14:solidFill>
          </w14:textFill>
        </w:rPr>
        <w:t>日</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单位净值计算申购份额，即申购份额＝申购金额×（</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申购费率）</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【申购开放</w:t>
      </w:r>
      <w:r>
        <w:rPr>
          <w:rFonts w:ascii="楷体_GB2312" w:eastAsia="楷体_GB2312" w:cs="楷体_GB2312"/>
          <w:color w:val="000000" w:themeColor="text1"/>
          <w:sz w:val="20"/>
          <w:szCs w:val="20"/>
          <w14:textFill>
            <w14:solidFill>
              <w14:schemeClr w14:val="tx1"/>
            </w14:solidFill>
          </w14:textFill>
        </w:rPr>
        <w:t>日</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单位净值（申购份额按照四舍五入方法计算，保留小数点后【2】位，由此误差产生的损失由理财财产承担，产生的收益归理财财产所有）。</w:t>
      </w:r>
    </w:p>
    <w:p w14:paraId="6D8D77E0">
      <w:pPr>
        <w:spacing w:line="300" w:lineRule="exact"/>
        <w:ind w:firstLine="400" w:firstLineChars="200"/>
        <w:jc w:val="both"/>
        <w:rPr>
          <w:rFonts w:ascii="楷体_GB2312" w:eastAsia="楷体_GB2312" w:cs="楷体_GB2312"/>
          <w:color w:val="000000" w:themeColor="text1"/>
          <w:sz w:val="20"/>
          <w:szCs w:val="20"/>
          <w:u w:val="single"/>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例如，【</w:t>
      </w:r>
      <w:r>
        <w:rPr>
          <w:rFonts w:hint="eastAsia" w:ascii="楷体_GB2312" w:eastAsia="楷体_GB2312" w:cs="楷体_GB2312"/>
          <w:sz w:val="20"/>
          <w:szCs w:val="20"/>
        </w:rPr>
        <w:t>某开放日投资者以</w:t>
      </w:r>
      <w:r>
        <w:rPr>
          <w:rFonts w:ascii="楷体_GB2312" w:eastAsia="楷体_GB2312" w:cs="楷体_GB2312"/>
          <w:sz w:val="20"/>
          <w:szCs w:val="20"/>
        </w:rPr>
        <w:t>500万元申购本产品份额，申购费率为0%，开放日单位净值为1.010，则投资者获得的申购份额=5,000,000×（1-0%）/1.010=4,950,495.05份</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w:t>
      </w:r>
    </w:p>
    <w:p w14:paraId="4E9F2ED6">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上述示例采用假设数据计算，并不代表投资者实际可获得的份额。）</w:t>
      </w:r>
    </w:p>
    <w:p w14:paraId="739E3978">
      <w:pPr>
        <w:spacing w:line="300" w:lineRule="exact"/>
        <w:ind w:firstLine="400" w:firstLineChars="200"/>
        <w:jc w:val="both"/>
        <w:rPr>
          <w:rFonts w:ascii="楷体_GB2312" w:eastAsia="楷体_GB2312" w:cs="楷体_GB2312"/>
          <w:sz w:val="20"/>
          <w:szCs w:val="20"/>
        </w:rPr>
      </w:pPr>
      <w:r>
        <w:rPr>
          <w:rFonts w:ascii="楷体_GB2312" w:eastAsia="楷体_GB2312" w:cs="楷体_GB2312"/>
          <w:color w:val="000000" w:themeColor="text1"/>
          <w:sz w:val="20"/>
          <w:szCs w:val="20"/>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sz w:val="20"/>
          <w:szCs w:val="20"/>
        </w:rPr>
        <w:t>【申购申请正式受理的开放日后第一个工作日】即为申购份额确认日，投资者可在申购</w:t>
      </w:r>
      <w:r>
        <w:rPr>
          <w:rFonts w:ascii="楷体_GB2312" w:eastAsia="楷体_GB2312" w:cs="楷体_GB2312"/>
          <w:sz w:val="20"/>
          <w:szCs w:val="20"/>
        </w:rPr>
        <w:t>份额</w:t>
      </w:r>
      <w:r>
        <w:rPr>
          <w:rFonts w:hint="eastAsia" w:ascii="楷体_GB2312" w:eastAsia="楷体_GB2312" w:cs="楷体_GB2312"/>
          <w:sz w:val="20"/>
          <w:szCs w:val="20"/>
        </w:rPr>
        <w:t>确认日后向销售机构查询申购是否成功。当日交易</w:t>
      </w:r>
      <w:r>
        <w:rPr>
          <w:rFonts w:ascii="楷体_GB2312" w:eastAsia="楷体_GB2312" w:cs="楷体_GB2312"/>
          <w:sz w:val="20"/>
          <w:szCs w:val="20"/>
        </w:rPr>
        <w:t>时间内提交且</w:t>
      </w:r>
      <w:r>
        <w:rPr>
          <w:rFonts w:hint="eastAsia" w:ascii="楷体_GB2312" w:eastAsia="楷体_GB2312" w:cs="楷体_GB2312"/>
          <w:sz w:val="20"/>
          <w:szCs w:val="20"/>
        </w:rPr>
        <w:t>有效</w:t>
      </w:r>
      <w:r>
        <w:rPr>
          <w:rFonts w:ascii="楷体_GB2312" w:eastAsia="楷体_GB2312" w:cs="楷体_GB2312"/>
          <w:sz w:val="20"/>
          <w:szCs w:val="20"/>
        </w:rPr>
        <w:t>的</w:t>
      </w:r>
      <w:r>
        <w:rPr>
          <w:rFonts w:hint="eastAsia" w:ascii="楷体_GB2312" w:eastAsia="楷体_GB2312" w:cs="楷体_GB2312"/>
          <w:sz w:val="20"/>
          <w:szCs w:val="20"/>
        </w:rPr>
        <w:t>申购申请对应的份额自下一个工作日起享有分配权。</w:t>
      </w:r>
    </w:p>
    <w:p w14:paraId="1F56A9B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6．</w:t>
      </w:r>
      <w:r>
        <w:rPr>
          <w:rFonts w:hint="eastAsia" w:ascii="楷体_GB2312" w:eastAsia="楷体_GB2312" w:cs="楷体_GB2312"/>
          <w:color w:val="000000" w:themeColor="text1"/>
          <w:sz w:val="20"/>
          <w:szCs w:val="20"/>
          <w14:textFill>
            <w14:solidFill>
              <w14:schemeClr w14:val="tx1"/>
            </w14:solidFill>
          </w14:textFill>
        </w:rPr>
        <w:t>投资者通过代销机构购买理财产品的，代销机构受理认购申请并不表示对该申请成功的确认，而仅代表收到了认购申请，申请是否成功应以管理人的最终确认为准。管理人会将确认结果及时反馈给代销机构，投资者应及时按照本产品说明书的约定查询认购申请及认购份额的确认情况。</w:t>
      </w:r>
    </w:p>
    <w:p w14:paraId="55A7B8C9">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7</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投资者通过代销机构购买理财产品的，代销机构受理申购申请并不表示对该申请成功的确认，而仅代表收到了申购申请，申请是否成功应以管理人的最终确认为准。管理人会将确认结果及时反馈给代销机构，投资者应及时按照本产品说明书的约定查询申购确认结果。</w:t>
      </w:r>
    </w:p>
    <w:p w14:paraId="72346392">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8</w:t>
      </w:r>
      <w:r>
        <w:rPr>
          <w:rFonts w:hint="eastAsia" w:ascii="楷体_GB2312" w:eastAsia="楷体_GB2312" w:cs="楷体_GB2312"/>
          <w:color w:val="000000" w:themeColor="text1"/>
          <w:sz w:val="20"/>
          <w:szCs w:val="20"/>
          <w14:textFill>
            <w14:solidFill>
              <w14:schemeClr w14:val="tx1"/>
            </w14:solidFill>
          </w14:textFill>
        </w:rPr>
        <w:t>．管理人保留不接受认、申购申请的权利。</w:t>
      </w:r>
    </w:p>
    <w:p w14:paraId="333EA672">
      <w:pPr>
        <w:spacing w:line="300" w:lineRule="exact"/>
        <w:ind w:left="-2" w:leftChars="-1" w:right="36" w:rightChars="15" w:firstLine="400" w:firstLineChars="200"/>
        <w:rPr>
          <w:rFonts w:ascii="楷体_GB2312" w:eastAsia="楷体_GB2312" w:cs="楷体_GB2312"/>
          <w:color w:val="000000" w:themeColor="text1"/>
          <w:sz w:val="20"/>
          <w:szCs w:val="20"/>
          <w14:textFill>
            <w14:solidFill>
              <w14:schemeClr w14:val="tx1"/>
            </w14:solidFill>
          </w14:textFill>
        </w:rPr>
      </w:pPr>
    </w:p>
    <w:p w14:paraId="081B6BBC">
      <w:pPr>
        <w:spacing w:line="300" w:lineRule="exact"/>
        <w:ind w:left="-2" w:leftChars="-1" w:right="36" w:rightChars="15"/>
        <w:jc w:val="both"/>
        <w:rPr>
          <w:color w:val="000000" w:themeColor="text1"/>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五、理财产品的赎回</w:t>
      </w:r>
    </w:p>
    <w:p w14:paraId="2075BA95">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．本产品按份额赎回，</w:t>
      </w:r>
      <w:r>
        <w:rPr>
          <w:rFonts w:ascii="楷体_GB2312" w:eastAsia="楷体_GB2312" w:cs="楷体_GB2312"/>
          <w:color w:val="000000" w:themeColor="text1"/>
          <w:sz w:val="20"/>
          <w:szCs w:val="20"/>
          <w14:textFill>
            <w14:solidFill>
              <w14:schemeClr w14:val="tx1"/>
            </w14:solidFill>
          </w14:textFill>
        </w:rPr>
        <w:t>B类份额单次最低赎回份额为【0.01】份，G类份额单次最低赎回份额为【0.01】份，H类份额单次最低赎回份额为【0.01】份</w:t>
      </w:r>
      <w:r>
        <w:rPr>
          <w:rFonts w:hint="eastAsia" w:ascii="楷体_GB2312" w:eastAsia="楷体_GB2312" w:cs="楷体_GB2312"/>
          <w:color w:val="000000" w:themeColor="text1"/>
          <w:sz w:val="20"/>
          <w:szCs w:val="20"/>
          <w14:textFill>
            <w14:solidFill>
              <w14:schemeClr w14:val="tx1"/>
            </w14:solidFill>
          </w14:textFill>
        </w:rPr>
        <w:t>。</w:t>
      </w:r>
    </w:p>
    <w:p w14:paraId="24EAD54E">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 xml:space="preserve">. </w:t>
      </w:r>
      <w:r>
        <w:rPr>
          <w:rFonts w:ascii="楷体_GB2312" w:eastAsia="楷体_GB2312" w:cs="楷体_GB2312"/>
          <w:color w:val="000000" w:themeColor="text1"/>
          <w:sz w:val="20"/>
          <w:szCs w:val="20"/>
          <w14:textFill>
            <w14:solidFill>
              <w14:schemeClr w14:val="tx1"/>
            </w14:solidFill>
          </w14:textFill>
        </w:rPr>
        <w:t>投资者可</w:t>
      </w:r>
      <w:r>
        <w:rPr>
          <w:rFonts w:hint="eastAsia" w:ascii="楷体_GB2312" w:eastAsia="楷体_GB2312" w:cs="楷体_GB2312"/>
          <w:color w:val="000000" w:themeColor="text1"/>
          <w:sz w:val="20"/>
          <w:szCs w:val="20"/>
          <w14:textFill>
            <w14:solidFill>
              <w14:schemeClr w14:val="tx1"/>
            </w14:solidFill>
          </w14:textFill>
        </w:rPr>
        <w:t>在</w:t>
      </w:r>
      <w:r>
        <w:rPr>
          <w:rFonts w:ascii="楷体_GB2312" w:eastAsia="楷体_GB2312" w:cs="楷体_GB2312"/>
          <w:color w:val="000000" w:themeColor="text1"/>
          <w:sz w:val="20"/>
          <w:szCs w:val="20"/>
          <w14:textFill>
            <w14:solidFill>
              <w14:schemeClr w14:val="tx1"/>
            </w14:solidFill>
          </w14:textFill>
        </w:rPr>
        <w:t>本产品开放日的</w:t>
      </w:r>
      <w:r>
        <w:rPr>
          <w:rFonts w:hint="eastAsia" w:ascii="楷体_GB2312" w:eastAsia="楷体_GB2312" w:cs="楷体_GB2312"/>
          <w:color w:val="000000" w:themeColor="text1"/>
          <w:sz w:val="20"/>
          <w:szCs w:val="20"/>
          <w14:textFill>
            <w14:solidFill>
              <w14:schemeClr w14:val="tx1"/>
            </w14:solidFill>
          </w14:textFill>
        </w:rPr>
        <w:t>交易</w:t>
      </w:r>
      <w:r>
        <w:rPr>
          <w:rFonts w:ascii="楷体_GB2312" w:eastAsia="楷体_GB2312" w:cs="楷体_GB2312"/>
          <w:color w:val="000000" w:themeColor="text1"/>
          <w:sz w:val="20"/>
          <w:szCs w:val="20"/>
          <w14:textFill>
            <w14:solidFill>
              <w14:schemeClr w14:val="tx1"/>
            </w14:solidFill>
          </w14:textFill>
        </w:rPr>
        <w:t>时间内</w:t>
      </w:r>
      <w:r>
        <w:rPr>
          <w:rFonts w:hint="eastAsia" w:ascii="楷体_GB2312" w:eastAsia="楷体_GB2312" w:cs="楷体_GB2312"/>
          <w:color w:val="000000" w:themeColor="text1"/>
          <w:sz w:val="20"/>
          <w:szCs w:val="20"/>
          <w14:textFill>
            <w14:solidFill>
              <w14:schemeClr w14:val="tx1"/>
            </w14:solidFill>
          </w14:textFill>
        </w:rPr>
        <w:t>申请</w:t>
      </w:r>
      <w:r>
        <w:rPr>
          <w:rFonts w:ascii="楷体_GB2312" w:eastAsia="楷体_GB2312" w:cs="楷体_GB2312"/>
          <w:color w:val="000000" w:themeColor="text1"/>
          <w:sz w:val="20"/>
          <w:szCs w:val="20"/>
          <w14:textFill>
            <w14:solidFill>
              <w14:schemeClr w14:val="tx1"/>
            </w14:solidFill>
          </w14:textFill>
        </w:rPr>
        <w:t>赎回（</w:t>
      </w:r>
      <w:r>
        <w:rPr>
          <w:rFonts w:hint="eastAsia" w:ascii="楷体_GB2312" w:eastAsia="楷体_GB2312" w:cs="楷体_GB2312"/>
          <w:color w:val="000000" w:themeColor="text1"/>
          <w:sz w:val="20"/>
          <w:szCs w:val="20"/>
          <w14:textFill>
            <w14:solidFill>
              <w14:schemeClr w14:val="tx1"/>
            </w14:solidFill>
          </w14:textFill>
        </w:rPr>
        <w:t>设置最短持有期的产品份额，须在超过最短持有期后</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，同时可在开放日的交易时间内对提交的赎回申请进行撤销，开放日是否可以撤单以及撤单规则，如合作销售机构</w:t>
      </w:r>
      <w:r>
        <w:rPr>
          <w:rFonts w:ascii="楷体_GB2312" w:eastAsia="楷体_GB2312" w:cs="楷体_GB2312"/>
          <w:color w:val="000000" w:themeColor="text1"/>
          <w:sz w:val="20"/>
          <w:szCs w:val="20"/>
          <w14:textFill>
            <w14:solidFill>
              <w14:schemeClr w14:val="tx1"/>
            </w14:solidFill>
          </w14:textFill>
        </w:rPr>
        <w:t>/代销机构另有规定的，以合作销售机构/代销机构为准。</w:t>
      </w:r>
    </w:p>
    <w:p w14:paraId="168DB19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．投资者在进行份额赎回时，</w:t>
      </w:r>
    </w:p>
    <w:p w14:paraId="318C8E08">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赎回金额</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赎回份额×【</w:t>
      </w:r>
      <w:r>
        <w:rPr>
          <w:rFonts w:hint="eastAsia" w:ascii="楷体_GB2312" w:eastAsia="楷体_GB2312" w:cs="楷体_GB2312"/>
          <w:sz w:val="20"/>
          <w:szCs w:val="20"/>
        </w:rPr>
        <w:t>赎回开放</w:t>
      </w:r>
      <w:r>
        <w:rPr>
          <w:rFonts w:hint="eastAsia" w:ascii="楷体_GB2312" w:eastAsia="楷体_GB2312" w:cs="楷体_GB2312"/>
          <w:color w:val="000000" w:themeColor="text1"/>
          <w:sz w:val="20"/>
          <w:szCs w:val="20"/>
          <w14:textFill>
            <w14:solidFill>
              <w14:schemeClr w14:val="tx1"/>
            </w14:solidFill>
          </w14:textFill>
        </w:rPr>
        <w:t>日】</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单位净值×（</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赎回费率）-</w:t>
      </w:r>
      <w:r>
        <w:rPr>
          <w:rFonts w:ascii="楷体_GB2312" w:eastAsia="楷体_GB2312" w:cs="楷体_GB2312"/>
          <w:color w:val="000000" w:themeColor="text1"/>
          <w:sz w:val="20"/>
          <w:szCs w:val="20"/>
          <w14:textFill>
            <w14:solidFill>
              <w14:schemeClr w14:val="tx1"/>
            </w14:solidFill>
          </w14:textFill>
        </w:rPr>
        <w:t>应付浮动管理费（</w:t>
      </w:r>
      <w:r>
        <w:rPr>
          <w:rFonts w:hint="eastAsia" w:ascii="楷体_GB2312" w:eastAsia="楷体_GB2312" w:cs="楷体_GB2312"/>
          <w:color w:val="000000" w:themeColor="text1"/>
          <w:sz w:val="20"/>
          <w:szCs w:val="20"/>
          <w14:textFill>
            <w14:solidFill>
              <w14:schemeClr w14:val="tx1"/>
            </w14:solidFill>
          </w14:textFill>
        </w:rPr>
        <w:t>如有</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w:t>
      </w:r>
    </w:p>
    <w:p w14:paraId="2B576056">
      <w:pPr>
        <w:spacing w:line="300" w:lineRule="exact"/>
        <w:ind w:firstLine="400" w:firstLineChars="200"/>
        <w:jc w:val="both"/>
        <w:rPr>
          <w:rFonts w:ascii="楷体_GB2312" w:eastAsia="楷体_GB2312"/>
          <w:sz w:val="20"/>
          <w:szCs w:val="20"/>
        </w:rPr>
      </w:pPr>
      <w:r>
        <w:rPr>
          <w:rFonts w:hint="eastAsia" w:ascii="楷体_GB2312" w:eastAsia="楷体_GB2312" w:cs="楷体_GB2312"/>
          <w:color w:val="000000" w:themeColor="text1"/>
          <w:sz w:val="20"/>
          <w:szCs w:val="20"/>
          <w14:textFill>
            <w14:solidFill>
              <w14:schemeClr w14:val="tx1"/>
            </w14:solidFill>
          </w14:textFill>
        </w:rPr>
        <w:t>赎回金额按照四舍五入原则保留至小数点后【2】位，由此误差产生的损失由理财财产承担，产生的收益归理财财产所有。</w:t>
      </w:r>
      <w:r>
        <w:rPr>
          <w:rFonts w:hint="eastAsia" w:ascii="楷体_GB2312" w:eastAsia="楷体_GB2312" w:cs="楷体_GB2312"/>
          <w:sz w:val="20"/>
          <w:szCs w:val="20"/>
        </w:rPr>
        <w:t>当理财产品份额全部被赎回时，为保证投资者利益，管理人有权调整单位净值小数点取位规则。</w:t>
      </w:r>
    </w:p>
    <w:p w14:paraId="47BC8914">
      <w:pPr>
        <w:spacing w:line="300" w:lineRule="exact"/>
        <w:ind w:right="36" w:rightChars="15"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例如，【某开放日T日投资者成功申购本产品500万份，于T+1日确认申购，之后于开放日T+3日成功申购本产品200万份，于T+4日确认申购，根据赎回规则，投资者可于T+91（含）之后的每个工作日对T日申购的500万份产品发起赎回，T+94日（含）之后的每个工作日对T+3日申购的200万份产品发起赎回。某开放日投资者成功赎回所持有500万份本产品份额，该开放日本产品单位净值为1.1000，赎回费率为0%，则投资者获得的赎回金额=5,000,000.00×1.1000=5,500,000.00元】。</w:t>
      </w:r>
    </w:p>
    <w:p w14:paraId="582281B0">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 xml:space="preserve"> (</w:t>
      </w:r>
      <w:r>
        <w:rPr>
          <w:rFonts w:hint="eastAsia" w:ascii="楷体_GB2312" w:eastAsia="楷体_GB2312" w:cs="楷体_GB2312"/>
          <w:color w:val="000000" w:themeColor="text1"/>
          <w:sz w:val="20"/>
          <w:szCs w:val="20"/>
          <w14:textFill>
            <w14:solidFill>
              <w14:schemeClr w14:val="tx1"/>
            </w14:solidFill>
          </w14:textFill>
        </w:rPr>
        <w:t>上述示例采用假设数据计算，并不代表投资者实际可获得的赎回金额。）</w:t>
      </w:r>
    </w:p>
    <w:p w14:paraId="534E2AC5">
      <w:pPr>
        <w:spacing w:line="300" w:lineRule="exact"/>
        <w:ind w:firstLine="400" w:firstLineChars="200"/>
        <w:jc w:val="both"/>
        <w:rPr>
          <w:rFonts w:ascii="楷体_GB2312" w:eastAsia="楷体_GB2312" w:cs="楷体_GB2312"/>
          <w:sz w:val="20"/>
          <w:szCs w:val="20"/>
        </w:rPr>
      </w:pPr>
      <w:r>
        <w:rPr>
          <w:rFonts w:hint="eastAsia" w:ascii="楷体_GB2312" w:eastAsia="楷体_GB2312"/>
          <w:color w:val="000000" w:themeColor="text1"/>
          <w:sz w:val="20"/>
          <w:szCs w:val="20"/>
          <w14:textFill>
            <w14:solidFill>
              <w14:schemeClr w14:val="tx1"/>
            </w14:solidFill>
          </w14:textFill>
        </w:rPr>
        <w:t>4</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sz w:val="20"/>
          <w:szCs w:val="20"/>
        </w:rPr>
        <w:t>【赎回申请正式受理的开放日后第一个工作日】即为赎回确认日，赎回份额确认日后投资者可向销售机构查询赎回是否成功。管理人</w:t>
      </w:r>
      <w:r>
        <w:rPr>
          <w:rFonts w:ascii="楷体_GB2312" w:eastAsia="楷体_GB2312"/>
          <w:sz w:val="20"/>
          <w:szCs w:val="20"/>
        </w:rPr>
        <w:t>按照“</w:t>
      </w:r>
      <w:r>
        <w:rPr>
          <w:rFonts w:hint="eastAsia" w:ascii="楷体_GB2312" w:eastAsia="楷体_GB2312"/>
          <w:sz w:val="20"/>
          <w:szCs w:val="20"/>
        </w:rPr>
        <w:t>先进</w:t>
      </w:r>
      <w:r>
        <w:rPr>
          <w:rFonts w:ascii="楷体_GB2312" w:eastAsia="楷体_GB2312"/>
          <w:sz w:val="20"/>
          <w:szCs w:val="20"/>
        </w:rPr>
        <w:t>先出”</w:t>
      </w:r>
      <w:r>
        <w:rPr>
          <w:rFonts w:hint="eastAsia" w:ascii="楷体_GB2312" w:eastAsia="楷体_GB2312"/>
          <w:sz w:val="20"/>
          <w:szCs w:val="20"/>
        </w:rPr>
        <w:t>的</w:t>
      </w:r>
      <w:r>
        <w:rPr>
          <w:rFonts w:ascii="楷体_GB2312" w:eastAsia="楷体_GB2312"/>
          <w:sz w:val="20"/>
          <w:szCs w:val="20"/>
        </w:rPr>
        <w:t>原则处理投资者持有份额的赎回，</w:t>
      </w:r>
      <w:r>
        <w:rPr>
          <w:rFonts w:hint="eastAsia" w:ascii="楷体_GB2312" w:eastAsia="楷体_GB2312"/>
          <w:sz w:val="20"/>
          <w:szCs w:val="20"/>
        </w:rPr>
        <w:t>即</w:t>
      </w:r>
      <w:r>
        <w:rPr>
          <w:rFonts w:ascii="楷体_GB2312" w:eastAsia="楷体_GB2312"/>
          <w:sz w:val="20"/>
          <w:szCs w:val="20"/>
        </w:rPr>
        <w:t>份额</w:t>
      </w:r>
      <w:r>
        <w:rPr>
          <w:rFonts w:hint="eastAsia" w:ascii="楷体_GB2312" w:eastAsia="楷体_GB2312"/>
          <w:sz w:val="20"/>
          <w:szCs w:val="20"/>
        </w:rPr>
        <w:t>注册</w:t>
      </w:r>
      <w:r>
        <w:rPr>
          <w:rFonts w:ascii="楷体_GB2312" w:eastAsia="楷体_GB2312"/>
          <w:sz w:val="20"/>
          <w:szCs w:val="20"/>
        </w:rPr>
        <w:t>日期在前的份额先赎回，份额注册日期在后的份额后赎回。</w:t>
      </w:r>
    </w:p>
    <w:p w14:paraId="1077A446">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5</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投资者</w:t>
      </w:r>
      <w:r>
        <w:rPr>
          <w:rFonts w:ascii="楷体_GB2312" w:eastAsia="楷体_GB2312" w:cs="楷体_GB2312"/>
          <w:color w:val="000000" w:themeColor="text1"/>
          <w:sz w:val="20"/>
          <w:szCs w:val="20"/>
          <w14:textFill>
            <w14:solidFill>
              <w14:schemeClr w14:val="tx1"/>
            </w14:solidFill>
          </w14:textFill>
        </w:rPr>
        <w:t>通过代销机构购买理财产品的，</w:t>
      </w:r>
      <w:r>
        <w:rPr>
          <w:rFonts w:hint="eastAsia" w:ascii="楷体_GB2312" w:eastAsia="楷体_GB2312" w:cs="楷体_GB2312"/>
          <w:color w:val="000000" w:themeColor="text1"/>
          <w:sz w:val="20"/>
          <w:szCs w:val="20"/>
          <w14:textFill>
            <w14:solidFill>
              <w14:schemeClr w14:val="tx1"/>
            </w14:solidFill>
          </w14:textFill>
        </w:rPr>
        <w:t>代销机构受理赎回申请并不表示对该申请成功的确认，而仅代表收到了赎回申请，申请是否成功应以管理人的最终确认为准。具体而言，如管理人在赎回确认日根据投资者的赎回确认</w:t>
      </w:r>
      <w:r>
        <w:rPr>
          <w:rFonts w:ascii="楷体_GB2312" w:eastAsia="楷体_GB2312" w:cs="楷体_GB2312"/>
          <w:color w:val="000000" w:themeColor="text1"/>
          <w:sz w:val="20"/>
          <w:szCs w:val="20"/>
          <w14:textFill>
            <w14:solidFill>
              <w14:schemeClr w14:val="tx1"/>
            </w14:solidFill>
          </w14:textFill>
        </w:rPr>
        <w:t>结果为</w:t>
      </w:r>
      <w:r>
        <w:rPr>
          <w:rFonts w:hint="eastAsia" w:ascii="楷体_GB2312" w:eastAsia="楷体_GB2312" w:cs="楷体_GB2312"/>
          <w:color w:val="000000" w:themeColor="text1"/>
          <w:sz w:val="20"/>
          <w:szCs w:val="20"/>
          <w14:textFill>
            <w14:solidFill>
              <w14:schemeClr w14:val="tx1"/>
            </w14:solidFill>
          </w14:textFill>
        </w:rPr>
        <w:t>投资者成功注销赎回份额，则视为投资者的赎回申请成功，并以管理人的登记结果为准。管理人会将赎回确认结果及时反馈给代销机构，投资者应及时按照本产品说明书的约定查询赎回确认结果。</w:t>
      </w:r>
    </w:p>
    <w:p w14:paraId="491BA857">
      <w:pPr>
        <w:spacing w:line="300" w:lineRule="exact"/>
        <w:ind w:firstLine="428" w:firstLineChars="214"/>
        <w:jc w:val="both"/>
        <w:rPr>
          <w:color w:val="000000" w:themeColor="text1"/>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6</w:t>
      </w:r>
      <w:r>
        <w:rPr>
          <w:rFonts w:hint="eastAsia" w:ascii="楷体_GB2312" w:eastAsia="楷体_GB2312" w:cs="楷体_GB2312"/>
          <w:color w:val="000000" w:themeColor="text1"/>
          <w:sz w:val="20"/>
          <w:szCs w:val="20"/>
          <w14:textFill>
            <w14:solidFill>
              <w14:schemeClr w14:val="tx1"/>
            </w14:solidFill>
          </w14:textFill>
        </w:rPr>
        <w:t>．若投资者在开放日全额或部分赎回，管理人将在该开放日后【5】个工作日内支付赎回款项，开放日与资金到账日之间不计利息。若遇证券交易所或交易市场数据传输延迟、通讯系统故障、银行系统故障或其他非人为所能控制因素影响业务流程，则赎回款项划付时间相应顺延至上述情形消除后下一个工作日</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投资者通过</w:t>
      </w:r>
      <w:r>
        <w:rPr>
          <w:rFonts w:ascii="楷体_GB2312" w:eastAsia="楷体_GB2312"/>
          <w:color w:val="000000" w:themeColor="text1"/>
          <w:sz w:val="20"/>
          <w:szCs w:val="20"/>
          <w14:textFill>
            <w14:solidFill>
              <w14:schemeClr w14:val="tx1"/>
            </w14:solidFill>
          </w14:textFill>
        </w:rPr>
        <w:t>代销机构渠道购买理财产品的，理财资金划转至投资者</w:t>
      </w:r>
      <w:r>
        <w:rPr>
          <w:rFonts w:hint="eastAsia" w:ascii="楷体_GB2312" w:eastAsia="楷体_GB2312"/>
          <w:color w:val="000000" w:themeColor="text1"/>
          <w:sz w:val="20"/>
          <w:szCs w:val="20"/>
          <w14:textFill>
            <w14:solidFill>
              <w14:schemeClr w14:val="tx1"/>
            </w14:solidFill>
          </w14:textFill>
        </w:rPr>
        <w:t>账户的</w:t>
      </w:r>
      <w:r>
        <w:rPr>
          <w:rFonts w:ascii="楷体_GB2312" w:eastAsia="楷体_GB2312"/>
          <w:color w:val="000000" w:themeColor="text1"/>
          <w:sz w:val="20"/>
          <w:szCs w:val="20"/>
          <w14:textFill>
            <w14:solidFill>
              <w14:schemeClr w14:val="tx1"/>
            </w14:solidFill>
          </w14:textFill>
        </w:rPr>
        <w:t>时间以代销机构的清算时间为准。</w:t>
      </w:r>
    </w:p>
    <w:p w14:paraId="51510DE8">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7</w:t>
      </w:r>
      <w:r>
        <w:rPr>
          <w:rFonts w:hint="eastAsia" w:ascii="楷体_GB2312" w:eastAsia="楷体_GB2312" w:cs="楷体_GB2312"/>
          <w:color w:val="000000" w:themeColor="text1"/>
          <w:sz w:val="20"/>
          <w:szCs w:val="20"/>
          <w14:textFill>
            <w14:solidFill>
              <w14:schemeClr w14:val="tx1"/>
            </w14:solidFill>
          </w14:textFill>
        </w:rPr>
        <w:t>．管理人保留不接受赎回申请的权利。</w:t>
      </w:r>
    </w:p>
    <w:p w14:paraId="3D91C9DE">
      <w:pPr>
        <w:spacing w:line="300" w:lineRule="exact"/>
        <w:ind w:right="96" w:rightChars="40" w:firstLine="426" w:firstLineChars="213"/>
        <w:rPr>
          <w:rFonts w:ascii="楷体_GB2312" w:eastAsia="楷体_GB2312"/>
          <w:color w:val="000000" w:themeColor="text1"/>
          <w:sz w:val="20"/>
          <w:szCs w:val="20"/>
          <w14:textFill>
            <w14:solidFill>
              <w14:schemeClr w14:val="tx1"/>
            </w14:solidFill>
          </w14:textFill>
        </w:rPr>
      </w:pPr>
    </w:p>
    <w:p w14:paraId="14170FD5">
      <w:pPr>
        <w:spacing w:line="300" w:lineRule="exact"/>
        <w:ind w:left="-2" w:leftChars="-1" w:right="96" w:rightChars="40"/>
        <w:rPr>
          <w:rFonts w:ascii="黑体" w:eastAsia="黑体"/>
          <w:color w:val="000000" w:themeColor="text1"/>
          <w:sz w:val="20"/>
          <w:szCs w:val="20"/>
          <w14:textFill>
            <w14:solidFill>
              <w14:schemeClr w14:val="tx1"/>
            </w14:solidFill>
          </w14:textFill>
        </w:rPr>
      </w:pPr>
      <w:r>
        <w:rPr>
          <w:rFonts w:hint="eastAsia" w:ascii="黑体" w:eastAsia="黑体" w:cs="黑体"/>
          <w:color w:val="000000" w:themeColor="text1"/>
          <w:sz w:val="20"/>
          <w:szCs w:val="20"/>
          <w14:textFill>
            <w14:solidFill>
              <w14:schemeClr w14:val="tx1"/>
            </w14:solidFill>
          </w14:textFill>
        </w:rPr>
        <w:t>六、理财产品的巨额赎回</w:t>
      </w:r>
    </w:p>
    <w:p w14:paraId="74D751D6">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．如某开放日投资者净赎回份额超过本产品上一日终存续总份额的【</w:t>
      </w:r>
      <w:r>
        <w:rPr>
          <w:rFonts w:ascii="楷体_GB2312" w:eastAsia="楷体_GB2312" w:cs="楷体_GB2312"/>
          <w:color w:val="000000" w:themeColor="text1"/>
          <w:sz w:val="20"/>
          <w:szCs w:val="20"/>
          <w14:textFill>
            <w14:solidFill>
              <w14:schemeClr w14:val="tx1"/>
            </w14:solidFill>
          </w14:textFill>
        </w:rPr>
        <w:t>10%</w:t>
      </w:r>
      <w:r>
        <w:rPr>
          <w:rFonts w:hint="eastAsia" w:ascii="楷体_GB2312" w:eastAsia="楷体_GB2312" w:cs="楷体_GB2312"/>
          <w:color w:val="000000" w:themeColor="text1"/>
          <w:sz w:val="20"/>
          <w:szCs w:val="20"/>
          <w14:textFill>
            <w14:solidFill>
              <w14:schemeClr w14:val="tx1"/>
            </w14:solidFill>
          </w14:textFill>
        </w:rPr>
        <w:t>】，则被视为巨额赎回，在巨额赎回的情况下，管理人可以按照法律、行政法规和理财产品销售文件约定，综合运用设置赎回上限、延期办理巨额赎回申请、暂停接受赎回申请、收取短期赎回费、暂停理财产品估值、摆动定价等方式，作为本理财产品流动性风险管理的辅助措施。</w:t>
      </w:r>
    </w:p>
    <w:p w14:paraId="27120FF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2．在巨额赎回情况下，对于超过本产品上一日终存续总份额【10%】以上的赎回申请，管理人有权全部或部分暂停接受或延期办理。</w:t>
      </w:r>
    </w:p>
    <w:p w14:paraId="7C61F7B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1）对于接受办理的部分，可以按照单个投资者的赎回申请占当日申请赎回总份额的比例确定该投资者当日办理的赎回份额；</w:t>
      </w:r>
    </w:p>
    <w:p w14:paraId="4AF4473C">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2）对于不予办理的部分，若投资者在申请赎回时选择将该部分予以撤销的，则该部分份额申请失效，投资者可在下一开放日正常赎回交易时间内重新提交赎回申请；若投资者在申请赎回时未选择将该部分予以撤销的，管理人有权决定对该部分份额申请采取下述任一种处理方式，并按照本说明书约定通知投资者：</w:t>
      </w:r>
    </w:p>
    <w:p w14:paraId="06C2FD07">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a．失效，投资者可在下一开放日正常赎回交易时间内重新提交赎回申请。</w:t>
      </w:r>
    </w:p>
    <w:p w14:paraId="085689B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b．延迟至下一个开放日办理，赎回价格为下一个开放日的价格。</w:t>
      </w:r>
    </w:p>
    <w:p w14:paraId="39CB336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对于不予办理的部分，投资者是否在申请赎回时有选择撤销的权利，以销售机构为准。</w:t>
      </w:r>
    </w:p>
    <w:p w14:paraId="17F73AF3">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．本产品连续【2】个以上开放日（含）发生巨额赎回，管理人有权暂停接受投资者的申购和赎回申请、</w:t>
      </w:r>
      <w:r>
        <w:rPr>
          <w:rFonts w:ascii="楷体_GB2312" w:eastAsia="楷体_GB2312" w:cs="楷体_GB2312"/>
          <w:color w:val="000000" w:themeColor="text1"/>
          <w:sz w:val="20"/>
          <w:szCs w:val="20"/>
          <w14:textFill>
            <w14:solidFill>
              <w14:schemeClr w14:val="tx1"/>
            </w14:solidFill>
          </w14:textFill>
        </w:rPr>
        <w:t>延期办理巨额赎回申请等</w:t>
      </w:r>
      <w:r>
        <w:rPr>
          <w:rFonts w:hint="eastAsia" w:ascii="楷体_GB2312" w:eastAsia="楷体_GB2312" w:cs="楷体_GB2312"/>
          <w:color w:val="000000" w:themeColor="text1"/>
          <w:sz w:val="20"/>
          <w:szCs w:val="20"/>
          <w14:textFill>
            <w14:solidFill>
              <w14:schemeClr w14:val="tx1"/>
            </w14:solidFill>
          </w14:textFill>
        </w:rPr>
        <w:t>。投资者根据管理人披露的开放日可重新进行申购和赎回。</w:t>
      </w:r>
      <w:r>
        <w:rPr>
          <w:rFonts w:ascii="楷体_GB2312" w:eastAsia="楷体_GB2312" w:cs="楷体_GB2312"/>
          <w:color w:val="000000" w:themeColor="text1"/>
          <w:sz w:val="20"/>
          <w:szCs w:val="20"/>
          <w14:textFill>
            <w14:solidFill>
              <w14:schemeClr w14:val="tx1"/>
            </w14:solidFill>
          </w14:textFill>
        </w:rPr>
        <w:t>对于已经接受的赎回申请，</w:t>
      </w:r>
      <w:r>
        <w:rPr>
          <w:rFonts w:hint="eastAsia" w:ascii="楷体_GB2312" w:eastAsia="楷体_GB2312" w:cs="楷体_GB2312"/>
          <w:color w:val="000000" w:themeColor="text1"/>
          <w:sz w:val="20"/>
          <w:szCs w:val="20"/>
          <w14:textFill>
            <w14:solidFill>
              <w14:schemeClr w14:val="tx1"/>
            </w14:solidFill>
          </w14:textFill>
        </w:rPr>
        <w:t>管理人</w:t>
      </w:r>
      <w:r>
        <w:rPr>
          <w:rFonts w:ascii="楷体_GB2312" w:eastAsia="楷体_GB2312" w:cs="楷体_GB2312"/>
          <w:color w:val="000000" w:themeColor="text1"/>
          <w:sz w:val="20"/>
          <w:szCs w:val="20"/>
          <w14:textFill>
            <w14:solidFill>
              <w14:schemeClr w14:val="tx1"/>
            </w14:solidFill>
          </w14:textFill>
        </w:rPr>
        <w:t>还可以延缓支付赎回款项，但延缓期限不得超过20个工作日。</w:t>
      </w:r>
    </w:p>
    <w:p w14:paraId="646B8855">
      <w:pPr>
        <w:spacing w:line="300" w:lineRule="exact"/>
        <w:ind w:right="36" w:rightChars="15"/>
        <w:rPr>
          <w:rFonts w:ascii="楷体_GB2312" w:eastAsia="楷体_GB2312"/>
          <w:color w:val="000000" w:themeColor="text1"/>
          <w:sz w:val="20"/>
          <w:szCs w:val="20"/>
          <w14:textFill>
            <w14:solidFill>
              <w14:schemeClr w14:val="tx1"/>
            </w14:solidFill>
          </w14:textFill>
        </w:rPr>
      </w:pPr>
    </w:p>
    <w:p w14:paraId="4CD1DAA7">
      <w:pPr>
        <w:spacing w:line="300" w:lineRule="exact"/>
        <w:ind w:left="-2" w:leftChars="-1" w:right="96" w:rightChars="40"/>
        <w:rPr>
          <w:rFonts w:ascii="黑体" w:eastAsia="黑体"/>
          <w:color w:val="000000" w:themeColor="text1"/>
          <w:sz w:val="20"/>
          <w:szCs w:val="20"/>
          <w14:textFill>
            <w14:solidFill>
              <w14:schemeClr w14:val="tx1"/>
            </w14:solidFill>
          </w14:textFill>
        </w:rPr>
      </w:pPr>
      <w:r>
        <w:rPr>
          <w:rFonts w:hint="eastAsia" w:ascii="黑体" w:eastAsia="黑体" w:cs="黑体"/>
          <w:color w:val="000000" w:themeColor="text1"/>
          <w:sz w:val="20"/>
          <w:szCs w:val="20"/>
          <w14:textFill>
            <w14:solidFill>
              <w14:schemeClr w14:val="tx1"/>
            </w14:solidFill>
          </w14:textFill>
        </w:rPr>
        <w:t>七、拒绝或暂停接受认、申购或赎回申请、延缓支付赎回款项等情形及处理</w:t>
      </w:r>
    </w:p>
    <w:p w14:paraId="2302CE49">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1</w:t>
      </w:r>
      <w:r>
        <w:rPr>
          <w:rFonts w:ascii="楷体_GB2312" w:eastAsia="楷体_GB2312" w:cs="楷体_GB2312"/>
          <w:color w:val="000000" w:themeColor="text1"/>
          <w:sz w:val="20"/>
          <w:szCs w:val="20"/>
          <w14:textFill>
            <w14:solidFill>
              <w14:schemeClr w14:val="tx1"/>
            </w14:solidFill>
          </w14:textFill>
        </w:rPr>
        <w:t>．为应对流动性风险，保护投资者利益，或基于投资运作与风险控制需要，管理人可以综合运用以下理财产品流动性风险应对措施：（a）认购风险应对措施，包括：设定单一投资者认购金额上限、设定理财产品单日净认购比例上限、拒绝大额认购、暂停认购，以及国务院银行业监督管理机构规定的其他措施。（b）赎回风险应对措施，包括：设置赎回上限、延期办理巨额赎回申请、暂停接受赎回申请、延缓支付赎回款项、收取短期赎回费、暂停理财产品估值、摆动定价，以及国务院银行业监督管理机构规定的其他措施。</w:t>
      </w:r>
    </w:p>
    <w:p w14:paraId="5D147CA3">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．管理人可拒绝接受或暂停接受投资者的认、申购申请的情形包括：</w:t>
      </w:r>
    </w:p>
    <w:p w14:paraId="7316DE54">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）不可抗力或国家经济金融政策发生变化等原因导致本产品无法正常运作；</w:t>
      </w:r>
    </w:p>
    <w:p w14:paraId="2FCDFDDE">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）证券交易场所或银行间债券市场依法决定停市等情形；</w:t>
      </w:r>
    </w:p>
    <w:p w14:paraId="3ED818DD">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）本产品资产规模过大，管理人无法找到合适的投资品种，或继续接受认/申购可能对理财产品业绩产生影响；</w:t>
      </w:r>
    </w:p>
    <w:p w14:paraId="1B80076B">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）当管理人认为某笔认/申购申请会有损于本产品其他份额持有人利益时，或基于</w:t>
      </w:r>
      <w:r>
        <w:rPr>
          <w:rFonts w:ascii="楷体_GB2312" w:eastAsia="楷体_GB2312" w:cs="楷体_GB2312"/>
          <w:color w:val="000000" w:themeColor="text1"/>
          <w:sz w:val="20"/>
          <w:szCs w:val="20"/>
          <w14:textFill>
            <w14:solidFill>
              <w14:schemeClr w14:val="tx1"/>
            </w14:solidFill>
          </w14:textFill>
        </w:rPr>
        <w:t>投资运作和风险控制需要，</w:t>
      </w:r>
      <w:r>
        <w:rPr>
          <w:rFonts w:hint="eastAsia" w:ascii="楷体_GB2312" w:eastAsia="楷体_GB2312" w:cs="楷体_GB2312"/>
          <w:color w:val="000000" w:themeColor="text1"/>
          <w:sz w:val="20"/>
          <w:szCs w:val="20"/>
          <w14:textFill>
            <w14:solidFill>
              <w14:schemeClr w14:val="tx1"/>
            </w14:solidFill>
          </w14:textFill>
        </w:rPr>
        <w:t>可拒绝该笔认/申购申请；</w:t>
      </w:r>
    </w:p>
    <w:p w14:paraId="510C1365">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）当投资者认/申购金额将导致单笔认/申购金额上限、单个投资者持仓上限、计划募集金额上限、产品规模上限等各指标超限时，或单笔认/申购金额不足认/申购金额起点</w:t>
      </w:r>
      <w:r>
        <w:rPr>
          <w:rFonts w:ascii="楷体_GB2312" w:eastAsia="楷体_GB2312" w:cs="楷体_GB2312"/>
          <w:color w:val="000000" w:themeColor="text1"/>
          <w:sz w:val="20"/>
          <w:szCs w:val="20"/>
          <w14:textFill>
            <w14:solidFill>
              <w14:schemeClr w14:val="tx1"/>
            </w14:solidFill>
          </w14:textFill>
        </w:rPr>
        <w:t>金额时，</w:t>
      </w:r>
      <w:r>
        <w:rPr>
          <w:rFonts w:hint="eastAsia" w:ascii="楷体_GB2312" w:eastAsia="楷体_GB2312" w:cs="楷体_GB2312"/>
          <w:color w:val="000000" w:themeColor="text1"/>
          <w:sz w:val="20"/>
          <w:szCs w:val="20"/>
          <w14:textFill>
            <w14:solidFill>
              <w14:schemeClr w14:val="tx1"/>
            </w14:solidFill>
          </w14:textFill>
        </w:rPr>
        <w:t>管理人有权拒绝投资者的认/申购申请；</w:t>
      </w:r>
    </w:p>
    <w:p w14:paraId="7001557A">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（6</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发生本</w:t>
      </w:r>
      <w:r>
        <w:rPr>
          <w:rFonts w:ascii="楷体_GB2312" w:eastAsia="楷体_GB2312" w:cs="楷体_GB2312"/>
          <w:color w:val="000000" w:themeColor="text1"/>
          <w:sz w:val="20"/>
          <w:szCs w:val="20"/>
          <w14:textFill>
            <w14:solidFill>
              <w14:schemeClr w14:val="tx1"/>
            </w14:solidFill>
          </w14:textFill>
        </w:rPr>
        <w:t>说明书约定的产品暂停估值的情形；</w:t>
      </w:r>
    </w:p>
    <w:p w14:paraId="3F90D2E1">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（7</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本产品连续【</w:t>
      </w:r>
      <w:r>
        <w:rPr>
          <w:rFonts w:ascii="楷体_GB2312" w:eastAsia="楷体_GB2312" w:cs="楷体_GB2312"/>
          <w:color w:val="000000" w:themeColor="text1"/>
          <w:sz w:val="20"/>
          <w:szCs w:val="20"/>
          <w14:textFill>
            <w14:solidFill>
              <w14:schemeClr w14:val="tx1"/>
            </w14:solidFill>
          </w14:textFill>
        </w:rPr>
        <w:t>2】个以上开放日（含）发生巨额赎回</w:t>
      </w:r>
      <w:r>
        <w:rPr>
          <w:rFonts w:hint="eastAsia" w:ascii="楷体_GB2312" w:eastAsia="楷体_GB2312" w:cs="楷体_GB2312"/>
          <w:color w:val="000000" w:themeColor="text1"/>
          <w:sz w:val="20"/>
          <w:szCs w:val="20"/>
          <w14:textFill>
            <w14:solidFill>
              <w14:schemeClr w14:val="tx1"/>
            </w14:solidFill>
          </w14:textFill>
        </w:rPr>
        <w:t>；</w:t>
      </w:r>
    </w:p>
    <w:p w14:paraId="5A37D3AD">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8）</w:t>
      </w:r>
      <w:r>
        <w:rPr>
          <w:rFonts w:hint="eastAsia" w:ascii="楷体_GB2312" w:eastAsia="楷体_GB2312" w:cs="楷体_GB2312"/>
          <w:color w:val="000000" w:themeColor="text1"/>
          <w:sz w:val="20"/>
          <w:szCs w:val="20"/>
          <w14:textFill>
            <w14:solidFill>
              <w14:schemeClr w14:val="tx1"/>
            </w14:solidFill>
          </w14:textFill>
        </w:rPr>
        <w:t>法律法规规定或管理人基于审慎考虑认定的其他情形。</w:t>
      </w:r>
    </w:p>
    <w:p w14:paraId="05E3C6BC">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如果投资者的认、申购申请被拒绝，被拒绝的认、申购款项将全额退还给投资者，扣款日至资金返还日期间不计付利息。投资者通过代销机构购买理财产品的，以代销机构的规定为准。</w:t>
      </w:r>
    </w:p>
    <w:p w14:paraId="2DF22910">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．管理人可拒绝接受或暂停接受投资者的赎回申请，延缓支付赎回款项的情形包括：</w:t>
      </w:r>
    </w:p>
    <w:p w14:paraId="2CF01567">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）因不可抗力或国家经济金融政策发生变化等原因导致管理人不能支付赎回款项；</w:t>
      </w:r>
    </w:p>
    <w:p w14:paraId="747C6682">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）证券交易场所或银行间债券市场依法决定停市等情形；</w:t>
      </w:r>
    </w:p>
    <w:p w14:paraId="2904D008">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）本产品投资的公开或非公开交易市场的资产无法变现，或经管理人基于审慎的原则判断资产变现可能会对本产品投资收益造成重大不利影响的；</w:t>
      </w:r>
    </w:p>
    <w:p w14:paraId="3D8F3C20">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）本产品发生巨额赎回情形的；</w:t>
      </w:r>
    </w:p>
    <w:p w14:paraId="61CA35E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（5</w:t>
      </w:r>
      <w:r>
        <w:rPr>
          <w:rFonts w:ascii="楷体_GB2312" w:eastAsia="楷体_GB2312" w:cs="楷体_GB2312"/>
          <w:color w:val="000000" w:themeColor="text1"/>
          <w:sz w:val="20"/>
          <w:szCs w:val="20"/>
          <w14:textFill>
            <w14:solidFill>
              <w14:schemeClr w14:val="tx1"/>
            </w14:solidFill>
          </w14:textFill>
        </w:rPr>
        <w:t>）当管理人认为某笔</w:t>
      </w:r>
      <w:r>
        <w:rPr>
          <w:rFonts w:hint="eastAsia" w:ascii="楷体_GB2312" w:eastAsia="楷体_GB2312" w:cs="楷体_GB2312"/>
          <w:color w:val="000000" w:themeColor="text1"/>
          <w:sz w:val="20"/>
          <w:szCs w:val="20"/>
          <w14:textFill>
            <w14:solidFill>
              <w14:schemeClr w14:val="tx1"/>
            </w14:solidFill>
          </w14:textFill>
        </w:rPr>
        <w:t>赎回</w:t>
      </w:r>
      <w:r>
        <w:rPr>
          <w:rFonts w:ascii="楷体_GB2312" w:eastAsia="楷体_GB2312" w:cs="楷体_GB2312"/>
          <w:color w:val="000000" w:themeColor="text1"/>
          <w:sz w:val="20"/>
          <w:szCs w:val="20"/>
          <w14:textFill>
            <w14:solidFill>
              <w14:schemeClr w14:val="tx1"/>
            </w14:solidFill>
          </w14:textFill>
        </w:rPr>
        <w:t>申请会有损于本产品其他份额持有人利益时，或基于投资运作和风险控制需要；</w:t>
      </w:r>
    </w:p>
    <w:p w14:paraId="1206A10B">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（6</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单个投资者在单个开放日申请赎回份额超过产品总份额【10】</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管理人</w:t>
      </w:r>
      <w:r>
        <w:rPr>
          <w:rFonts w:ascii="楷体_GB2312" w:eastAsia="楷体_GB2312" w:cs="楷体_GB2312"/>
          <w:color w:val="000000" w:themeColor="text1"/>
          <w:sz w:val="20"/>
          <w:szCs w:val="20"/>
          <w14:textFill>
            <w14:solidFill>
              <w14:schemeClr w14:val="tx1"/>
            </w14:solidFill>
          </w14:textFill>
        </w:rPr>
        <w:t>可以暂停接受其赎回申请；已经接受的赎回申请可以延缓支付赎回款项，但延缓期限不得超过20个工作日。</w:t>
      </w:r>
    </w:p>
    <w:p w14:paraId="50DE05B7">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（7</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发生本</w:t>
      </w:r>
      <w:r>
        <w:rPr>
          <w:rFonts w:ascii="楷体_GB2312" w:eastAsia="楷体_GB2312" w:cs="楷体_GB2312"/>
          <w:color w:val="000000" w:themeColor="text1"/>
          <w:sz w:val="20"/>
          <w:szCs w:val="20"/>
          <w14:textFill>
            <w14:solidFill>
              <w14:schemeClr w14:val="tx1"/>
            </w14:solidFill>
          </w14:textFill>
        </w:rPr>
        <w:t>说明书约定的产品暂停估值的情形；</w:t>
      </w:r>
    </w:p>
    <w:p w14:paraId="1D71B7ED">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（8</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本产品连续【</w:t>
      </w:r>
      <w:r>
        <w:rPr>
          <w:rFonts w:ascii="楷体_GB2312" w:eastAsia="楷体_GB2312" w:cs="楷体_GB2312"/>
          <w:color w:val="000000" w:themeColor="text1"/>
          <w:sz w:val="20"/>
          <w:szCs w:val="20"/>
          <w14:textFill>
            <w14:solidFill>
              <w14:schemeClr w14:val="tx1"/>
            </w14:solidFill>
          </w14:textFill>
        </w:rPr>
        <w:t>2】个以上开放日（含）发生巨额赎回，管理人有权暂停接受投资者的赎回申请、延期办理巨额赎回申请等。投资者根据管理人披露的开放日可重新进行申购和赎回。对于已经接受的赎回申请，管理人还可以延缓支付赎回款项，但延缓期限不得超过20个工作日。</w:t>
      </w:r>
    </w:p>
    <w:p w14:paraId="61DA444A">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9</w:t>
      </w:r>
      <w:r>
        <w:rPr>
          <w:rFonts w:hint="eastAsia" w:ascii="楷体_GB2312" w:eastAsia="楷体_GB2312" w:cs="楷体_GB2312"/>
          <w:color w:val="000000" w:themeColor="text1"/>
          <w:sz w:val="20"/>
          <w:szCs w:val="20"/>
          <w14:textFill>
            <w14:solidFill>
              <w14:schemeClr w14:val="tx1"/>
            </w14:solidFill>
          </w14:textFill>
        </w:rPr>
        <w:t>）法律法规规定或管理人基于审慎考虑认定的其他情形。</w:t>
      </w:r>
    </w:p>
    <w:p w14:paraId="5598899E">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管理人可以向连续持有少于</w:t>
      </w:r>
      <w:r>
        <w:rPr>
          <w:rFonts w:ascii="楷体_GB2312" w:eastAsia="楷体_GB2312" w:cs="楷体_GB2312"/>
          <w:color w:val="000000" w:themeColor="text1"/>
          <w:sz w:val="20"/>
          <w:szCs w:val="20"/>
          <w14:textFill>
            <w14:solidFill>
              <w14:schemeClr w14:val="tx1"/>
            </w14:solidFill>
          </w14:textFill>
        </w:rPr>
        <w:t>7日的投资者收取赎回费，并将上述赎回费全额计入理财产品财产。</w:t>
      </w:r>
    </w:p>
    <w:p w14:paraId="7327FEE3">
      <w:pPr>
        <w:spacing w:line="300" w:lineRule="exact"/>
        <w:ind w:firstLine="402"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5.当产品发生大额认购或赎回时，管理人可以采用摆动定价机制。摆动定价机制的相关原理与操作方法【</w:t>
      </w:r>
      <w:r>
        <w:rPr>
          <w:rFonts w:ascii="楷体_GB2312" w:eastAsia="楷体_GB2312" w:cs="楷体_GB2312"/>
          <w:b/>
          <w:sz w:val="20"/>
          <w:szCs w:val="20"/>
        </w:rPr>
        <w:t>通过调整理财产品份额净值的方式，将理财产品调整投资组合的市场冲击成本分配给实际认购、赎回的投资者，从而减少对存量理财产品份额持有人利益的不利影响</w:t>
      </w:r>
      <w:r>
        <w:rPr>
          <w:rFonts w:ascii="楷体_GB2312" w:eastAsia="楷体_GB2312" w:cs="楷体_GB2312"/>
          <w:b/>
          <w:color w:val="000000" w:themeColor="text1"/>
          <w:sz w:val="20"/>
          <w:szCs w:val="20"/>
          <w14:textFill>
            <w14:solidFill>
              <w14:schemeClr w14:val="tx1"/>
            </w14:solidFill>
          </w14:textFill>
        </w:rPr>
        <w:t>】。</w:t>
      </w:r>
    </w:p>
    <w:p w14:paraId="75C3F886">
      <w:pPr>
        <w:spacing w:line="300" w:lineRule="exact"/>
        <w:ind w:right="96" w:rightChars="40"/>
        <w:rPr>
          <w:rFonts w:ascii="楷体_GB2312" w:eastAsia="楷体_GB2312"/>
          <w:color w:val="000000" w:themeColor="text1"/>
          <w:sz w:val="20"/>
          <w:szCs w:val="20"/>
          <w14:textFill>
            <w14:solidFill>
              <w14:schemeClr w14:val="tx1"/>
            </w14:solidFill>
          </w14:textFill>
        </w:rPr>
      </w:pPr>
    </w:p>
    <w:p w14:paraId="52700B00">
      <w:pPr>
        <w:spacing w:line="300" w:lineRule="exact"/>
        <w:ind w:left="-2" w:leftChars="-1" w:right="36" w:rightChars="15"/>
        <w:jc w:val="both"/>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八、理财资金分配</w:t>
      </w:r>
    </w:p>
    <w:p w14:paraId="530575F0">
      <w:pPr>
        <w:pStyle w:val="19"/>
        <w:spacing w:line="300" w:lineRule="exact"/>
        <w:ind w:left="388" w:right="96" w:rightChars="40" w:firstLine="0" w:firstLineChars="0"/>
        <w:rPr>
          <w:rFonts w:ascii="黑体" w:eastAsia="黑体" w:cs="黑体"/>
          <w:color w:val="000000" w:themeColor="text1"/>
          <w:sz w:val="20"/>
          <w:szCs w:val="20"/>
          <w14:textFill>
            <w14:solidFill>
              <w14:schemeClr w14:val="tx1"/>
            </w14:solidFill>
          </w14:textFill>
        </w:rPr>
      </w:pPr>
      <w:r>
        <w:rPr>
          <w:rFonts w:ascii="黑体" w:eastAsia="黑体" w:cs="黑体"/>
          <w:color w:val="000000" w:themeColor="text1"/>
          <w:sz w:val="20"/>
          <w:szCs w:val="20"/>
          <w14:textFill>
            <w14:solidFill>
              <w14:schemeClr w14:val="tx1"/>
            </w14:solidFill>
          </w14:textFill>
        </w:rPr>
        <w:t>（一）</w:t>
      </w:r>
      <w:r>
        <w:rPr>
          <w:rFonts w:hint="eastAsia" w:ascii="黑体" w:eastAsia="黑体" w:cs="黑体"/>
          <w:color w:val="000000" w:themeColor="text1"/>
          <w:sz w:val="20"/>
          <w:szCs w:val="20"/>
          <w14:textFill>
            <w14:solidFill>
              <w14:schemeClr w14:val="tx1"/>
            </w14:solidFill>
          </w14:textFill>
        </w:rPr>
        <w:t xml:space="preserve"> </w:t>
      </w:r>
      <w:r>
        <w:rPr>
          <w:rFonts w:ascii="黑体" w:eastAsia="黑体" w:cs="黑体"/>
          <w:color w:val="000000" w:themeColor="text1"/>
          <w:sz w:val="20"/>
          <w:szCs w:val="20"/>
          <w14:textFill>
            <w14:solidFill>
              <w14:schemeClr w14:val="tx1"/>
            </w14:solidFill>
          </w14:textFill>
        </w:rPr>
        <w:t xml:space="preserve"> </w:t>
      </w:r>
      <w:r>
        <w:rPr>
          <w:rFonts w:hint="eastAsia" w:ascii="黑体" w:eastAsia="黑体" w:cs="黑体"/>
          <w:color w:val="000000" w:themeColor="text1"/>
          <w:sz w:val="20"/>
          <w:szCs w:val="20"/>
          <w14:textFill>
            <w14:solidFill>
              <w14:schemeClr w14:val="tx1"/>
            </w14:solidFill>
          </w14:textFill>
        </w:rPr>
        <w:t>期间</w:t>
      </w:r>
      <w:r>
        <w:rPr>
          <w:rFonts w:ascii="黑体" w:eastAsia="黑体" w:cs="黑体"/>
          <w:color w:val="000000" w:themeColor="text1"/>
          <w:sz w:val="20"/>
          <w:szCs w:val="20"/>
          <w14:textFill>
            <w14:solidFill>
              <w14:schemeClr w14:val="tx1"/>
            </w14:solidFill>
          </w14:textFill>
        </w:rPr>
        <w:t>分配</w:t>
      </w:r>
    </w:p>
    <w:p w14:paraId="1897FA16">
      <w:pPr>
        <w:pStyle w:val="19"/>
        <w:spacing w:line="300" w:lineRule="exact"/>
        <w:ind w:left="388" w:right="96" w:rightChars="40" w:firstLine="0"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无。</w:t>
      </w:r>
    </w:p>
    <w:p w14:paraId="3C64C11A">
      <w:pPr>
        <w:pStyle w:val="19"/>
        <w:spacing w:line="300" w:lineRule="exact"/>
        <w:ind w:left="388" w:right="96" w:rightChars="40" w:firstLine="0" w:firstLineChars="0"/>
        <w:rPr>
          <w:rFonts w:ascii="黑体" w:eastAsia="黑体" w:cs="黑体"/>
          <w:color w:val="000000" w:themeColor="text1"/>
          <w:sz w:val="20"/>
          <w:szCs w:val="20"/>
          <w14:textFill>
            <w14:solidFill>
              <w14:schemeClr w14:val="tx1"/>
            </w14:solidFill>
          </w14:textFill>
        </w:rPr>
      </w:pPr>
      <w:r>
        <w:rPr>
          <w:rFonts w:hint="eastAsia" w:ascii="黑体" w:eastAsia="黑体" w:cs="黑体"/>
          <w:color w:val="000000" w:themeColor="text1"/>
          <w:sz w:val="20"/>
          <w:szCs w:val="20"/>
          <w14:textFill>
            <w14:solidFill>
              <w14:schemeClr w14:val="tx1"/>
            </w14:solidFill>
          </w14:textFill>
        </w:rPr>
        <w:t xml:space="preserve">（二） </w:t>
      </w:r>
      <w:r>
        <w:rPr>
          <w:rFonts w:ascii="黑体" w:eastAsia="黑体" w:cs="黑体"/>
          <w:color w:val="000000" w:themeColor="text1"/>
          <w:sz w:val="20"/>
          <w:szCs w:val="20"/>
          <w14:textFill>
            <w14:solidFill>
              <w14:schemeClr w14:val="tx1"/>
            </w14:solidFill>
          </w14:textFill>
        </w:rPr>
        <w:t xml:space="preserve"> </w:t>
      </w:r>
      <w:r>
        <w:rPr>
          <w:rFonts w:hint="eastAsia" w:ascii="黑体" w:eastAsia="黑体" w:cs="黑体"/>
          <w:color w:val="000000" w:themeColor="text1"/>
          <w:sz w:val="20"/>
          <w:szCs w:val="20"/>
          <w14:textFill>
            <w14:solidFill>
              <w14:schemeClr w14:val="tx1"/>
            </w14:solidFill>
          </w14:textFill>
        </w:rPr>
        <w:t>终止</w:t>
      </w:r>
      <w:r>
        <w:rPr>
          <w:rFonts w:ascii="黑体" w:eastAsia="黑体" w:cs="黑体"/>
          <w:color w:val="000000" w:themeColor="text1"/>
          <w:sz w:val="20"/>
          <w:szCs w:val="20"/>
          <w14:textFill>
            <w14:solidFill>
              <w14:schemeClr w14:val="tx1"/>
            </w14:solidFill>
          </w14:textFill>
        </w:rPr>
        <w:t>分配</w:t>
      </w:r>
    </w:p>
    <w:p w14:paraId="68BDFEA3">
      <w:pPr>
        <w:pStyle w:val="19"/>
        <w:numPr>
          <w:ilvl w:val="0"/>
          <w:numId w:val="5"/>
        </w:numPr>
        <w:spacing w:line="300" w:lineRule="exact"/>
        <w:ind w:left="0" w:firstLine="4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本产品在扣除信银理财</w:t>
      </w:r>
      <w:r>
        <w:rPr>
          <w:rFonts w:ascii="楷体_GB2312" w:eastAsia="楷体_GB2312"/>
          <w:color w:val="000000" w:themeColor="text1"/>
          <w:sz w:val="20"/>
          <w:szCs w:val="20"/>
          <w14:textFill>
            <w14:solidFill>
              <w14:schemeClr w14:val="tx1"/>
            </w14:solidFill>
          </w14:textFill>
        </w:rPr>
        <w:t>应收取费用</w:t>
      </w:r>
      <w:r>
        <w:rPr>
          <w:rFonts w:hint="eastAsia" w:ascii="楷体_GB2312" w:eastAsia="楷体_GB2312"/>
          <w:color w:val="000000" w:themeColor="text1"/>
          <w:sz w:val="20"/>
          <w:szCs w:val="20"/>
          <w14:textFill>
            <w14:solidFill>
              <w14:schemeClr w14:val="tx1"/>
            </w14:solidFill>
          </w14:textFill>
        </w:rPr>
        <w:t>及其他应由产品承担的税费后的投资损益全部归属投资者。</w:t>
      </w:r>
    </w:p>
    <w:p w14:paraId="7DE229E4">
      <w:pPr>
        <w:pStyle w:val="19"/>
        <w:numPr>
          <w:ilvl w:val="0"/>
          <w:numId w:val="5"/>
        </w:numPr>
        <w:spacing w:line="300" w:lineRule="exact"/>
        <w:ind w:left="0" w:firstLine="4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如产品正常到期</w:t>
      </w:r>
      <w:r>
        <w:rPr>
          <w:rFonts w:hint="eastAsia" w:ascii="楷体_GB2312" w:eastAsia="楷体_GB2312"/>
          <w:color w:val="000000" w:themeColor="text1"/>
          <w:sz w:val="20"/>
          <w:szCs w:val="20"/>
          <w14:textFill>
            <w14:solidFill>
              <w14:schemeClr w14:val="tx1"/>
            </w14:solidFill>
          </w14:textFill>
        </w:rPr>
        <w:t>或</w:t>
      </w:r>
      <w:r>
        <w:rPr>
          <w:rFonts w:ascii="楷体_GB2312" w:eastAsia="楷体_GB2312"/>
          <w:color w:val="000000" w:themeColor="text1"/>
          <w:sz w:val="20"/>
          <w:szCs w:val="20"/>
          <w14:textFill>
            <w14:solidFill>
              <w14:schemeClr w14:val="tx1"/>
            </w14:solidFill>
          </w14:textFill>
        </w:rPr>
        <w:t>提前终止，理财资金于</w:t>
      </w:r>
      <w:r>
        <w:rPr>
          <w:rFonts w:hint="eastAsia" w:ascii="楷体_GB2312" w:eastAsia="楷体_GB2312"/>
          <w:color w:val="000000" w:themeColor="text1"/>
          <w:sz w:val="20"/>
          <w:szCs w:val="20"/>
          <w14:textFill>
            <w14:solidFill>
              <w14:schemeClr w14:val="tx1"/>
            </w14:solidFill>
          </w14:textFill>
        </w:rPr>
        <w:t>到期日</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实际</w:t>
      </w:r>
      <w:r>
        <w:rPr>
          <w:rFonts w:ascii="楷体_GB2312" w:eastAsia="楷体_GB2312"/>
          <w:color w:val="000000" w:themeColor="text1"/>
          <w:sz w:val="20"/>
          <w:szCs w:val="20"/>
          <w14:textFill>
            <w14:solidFill>
              <w14:schemeClr w14:val="tx1"/>
            </w14:solidFill>
          </w14:textFill>
        </w:rPr>
        <w:t>到期日</w:t>
      </w:r>
      <w:r>
        <w:rPr>
          <w:rFonts w:hint="eastAsia" w:ascii="楷体_GB2312" w:eastAsia="楷体_GB2312"/>
          <w:color w:val="000000" w:themeColor="text1"/>
          <w:sz w:val="20"/>
          <w:szCs w:val="20"/>
          <w14:textFill>
            <w14:solidFill>
              <w14:schemeClr w14:val="tx1"/>
            </w14:solidFill>
          </w14:textFill>
        </w:rPr>
        <w:t>或</w:t>
      </w:r>
      <w:r>
        <w:rPr>
          <w:rFonts w:ascii="楷体_GB2312" w:eastAsia="楷体_GB2312"/>
          <w:color w:val="000000" w:themeColor="text1"/>
          <w:sz w:val="20"/>
          <w:szCs w:val="20"/>
          <w14:textFill>
            <w14:solidFill>
              <w14:schemeClr w14:val="tx1"/>
            </w14:solidFill>
          </w14:textFill>
        </w:rPr>
        <w:t>提前终止日</w:t>
      </w: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后【5】个工作日内根据实际情况一次性分配，如遇</w:t>
      </w:r>
      <w:r>
        <w:rPr>
          <w:rFonts w:hint="eastAsia" w:ascii="楷体_GB2312" w:eastAsia="楷体_GB2312"/>
          <w:color w:val="000000" w:themeColor="text1"/>
          <w:sz w:val="20"/>
          <w:szCs w:val="20"/>
          <w14:textFill>
            <w14:solidFill>
              <w14:schemeClr w14:val="tx1"/>
            </w14:solidFill>
          </w14:textFill>
        </w:rPr>
        <w:t>非工作日</w:t>
      </w:r>
      <w:r>
        <w:rPr>
          <w:rFonts w:ascii="楷体_GB2312" w:eastAsia="楷体_GB2312"/>
          <w:color w:val="000000" w:themeColor="text1"/>
          <w:sz w:val="20"/>
          <w:szCs w:val="20"/>
          <w14:textFill>
            <w14:solidFill>
              <w14:schemeClr w14:val="tx1"/>
            </w14:solidFill>
          </w14:textFill>
        </w:rPr>
        <w:t>则顺延至下一工作日。</w:t>
      </w:r>
    </w:p>
    <w:p w14:paraId="75453DF2">
      <w:pPr>
        <w:pStyle w:val="19"/>
        <w:numPr>
          <w:ilvl w:val="0"/>
          <w:numId w:val="5"/>
        </w:numPr>
        <w:spacing w:line="300" w:lineRule="exact"/>
        <w:ind w:left="0" w:firstLine="4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投资者到期日应得资金计算公式如下：</w:t>
      </w:r>
    </w:p>
    <w:p w14:paraId="5D27EF8F">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投资者应得资金</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到期日产品可分配的总金额</w:t>
      </w:r>
      <w:r>
        <w:rPr>
          <w:rFonts w:ascii="楷体_GB2312" w:eastAsia="楷体_GB2312" w:cs="楷体_GB2312"/>
          <w:color w:val="000000" w:themeColor="text1"/>
          <w:sz w:val="20"/>
          <w:szCs w:val="20"/>
          <w14:textFill>
            <w14:solidFill>
              <w14:schemeClr w14:val="tx1"/>
            </w14:solidFill>
          </w14:textFill>
        </w:rPr>
        <w:t>/产品的总份额*投资者的持有份额</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应付浮动管理费</w:t>
      </w:r>
      <w:r>
        <w:rPr>
          <w:rFonts w:hint="eastAsia" w:ascii="楷体_GB2312" w:eastAsia="楷体_GB2312" w:cs="楷体_GB2312"/>
          <w:color w:val="000000" w:themeColor="text1"/>
          <w:sz w:val="20"/>
          <w:szCs w:val="20"/>
          <w14:textFill>
            <w14:solidFill>
              <w14:schemeClr w14:val="tx1"/>
            </w14:solidFill>
          </w14:textFill>
        </w:rPr>
        <w:t>（如有</w:t>
      </w:r>
      <w:r>
        <w:rPr>
          <w:rFonts w:ascii="楷体_GB2312" w:eastAsia="楷体_GB2312" w:cs="楷体_GB2312"/>
          <w:color w:val="000000" w:themeColor="text1"/>
          <w:sz w:val="20"/>
          <w:szCs w:val="20"/>
          <w14:textFill>
            <w14:solidFill>
              <w14:schemeClr w14:val="tx1"/>
            </w14:solidFill>
          </w14:textFill>
        </w:rPr>
        <w:t>）</w:t>
      </w:r>
    </w:p>
    <w:p w14:paraId="146A7158">
      <w:pPr>
        <w:pStyle w:val="19"/>
        <w:numPr>
          <w:ilvl w:val="0"/>
          <w:numId w:val="5"/>
        </w:numPr>
        <w:spacing w:line="300" w:lineRule="exact"/>
        <w:ind w:left="0" w:firstLine="4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若募集期发生变化（募集期提前结束或募集期延长）、运作起始日发生变化或者清算期遇非工作日或</w:t>
      </w:r>
      <w:r>
        <w:rPr>
          <w:rFonts w:ascii="楷体_GB2312" w:eastAsia="楷体_GB2312" w:cs="楷体_GB2312"/>
          <w:color w:val="000000" w:themeColor="text1"/>
          <w:sz w:val="20"/>
          <w:szCs w:val="20"/>
          <w14:textFill>
            <w14:solidFill>
              <w14:schemeClr w14:val="tx1"/>
            </w14:solidFill>
          </w14:textFill>
        </w:rPr>
        <w:t>其他原因延长</w:t>
      </w:r>
      <w:r>
        <w:rPr>
          <w:rFonts w:hint="eastAsia" w:ascii="楷体_GB2312" w:eastAsia="楷体_GB2312" w:cs="楷体_GB2312"/>
          <w:color w:val="000000" w:themeColor="text1"/>
          <w:sz w:val="20"/>
          <w:szCs w:val="20"/>
          <w14:textFill>
            <w14:solidFill>
              <w14:schemeClr w14:val="tx1"/>
            </w14:solidFill>
          </w14:textFill>
        </w:rPr>
        <w:t>，产品到期日视情况将可能相应进行调整，若进行调整，信银理财将以本产品说明书约定的</w:t>
      </w:r>
      <w:r>
        <w:rPr>
          <w:rFonts w:ascii="楷体_GB2312" w:eastAsia="楷体_GB2312" w:cs="楷体_GB2312"/>
          <w:color w:val="000000" w:themeColor="text1"/>
          <w:sz w:val="20"/>
          <w:szCs w:val="20"/>
          <w14:textFill>
            <w14:solidFill>
              <w14:schemeClr w14:val="tx1"/>
            </w14:solidFill>
          </w14:textFill>
        </w:rPr>
        <w:t>方式通知投资者</w:t>
      </w:r>
      <w:r>
        <w:rPr>
          <w:rFonts w:hint="eastAsia" w:ascii="楷体_GB2312" w:eastAsia="楷体_GB2312" w:cs="楷体_GB2312"/>
          <w:color w:val="000000" w:themeColor="text1"/>
          <w:sz w:val="20"/>
          <w:szCs w:val="20"/>
          <w14:textFill>
            <w14:solidFill>
              <w14:schemeClr w14:val="tx1"/>
            </w14:solidFill>
          </w14:textFill>
        </w:rPr>
        <w:t>。</w:t>
      </w:r>
    </w:p>
    <w:p w14:paraId="557CEAE6">
      <w:pPr>
        <w:pStyle w:val="19"/>
        <w:numPr>
          <w:ilvl w:val="0"/>
          <w:numId w:val="5"/>
        </w:numPr>
        <w:spacing w:line="300" w:lineRule="exact"/>
        <w:ind w:left="0" w:firstLine="4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投资者通过</w:t>
      </w:r>
      <w:r>
        <w:rPr>
          <w:rFonts w:ascii="楷体_GB2312" w:eastAsia="楷体_GB2312"/>
          <w:color w:val="000000" w:themeColor="text1"/>
          <w:sz w:val="20"/>
          <w:szCs w:val="20"/>
          <w14:textFill>
            <w14:solidFill>
              <w14:schemeClr w14:val="tx1"/>
            </w14:solidFill>
          </w14:textFill>
        </w:rPr>
        <w:t>代销机构渠道购买理财产品的，理财资金划转至投资者</w:t>
      </w:r>
      <w:r>
        <w:rPr>
          <w:rFonts w:hint="eastAsia" w:ascii="楷体_GB2312" w:eastAsia="楷体_GB2312"/>
          <w:color w:val="000000" w:themeColor="text1"/>
          <w:sz w:val="20"/>
          <w:szCs w:val="20"/>
          <w14:textFill>
            <w14:solidFill>
              <w14:schemeClr w14:val="tx1"/>
            </w14:solidFill>
          </w14:textFill>
        </w:rPr>
        <w:t>账户的</w:t>
      </w:r>
      <w:r>
        <w:rPr>
          <w:rFonts w:ascii="楷体_GB2312" w:eastAsia="楷体_GB2312"/>
          <w:color w:val="000000" w:themeColor="text1"/>
          <w:sz w:val="20"/>
          <w:szCs w:val="20"/>
          <w14:textFill>
            <w14:solidFill>
              <w14:schemeClr w14:val="tx1"/>
            </w14:solidFill>
          </w14:textFill>
        </w:rPr>
        <w:t>时间以代销机构的清算时间为准。</w:t>
      </w:r>
    </w:p>
    <w:p w14:paraId="0FD196D6">
      <w:pPr>
        <w:spacing w:line="300" w:lineRule="exact"/>
        <w:ind w:left="-2" w:leftChars="-1" w:right="36" w:rightChars="15"/>
        <w:rPr>
          <w:color w:val="000000" w:themeColor="text1"/>
          <w14:textFill>
            <w14:solidFill>
              <w14:schemeClr w14:val="tx1"/>
            </w14:solidFill>
          </w14:textFill>
        </w:rPr>
      </w:pPr>
    </w:p>
    <w:p w14:paraId="4DF7F12F">
      <w:pPr>
        <w:snapToGrid w:val="0"/>
        <w:spacing w:line="300" w:lineRule="exact"/>
        <w:ind w:left="-2" w:leftChars="-1" w:right="53" w:rightChars="22"/>
        <w:outlineLvl w:val="0"/>
        <w:rPr>
          <w:rFonts w:ascii="黑体" w:eastAsia="黑体" w:cs="黑体"/>
          <w:b/>
          <w:color w:val="000000" w:themeColor="text1"/>
          <w:sz w:val="20"/>
          <w:szCs w:val="20"/>
          <w14:textFill>
            <w14:solidFill>
              <w14:schemeClr w14:val="tx1"/>
            </w14:solidFill>
          </w14:textFill>
        </w:rPr>
      </w:pPr>
      <w:r>
        <w:rPr>
          <w:rFonts w:hint="eastAsia" w:ascii="黑体" w:eastAsia="黑体" w:cs="黑体"/>
          <w:b/>
          <w:color w:val="000000" w:themeColor="text1"/>
          <w:sz w:val="20"/>
          <w:szCs w:val="20"/>
          <w14:textFill>
            <w14:solidFill>
              <w14:schemeClr w14:val="tx1"/>
            </w14:solidFill>
          </w14:textFill>
        </w:rPr>
        <w:t>九、理财产品的费用</w:t>
      </w:r>
    </w:p>
    <w:p w14:paraId="5625DE3D">
      <w:pPr>
        <w:snapToGrid w:val="0"/>
        <w:spacing w:line="300" w:lineRule="exact"/>
        <w:ind w:firstLine="402" w:firstLineChars="200"/>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1．本产品的费用包括认购费、申购费、赎回费、销售服务费、托管费、固定管理费、浮动管理费，产品运作和清算中产生的其他资金汇划费、结算费、交易手续费、注册登记费、信息披露费、账户服务费、审计费、律师费</w:t>
      </w:r>
      <w:r>
        <w:rPr>
          <w:rFonts w:hint="eastAsia" w:ascii="楷体_GB2312" w:eastAsia="楷体_GB2312" w:cs="楷体_GB2312"/>
          <w:b/>
          <w:color w:val="000000" w:themeColor="text1"/>
          <w:sz w:val="20"/>
          <w:szCs w:val="20"/>
          <w14:textFill>
            <w14:solidFill>
              <w14:schemeClr w14:val="tx1"/>
            </w14:solidFill>
          </w14:textFill>
        </w:rPr>
        <w:t>、因投资资产而产生的资产推荐服务费等相关费用</w:t>
      </w:r>
      <w:r>
        <w:rPr>
          <w:rFonts w:ascii="楷体_GB2312" w:eastAsia="楷体_GB2312" w:cs="楷体_GB2312"/>
          <w:b/>
          <w:color w:val="000000" w:themeColor="text1"/>
          <w:sz w:val="20"/>
          <w:szCs w:val="20"/>
          <w14:textFill>
            <w14:solidFill>
              <w14:schemeClr w14:val="tx1"/>
            </w14:solidFill>
          </w14:textFill>
        </w:rPr>
        <w:t>，以及按照法律法规规章规定和理财产品销售文件约定可以列入的其他费用。管理人因管理、运营理财产品发生的税费</w:t>
      </w:r>
      <w:r>
        <w:rPr>
          <w:rFonts w:ascii="楷体_GB2312" w:eastAsia="楷体_GB2312"/>
          <w:b/>
          <w:color w:val="000000" w:themeColor="text1"/>
          <w:sz w:val="20"/>
          <w:szCs w:val="20"/>
          <w14:textFill>
            <w14:solidFill>
              <w14:schemeClr w14:val="tx1"/>
            </w14:solidFill>
          </w14:textFill>
        </w:rPr>
        <w:t>（包括但不限于增值税及相应的附加税费等）</w:t>
      </w:r>
      <w:r>
        <w:rPr>
          <w:rFonts w:ascii="楷体_GB2312" w:eastAsia="楷体_GB2312" w:cs="楷体_GB2312"/>
          <w:b/>
          <w:color w:val="000000" w:themeColor="text1"/>
          <w:sz w:val="20"/>
          <w:szCs w:val="20"/>
          <w14:textFill>
            <w14:solidFill>
              <w14:schemeClr w14:val="tx1"/>
            </w14:solidFill>
          </w14:textFill>
        </w:rPr>
        <w:t>由产品资产承担。法律法规另有规定时从其规定。</w:t>
      </w:r>
    </w:p>
    <w:p w14:paraId="6ACF2A8F">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2．认购费：</w:t>
      </w:r>
      <w:r>
        <w:rPr>
          <w:rFonts w:hint="eastAsia" w:ascii="楷体_GB2312" w:eastAsia="楷体_GB2312" w:cs="楷体_GB2312"/>
          <w:b/>
          <w:color w:val="000000" w:themeColor="text1"/>
          <w:sz w:val="20"/>
          <w:szCs w:val="20"/>
          <w14:textFill>
            <w14:solidFill>
              <w14:schemeClr w14:val="tx1"/>
            </w14:solidFill>
          </w14:textFill>
        </w:rPr>
        <w:t>B类份额不收取认购费，G类份额不收取认购费，H类份额不收取认购费</w:t>
      </w:r>
      <w:r>
        <w:rPr>
          <w:rFonts w:ascii="楷体_GB2312" w:eastAsia="楷体_GB2312" w:cs="楷体_GB2312"/>
          <w:b/>
          <w:color w:val="000000" w:themeColor="text1"/>
          <w:sz w:val="20"/>
          <w:szCs w:val="20"/>
          <w14:textFill>
            <w14:solidFill>
              <w14:schemeClr w14:val="tx1"/>
            </w14:solidFill>
          </w14:textFill>
        </w:rPr>
        <w:t>。</w:t>
      </w:r>
    </w:p>
    <w:p w14:paraId="5A4F5794">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3．申购费：</w:t>
      </w:r>
      <w:r>
        <w:rPr>
          <w:rFonts w:ascii="楷体_GB2312" w:eastAsia="楷体_GB2312" w:cs="楷体_GB2312"/>
          <w:b/>
          <w:sz w:val="20"/>
          <w:szCs w:val="20"/>
        </w:rPr>
        <w:t>B类份额不收取申购费，G类份额不收取申购费，H类份额不收取申购费</w:t>
      </w:r>
      <w:r>
        <w:rPr>
          <w:rFonts w:ascii="楷体_GB2312" w:eastAsia="楷体_GB2312" w:cs="楷体_GB2312"/>
          <w:b/>
          <w:color w:val="000000" w:themeColor="text1"/>
          <w:sz w:val="20"/>
          <w:szCs w:val="20"/>
          <w14:textFill>
            <w14:solidFill>
              <w14:schemeClr w14:val="tx1"/>
            </w14:solidFill>
          </w14:textFill>
        </w:rPr>
        <w:t>。</w:t>
      </w:r>
    </w:p>
    <w:p w14:paraId="1D0B89F7">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4．赎回费：</w:t>
      </w:r>
      <w:r>
        <w:rPr>
          <w:rFonts w:hint="eastAsia" w:ascii="楷体_GB2312" w:eastAsia="楷体_GB2312" w:cs="楷体_GB2312"/>
          <w:b/>
          <w:color w:val="000000" w:themeColor="text1"/>
          <w:sz w:val="20"/>
          <w:szCs w:val="20"/>
          <w14:textFill>
            <w14:solidFill>
              <w14:schemeClr w14:val="tx1"/>
            </w14:solidFill>
          </w14:textFill>
        </w:rPr>
        <w:t>B类份额不收取赎回费，G类份额不收取赎回费，H类份额不收取赎回费</w:t>
      </w:r>
      <w:r>
        <w:rPr>
          <w:rFonts w:ascii="楷体_GB2312" w:eastAsia="楷体_GB2312" w:cs="楷体_GB2312"/>
          <w:b/>
          <w:color w:val="000000" w:themeColor="text1"/>
          <w:sz w:val="20"/>
          <w:szCs w:val="20"/>
          <w14:textFill>
            <w14:solidFill>
              <w14:schemeClr w14:val="tx1"/>
            </w14:solidFill>
          </w14:textFill>
        </w:rPr>
        <w:t>。</w:t>
      </w:r>
    </w:p>
    <w:p w14:paraId="38946F3D">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5．销售服务费</w:t>
      </w:r>
    </w:p>
    <w:p w14:paraId="2886FDC4">
      <w:pPr>
        <w:snapToGrid w:val="0"/>
        <w:spacing w:line="300" w:lineRule="exact"/>
        <w:ind w:firstLine="402" w:firstLineChars="200"/>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sz w:val="20"/>
          <w:szCs w:val="20"/>
        </w:rPr>
        <w:t>B类份额费率【0.30%】/年，G类份额费率【0.30%】/年，H类份额费率【0.30%】/年</w:t>
      </w:r>
      <w:r>
        <w:rPr>
          <w:rFonts w:hint="eastAsia" w:ascii="楷体_GB2312" w:eastAsia="楷体_GB2312" w:cs="楷体_GB2312"/>
          <w:b/>
          <w:sz w:val="20"/>
          <w:szCs w:val="20"/>
        </w:rPr>
        <w:t>，</w:t>
      </w:r>
      <w:r>
        <w:rPr>
          <w:rFonts w:ascii="楷体_GB2312" w:eastAsia="楷体_GB2312" w:cs="楷体_GB2312"/>
          <w:b/>
          <w:color w:val="000000" w:themeColor="text1"/>
          <w:sz w:val="20"/>
          <w:szCs w:val="20"/>
          <w14:textFill>
            <w14:solidFill>
              <w14:schemeClr w14:val="tx1"/>
            </w14:solidFill>
          </w14:textFill>
        </w:rPr>
        <w:t>计算方式为【</w:t>
      </w:r>
      <w:r>
        <w:rPr>
          <w:rFonts w:hint="eastAsia" w:ascii="楷体_GB2312" w:eastAsia="楷体_GB2312" w:cs="楷体_GB2312"/>
          <w:b/>
          <w:sz w:val="20"/>
          <w:szCs w:val="20"/>
        </w:rPr>
        <w:t>每日销售费</w:t>
      </w:r>
      <w:r>
        <w:rPr>
          <w:rFonts w:ascii="楷体_GB2312" w:eastAsia="楷体_GB2312" w:cs="楷体_GB2312"/>
          <w:b/>
          <w:sz w:val="20"/>
          <w:szCs w:val="20"/>
        </w:rPr>
        <w:t>=理财产品上一自然日产品净资产×销售费率/365。 （在首个起息日计算销售服务费时，以产品成立日的实收本金为计提基础，计算托管费、固定管理费时亦参照执行）</w:t>
      </w:r>
      <w:r>
        <w:rPr>
          <w:rFonts w:ascii="楷体_GB2312" w:eastAsia="楷体_GB2312" w:cs="楷体_GB2312"/>
          <w:b/>
          <w:color w:val="000000" w:themeColor="text1"/>
          <w:sz w:val="20"/>
          <w:szCs w:val="20"/>
          <w14:textFill>
            <w14:solidFill>
              <w14:schemeClr w14:val="tx1"/>
            </w14:solidFill>
          </w14:textFill>
        </w:rPr>
        <w:t>】。</w:t>
      </w:r>
    </w:p>
    <w:p w14:paraId="751D91A8">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销售服务费每日计提，按【季】支付，由管理人向托管人发送指令，托管人复核后按【季】从资产中一次性支付。投资者通过代销机构购买理财产品的，代销机构收取的销售相关费用以代销机构规定为准。</w:t>
      </w:r>
    </w:p>
    <w:p w14:paraId="412F255E">
      <w:pPr>
        <w:spacing w:line="300" w:lineRule="exact"/>
        <w:ind w:firstLine="402" w:firstLineChars="200"/>
        <w:jc w:val="both"/>
        <w:rPr>
          <w:rFonts w:ascii="楷体_GB2312" w:eastAsia="楷体_GB2312" w:cs="楷体_GB2312"/>
          <w:b/>
          <w:color w:val="000000" w:themeColor="text1"/>
          <w:sz w:val="20"/>
          <w:szCs w:val="20"/>
          <w14:textFill>
            <w14:solidFill>
              <w14:schemeClr w14:val="tx1"/>
            </w14:solidFill>
          </w14:textFill>
        </w:rPr>
      </w:pPr>
      <w:r>
        <w:rPr>
          <w:rFonts w:hint="eastAsia" w:ascii="楷体_GB2312" w:eastAsia="楷体_GB2312" w:cs="楷体_GB2312"/>
          <w:b/>
          <w:sz w:val="20"/>
          <w:szCs w:val="20"/>
        </w:rPr>
        <w:t>本产品可能同时在其他渠道销售，本产品收取的销售服务费可能因销售机构不同有所差异，从而导致测算的业绩比较基准有所差异，请投资者关注管理人及销售机构相关信息披露。</w:t>
      </w:r>
    </w:p>
    <w:p w14:paraId="7C11ABBA">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6．托管费</w:t>
      </w:r>
    </w:p>
    <w:p w14:paraId="492584D0">
      <w:pPr>
        <w:snapToGrid w:val="0"/>
        <w:spacing w:line="300" w:lineRule="exact"/>
        <w:ind w:firstLine="402" w:firstLineChars="200"/>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费率【0.03%】/年，计算方式为【</w:t>
      </w:r>
      <w:r>
        <w:rPr>
          <w:rFonts w:hint="eastAsia" w:ascii="楷体_GB2312" w:eastAsia="楷体_GB2312" w:cs="楷体_GB2312"/>
          <w:b/>
          <w:sz w:val="20"/>
          <w:szCs w:val="20"/>
        </w:rPr>
        <w:t>每日托管费</w:t>
      </w:r>
      <w:r>
        <w:rPr>
          <w:rFonts w:ascii="楷体_GB2312" w:eastAsia="楷体_GB2312" w:cs="楷体_GB2312"/>
          <w:b/>
          <w:sz w:val="20"/>
          <w:szCs w:val="20"/>
        </w:rPr>
        <w:t>=理财产品上一自然日产品净资产×托管费率/365</w:t>
      </w:r>
      <w:r>
        <w:rPr>
          <w:rFonts w:ascii="楷体_GB2312" w:eastAsia="楷体_GB2312" w:cs="楷体_GB2312"/>
          <w:b/>
          <w:color w:val="000000" w:themeColor="text1"/>
          <w:sz w:val="20"/>
          <w:szCs w:val="20"/>
          <w14:textFill>
            <w14:solidFill>
              <w14:schemeClr w14:val="tx1"/>
            </w14:solidFill>
          </w14:textFill>
        </w:rPr>
        <w:t>】。</w:t>
      </w:r>
    </w:p>
    <w:p w14:paraId="265F118F">
      <w:pPr>
        <w:snapToGrid w:val="0"/>
        <w:spacing w:line="300" w:lineRule="exact"/>
        <w:ind w:firstLine="402" w:firstLineChars="200"/>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托管费每日计提，按【</w:t>
      </w:r>
      <w:r>
        <w:rPr>
          <w:rFonts w:hint="eastAsia" w:ascii="楷体_GB2312" w:eastAsia="楷体_GB2312" w:cs="楷体_GB2312"/>
          <w:b/>
          <w:color w:val="000000" w:themeColor="text1"/>
          <w:sz w:val="20"/>
          <w:szCs w:val="20"/>
          <w14:textFill>
            <w14:solidFill>
              <w14:schemeClr w14:val="tx1"/>
            </w14:solidFill>
          </w14:textFill>
        </w:rPr>
        <w:t>年</w:t>
      </w:r>
      <w:r>
        <w:rPr>
          <w:rFonts w:ascii="楷体_GB2312" w:eastAsia="楷体_GB2312" w:cs="楷体_GB2312"/>
          <w:b/>
          <w:color w:val="000000" w:themeColor="text1"/>
          <w:sz w:val="20"/>
          <w:szCs w:val="20"/>
          <w14:textFill>
            <w14:solidFill>
              <w14:schemeClr w14:val="tx1"/>
            </w14:solidFill>
          </w14:textFill>
        </w:rPr>
        <w:t>】支付，由管理人向托管人发送指令，托管人复核后从资产中一次性支付。</w:t>
      </w:r>
    </w:p>
    <w:p w14:paraId="7E248386">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7．固定管理费</w:t>
      </w:r>
    </w:p>
    <w:p w14:paraId="43D1EEDD">
      <w:pPr>
        <w:snapToGrid w:val="0"/>
        <w:spacing w:line="300" w:lineRule="exact"/>
        <w:ind w:firstLine="402" w:firstLineChars="200"/>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费率【0.30%】/年，计算方式为【</w:t>
      </w:r>
      <w:r>
        <w:rPr>
          <w:rFonts w:hint="eastAsia" w:ascii="楷体_GB2312" w:eastAsia="楷体_GB2312" w:cs="楷体_GB2312"/>
          <w:b/>
          <w:sz w:val="20"/>
          <w:szCs w:val="20"/>
        </w:rPr>
        <w:t>每日固定管理费</w:t>
      </w:r>
      <w:r>
        <w:rPr>
          <w:rFonts w:ascii="楷体_GB2312" w:eastAsia="楷体_GB2312" w:cs="楷体_GB2312"/>
          <w:b/>
          <w:sz w:val="20"/>
          <w:szCs w:val="20"/>
        </w:rPr>
        <w:t>=理财产品上一自然日产品净资产×固定管理费率/365</w:t>
      </w:r>
      <w:r>
        <w:rPr>
          <w:rFonts w:ascii="楷体_GB2312" w:eastAsia="楷体_GB2312" w:cs="楷体_GB2312"/>
          <w:b/>
          <w:color w:val="000000" w:themeColor="text1"/>
          <w:sz w:val="20"/>
          <w:szCs w:val="20"/>
          <w14:textFill>
            <w14:solidFill>
              <w14:schemeClr w14:val="tx1"/>
            </w14:solidFill>
          </w14:textFill>
        </w:rPr>
        <w:t>】。</w:t>
      </w:r>
    </w:p>
    <w:p w14:paraId="2D7D7493">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固定管理费每日计提，按【月】支付，由管理人向托管人发送指令，托管人复核后从资产中一次性支付。</w:t>
      </w:r>
    </w:p>
    <w:p w14:paraId="450BFA2F">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hint="eastAsia" w:ascii="楷体_GB2312" w:eastAsia="楷体_GB2312" w:cs="楷体_GB2312"/>
          <w:b/>
          <w:color w:val="000000" w:themeColor="text1"/>
          <w:sz w:val="20"/>
          <w:szCs w:val="20"/>
          <w14:textFill>
            <w14:solidFill>
              <w14:schemeClr w14:val="tx1"/>
            </w14:solidFill>
          </w14:textFill>
        </w:rPr>
        <w:t>8</w:t>
      </w:r>
      <w:r>
        <w:rPr>
          <w:rFonts w:ascii="楷体_GB2312" w:eastAsia="楷体_GB2312" w:cs="楷体_GB2312"/>
          <w:b/>
          <w:color w:val="000000" w:themeColor="text1"/>
          <w:sz w:val="20"/>
          <w:szCs w:val="20"/>
          <w14:textFill>
            <w14:solidFill>
              <w14:schemeClr w14:val="tx1"/>
            </w14:solidFill>
          </w14:textFill>
        </w:rPr>
        <w:t>．浮动管理费</w:t>
      </w:r>
    </w:p>
    <w:p w14:paraId="443EB698">
      <w:pPr>
        <w:snapToGrid w:val="0"/>
        <w:spacing w:line="300" w:lineRule="exact"/>
        <w:ind w:right="53" w:rightChars="22"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B类、G类、H类份额不收取浮动管理费。</w:t>
      </w:r>
    </w:p>
    <w:p w14:paraId="69678187">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hint="eastAsia" w:ascii="楷体_GB2312" w:eastAsia="楷体_GB2312" w:cs="楷体_GB2312"/>
          <w:b/>
          <w:color w:val="000000" w:themeColor="text1"/>
          <w:sz w:val="20"/>
          <w:szCs w:val="20"/>
          <w14:textFill>
            <w14:solidFill>
              <w14:schemeClr w14:val="tx1"/>
            </w14:solidFill>
          </w14:textFill>
        </w:rPr>
        <w:t>9</w:t>
      </w:r>
      <w:r>
        <w:rPr>
          <w:rFonts w:ascii="楷体_GB2312" w:eastAsia="楷体_GB2312" w:cs="楷体_GB2312"/>
          <w:b/>
          <w:color w:val="000000" w:themeColor="text1"/>
          <w:sz w:val="20"/>
          <w:szCs w:val="20"/>
          <w14:textFill>
            <w14:solidFill>
              <w14:schemeClr w14:val="tx1"/>
            </w14:solidFill>
          </w14:textFill>
        </w:rPr>
        <w:t>．产品运作和清算中产生的其他资金汇划费、结算费、交易手续费、注册登记费、信息披露费、账户服务费、审计费、律师费</w:t>
      </w:r>
      <w:r>
        <w:rPr>
          <w:rFonts w:hint="eastAsia" w:ascii="楷体_GB2312" w:eastAsia="楷体_GB2312" w:cs="楷体_GB2312"/>
          <w:b/>
          <w:color w:val="000000" w:themeColor="text1"/>
          <w:sz w:val="20"/>
          <w:szCs w:val="20"/>
          <w14:textFill>
            <w14:solidFill>
              <w14:schemeClr w14:val="tx1"/>
            </w14:solidFill>
          </w14:textFill>
        </w:rPr>
        <w:t>、因投资资产而产生的资产推荐服务费等相关费用</w:t>
      </w:r>
      <w:r>
        <w:rPr>
          <w:rFonts w:ascii="楷体_GB2312" w:eastAsia="楷体_GB2312" w:cs="楷体_GB2312"/>
          <w:b/>
          <w:color w:val="000000" w:themeColor="text1"/>
          <w:sz w:val="20"/>
          <w:szCs w:val="20"/>
          <w14:textFill>
            <w14:solidFill>
              <w14:schemeClr w14:val="tx1"/>
            </w14:solidFill>
          </w14:textFill>
        </w:rPr>
        <w:t>及按照法律法规规章规定和理财产品销售文件约定应由产品承担的费用等，按照实际发生时从产品资产中列支。</w:t>
      </w:r>
    </w:p>
    <w:p w14:paraId="35D1597E">
      <w:pPr>
        <w:snapToGrid w:val="0"/>
        <w:spacing w:line="300" w:lineRule="exact"/>
        <w:ind w:left="-2" w:leftChars="-1" w:right="53" w:rightChars="22" w:firstLine="400" w:firstLineChars="200"/>
        <w:jc w:val="both"/>
        <w:outlineLvl w:val="0"/>
        <w:rPr>
          <w:rFonts w:ascii="楷体_GB2312" w:eastAsia="楷体_GB2312" w:cs="楷体_GB2312"/>
          <w:color w:val="000000" w:themeColor="text1"/>
          <w:sz w:val="20"/>
          <w:szCs w:val="20"/>
          <w14:textFill>
            <w14:solidFill>
              <w14:schemeClr w14:val="tx1"/>
            </w14:solidFill>
          </w14:textFill>
        </w:rPr>
      </w:pPr>
    </w:p>
    <w:p w14:paraId="4925DD5F">
      <w:pPr>
        <w:spacing w:line="300" w:lineRule="exact"/>
        <w:ind w:right="29" w:rightChars="12"/>
        <w:rPr>
          <w:rFonts w:ascii="黑体" w:eastAsia="黑体"/>
          <w:color w:val="000000" w:themeColor="text1"/>
          <w:sz w:val="20"/>
          <w:szCs w:val="20"/>
          <w14:textFill>
            <w14:solidFill>
              <w14:schemeClr w14:val="tx1"/>
            </w14:solidFill>
          </w14:textFill>
        </w:rPr>
      </w:pPr>
      <w:r>
        <w:rPr>
          <w:rFonts w:hint="eastAsia" w:ascii="黑体" w:eastAsia="黑体" w:cs="黑体"/>
          <w:color w:val="000000" w:themeColor="text1"/>
          <w:sz w:val="20"/>
          <w:szCs w:val="20"/>
          <w14:textFill>
            <w14:solidFill>
              <w14:schemeClr w14:val="tx1"/>
            </w14:solidFill>
          </w14:textFill>
        </w:rPr>
        <w:t>十、资产估值</w:t>
      </w:r>
    </w:p>
    <w:p w14:paraId="02DF5C2B">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．估值日</w:t>
      </w:r>
    </w:p>
    <w:p w14:paraId="4696C9B8">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w:t>
      </w:r>
      <w:r>
        <w:rPr>
          <w:rFonts w:ascii="楷体_GB2312" w:eastAsia="楷体_GB2312" w:cs="楷体_GB2312"/>
          <w:color w:val="000000" w:themeColor="text1"/>
          <w:sz w:val="20"/>
          <w:szCs w:val="20"/>
          <w14:textFill>
            <w14:solidFill>
              <w14:schemeClr w14:val="tx1"/>
            </w14:solidFill>
          </w14:textFill>
        </w:rPr>
        <w:t>产品的估值日为</w:t>
      </w:r>
      <w:r>
        <w:rPr>
          <w:rFonts w:hint="eastAsia" w:ascii="楷体_GB2312" w:eastAsia="楷体_GB2312" w:cs="楷体_GB2312"/>
          <w:color w:val="000000" w:themeColor="text1"/>
          <w:sz w:val="20"/>
          <w:szCs w:val="20"/>
          <w14:textFill>
            <w14:solidFill>
              <w14:schemeClr w14:val="tx1"/>
            </w14:solidFill>
          </w14:textFill>
        </w:rPr>
        <w:t>产品开放日、净值披露日和收益分配日</w:t>
      </w:r>
      <w:r>
        <w:rPr>
          <w:rFonts w:ascii="楷体_GB2312" w:eastAsia="楷体_GB2312" w:cs="楷体_GB2312"/>
          <w:color w:val="000000" w:themeColor="text1"/>
          <w:sz w:val="20"/>
          <w:szCs w:val="20"/>
          <w14:textFill>
            <w14:solidFill>
              <w14:schemeClr w14:val="tx1"/>
            </w14:solidFill>
          </w14:textFill>
        </w:rPr>
        <w:t>。</w:t>
      </w:r>
    </w:p>
    <w:p w14:paraId="32B5DEB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估值</w:t>
      </w:r>
      <w:r>
        <w:rPr>
          <w:rFonts w:ascii="楷体_GB2312" w:eastAsia="楷体_GB2312" w:cs="楷体_GB2312"/>
          <w:color w:val="000000" w:themeColor="text1"/>
          <w:sz w:val="20"/>
          <w:szCs w:val="20"/>
          <w14:textFill>
            <w14:solidFill>
              <w14:schemeClr w14:val="tx1"/>
            </w14:solidFill>
          </w14:textFill>
        </w:rPr>
        <w:t>对象和</w:t>
      </w:r>
      <w:r>
        <w:rPr>
          <w:rFonts w:hint="eastAsia" w:ascii="楷体_GB2312" w:eastAsia="楷体_GB2312" w:cs="楷体_GB2312"/>
          <w:color w:val="000000" w:themeColor="text1"/>
          <w:sz w:val="20"/>
          <w:szCs w:val="20"/>
          <w14:textFill>
            <w14:solidFill>
              <w14:schemeClr w14:val="tx1"/>
            </w14:solidFill>
          </w14:textFill>
        </w:rPr>
        <w:t>估值方法</w:t>
      </w:r>
    </w:p>
    <w:p w14:paraId="0A2A23B4">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【理财产品所投资各类资产原则上按照公允价值估值。</w:t>
      </w:r>
    </w:p>
    <w:p w14:paraId="5A22E435">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1）银行存款、回购等货币市场工具</w:t>
      </w:r>
    </w:p>
    <w:p w14:paraId="1BA1AA71">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以本金列示，按商定的利率在实际持有期间内逐日计提利息。</w:t>
      </w:r>
    </w:p>
    <w:p w14:paraId="0B2E4BC7">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2）在境内银行间市场和证券交易所流通的债券等标准化固定收益类资产</w:t>
      </w:r>
    </w:p>
    <w:p w14:paraId="447D94D5">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按第三方估值机构（中债、中证等）提供的相应品种当日的估值净价进行估值，未获取到第三方估值结果的，按照最新监管规定进行估值。</w:t>
      </w:r>
    </w:p>
    <w:p w14:paraId="112EB8E2">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3）交易所上市的非货币基金，按其所在证券交易所的收盘价或基金管理人公布能获取到的最新份额净值估值；交易所上市的货币基金，按基金管理人公布能获取到的最新份额净值，或前一估值日后至估值日期间（含节假日）能获取到的最新万分收益进行估值。</w:t>
      </w:r>
    </w:p>
    <w:p w14:paraId="51C92448">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4）未上市基金估值</w:t>
      </w:r>
    </w:p>
    <w:p w14:paraId="7B3A2C25">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境内未上市的货币市场基金，按基金管理人公布的前一估值日后至估值日期间（含节假日）能获取到的最新万份收益计提估值日收益。</w:t>
      </w:r>
    </w:p>
    <w:p w14:paraId="4103B4DA">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境内未上市的非货币市场基金，按基金管理人公布能获取到的最新份额净值估值。</w:t>
      </w:r>
    </w:p>
    <w:p w14:paraId="32A95E30">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5）信托计划、资管计划、私募基金等资产，以对方管理人披露的可获取到的最新净值，或前一估值日后至估值日期间（含节假日）能获取到的最新万分收益进行估值。</w:t>
      </w:r>
    </w:p>
    <w:p w14:paraId="2DCE7779">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6）非标准化债权，存在并可以确定公允价值的，以公允价值估值；公允价值不能确定的，按照最新监管规定或管理人认可的估值技术进行估值。</w:t>
      </w:r>
    </w:p>
    <w:p w14:paraId="69ED347D">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7）交易所上市的股票，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61766F3">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8）期货、互换、期权等衍生金融工具，有活跃市场的交易，以最近交易日结算价或收盘价进行估值；无活跃市场的交易，按照第三方机构提供的估值数据或管理人认可的估值技术进行估值。</w:t>
      </w:r>
    </w:p>
    <w:p w14:paraId="766F03FC">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9）若本产品存续期间持有其他投资品种，以管理人和托管人共同认可的方法估值。</w:t>
      </w:r>
    </w:p>
    <w:p w14:paraId="103D1A2D">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10）在任何情况下，如采用以上规定的方法对资产进行估值，均应被认为采用了适当的估值方法。但是，如果管理人或托管人认为按以上规定的方法对本产品资产进行估值不能客观反映其公允价值的，可协商一致后，变更其估值方式，并从协商一致日起执行。</w:t>
      </w:r>
    </w:p>
    <w:p w14:paraId="48B6A5CC">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11）对于以上估值方法，相关法律法规以及监管部门有另行规定的，按照监管最新规定执行。若本产品存续期间持有其他投资品种，以管理人和托管人共同认可的方法计算其价值，如存在并可以确定公允价值的，以公允价值计算。公允价值不能确定的，根据监管最新规定采用管理人认可的估值技术进行估值。</w:t>
      </w:r>
    </w:p>
    <w:p w14:paraId="01329870">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按照以上估值方法进行估值时，所造成的误差不作为理财产品估值错误处理。】</w:t>
      </w:r>
    </w:p>
    <w:p w14:paraId="7B6A05F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．估值</w:t>
      </w:r>
      <w:r>
        <w:rPr>
          <w:rFonts w:ascii="楷体_GB2312" w:eastAsia="楷体_GB2312" w:cs="楷体_GB2312"/>
          <w:color w:val="000000" w:themeColor="text1"/>
          <w:sz w:val="20"/>
          <w:szCs w:val="20"/>
          <w14:textFill>
            <w14:solidFill>
              <w14:schemeClr w14:val="tx1"/>
            </w14:solidFill>
          </w14:textFill>
        </w:rPr>
        <w:t>错误的</w:t>
      </w:r>
      <w:r>
        <w:rPr>
          <w:rFonts w:hint="eastAsia" w:ascii="楷体_GB2312" w:eastAsia="楷体_GB2312" w:cs="楷体_GB2312"/>
          <w:color w:val="000000" w:themeColor="text1"/>
          <w:sz w:val="20"/>
          <w:szCs w:val="20"/>
          <w14:textFill>
            <w14:solidFill>
              <w14:schemeClr w14:val="tx1"/>
            </w14:solidFill>
          </w14:textFill>
        </w:rPr>
        <w:t>处理</w:t>
      </w:r>
    </w:p>
    <w:p w14:paraId="12BA7F4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本产品管理人和托管人将采取必要、适当合理的措施确保资产估值的准确性、及时性。当单位净值出现错误时，本产品管理人和托管人应当立即予以纠正，并采取合理的措施防止损失进一步扩大。</w:t>
      </w:r>
    </w:p>
    <w:p w14:paraId="489511EC">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1）估值错误处理原则</w:t>
      </w:r>
    </w:p>
    <w:p w14:paraId="5668D978">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A由于管理人或托管人自身的过错造成估值错误，导致投资者遭受损失的，由估值错误责任方按照各自过错程度对该估值错误导致投资者遭受的直接损失给予赔偿，承担赔偿责任。</w:t>
      </w:r>
    </w:p>
    <w:p w14:paraId="1889AB04">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B对于因技术原因引起的差错，若系同行业现有技术水平无法预见、无法避免、无法抗拒，属不可抗力。因不可抗力原因出现差错的当事人不对投资者承担赔偿责任，但应当积极采取必要措施消除差错带来的影响。</w:t>
      </w:r>
    </w:p>
    <w:p w14:paraId="15B55D6B">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C因托管人估值错误造成财产损失时，管理人应向托管人追偿。若管理人和托管人之外的第三方估值差错造成财产的损失，并拒绝进行赔偿时，理财产品由管理人负责向差错方追偿；追偿过程中产生的有关费用，应列入理财产品费用，由理财产品承担。</w:t>
      </w:r>
    </w:p>
    <w:p w14:paraId="7E3E3574">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D当估值出现错误时，因估值错误而获得不当得利的投资者负有及时返还不当得利的义务。</w:t>
      </w:r>
    </w:p>
    <w:p w14:paraId="12B032DC">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E按法律法规规定的其他原则处理估值错误。</w:t>
      </w:r>
    </w:p>
    <w:p w14:paraId="2439006C">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2）估值错误处理程序</w:t>
      </w:r>
    </w:p>
    <w:p w14:paraId="7DD7E78F">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估值错误被发现后，管理人和托管人应当及时进行处理，处理的程序如下：</w:t>
      </w:r>
    </w:p>
    <w:p w14:paraId="0D42C634">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A查明估值错误发生的原因，列明所有的管理人和托管人并根据估值错误发生的原因确定估值错误的责任方；</w:t>
      </w:r>
    </w:p>
    <w:p w14:paraId="5C7EB87A">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B根据估值错误处理原则对因估值错误造成的损失进行评估；</w:t>
      </w:r>
    </w:p>
    <w:p w14:paraId="715E3E37">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C根据管理人和托管人协商的方法，由管理人和托管人共同进行更正，由估值错误的责任方进行赔偿损失。</w:t>
      </w:r>
    </w:p>
    <w:p w14:paraId="06B80926">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4．</w:t>
      </w:r>
      <w:r>
        <w:rPr>
          <w:rFonts w:ascii="楷体_GB2312" w:eastAsia="楷体_GB2312"/>
          <w:color w:val="000000" w:themeColor="text1"/>
          <w:sz w:val="20"/>
          <w:szCs w:val="20"/>
          <w14:textFill>
            <w14:solidFill>
              <w14:schemeClr w14:val="tx1"/>
            </w14:solidFill>
          </w14:textFill>
        </w:rPr>
        <w:t>特殊情况的处理</w:t>
      </w:r>
    </w:p>
    <w:p w14:paraId="6C976AFF">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1）由于不可抗力原因，或由于证券交易所、期货交易所、第三方估值机构、信托公司、基金公司等发送数据错误等非管理人和托管人原因，管理人和托管人虽然已经采取必要、适当、合理的措施进行检查，但未能发现错误的，由此造成的估值错误，管理人和托管人免除赔偿责任。但管理人、托管人应当积极采取必要的措施减轻或消除由此造成的影响。</w:t>
      </w:r>
    </w:p>
    <w:p w14:paraId="5491678D">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2）前述内容如法律法规、监管机关另有规定的，或有关会计准则发生变化等，按照国家最新规定或管理人最新约定估值。如果行业另有通行做法，管理人和托管人本着平等和保护投资者的原则进行协商。</w:t>
      </w:r>
    </w:p>
    <w:p w14:paraId="458DDCDD">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5．暂停估值的情形</w:t>
      </w:r>
    </w:p>
    <w:p w14:paraId="144EF332">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当资产估值因不可抗力或其他情形致使本产品管理人和托管人无法准确评估资产价值时；</w:t>
      </w:r>
    </w:p>
    <w:p w14:paraId="5EA6B5D1">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2）理财产品投资所涉及的交易市场遇法定节假日或因其他原因暂停营业时；</w:t>
      </w:r>
    </w:p>
    <w:p w14:paraId="4BCDED6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产品投资的其他</w:t>
      </w:r>
      <w:r>
        <w:rPr>
          <w:rFonts w:hint="eastAsia" w:ascii="楷体_GB2312" w:eastAsia="楷体_GB2312" w:cs="楷体_GB2312"/>
          <w:color w:val="000000" w:themeColor="text1"/>
          <w:sz w:val="20"/>
          <w:szCs w:val="20"/>
          <w14:textFill>
            <w14:solidFill>
              <w14:schemeClr w14:val="tx1"/>
            </w14:solidFill>
          </w14:textFill>
        </w:rPr>
        <w:t>资产</w:t>
      </w:r>
      <w:r>
        <w:rPr>
          <w:rFonts w:ascii="楷体_GB2312" w:eastAsia="楷体_GB2312" w:cs="楷体_GB2312"/>
          <w:color w:val="000000" w:themeColor="text1"/>
          <w:sz w:val="20"/>
          <w:szCs w:val="20"/>
          <w14:textFill>
            <w14:solidFill>
              <w14:schemeClr w14:val="tx1"/>
            </w14:solidFill>
          </w14:textFill>
        </w:rPr>
        <w:t>产品合同约定暂停估值或无法估值的情形发生，导致理财产品无法估值时；</w:t>
      </w:r>
    </w:p>
    <w:p w14:paraId="70FC086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产品在前一估值日内，产品资产净值</w:t>
      </w:r>
      <w:r>
        <w:rPr>
          <w:rFonts w:ascii="楷体_GB2312" w:eastAsia="楷体_GB2312" w:cs="楷体_GB2312"/>
          <w:color w:val="000000" w:themeColor="text1"/>
          <w:sz w:val="20"/>
          <w:szCs w:val="20"/>
          <w14:textFill>
            <w14:solidFill>
              <w14:schemeClr w14:val="tx1"/>
            </w14:solidFill>
          </w14:textFill>
        </w:rPr>
        <w:t>50%以上的资产不具备活跃交易市场或者在活跃市场中无报价，且不能采用估值技术可靠计量公允价值的</w:t>
      </w:r>
      <w:r>
        <w:rPr>
          <w:rFonts w:hint="eastAsia" w:ascii="楷体_GB2312" w:eastAsia="楷体_GB2312" w:cs="楷体_GB2312"/>
          <w:color w:val="000000" w:themeColor="text1"/>
          <w:sz w:val="20"/>
          <w:szCs w:val="20"/>
          <w14:textFill>
            <w14:solidFill>
              <w14:schemeClr w14:val="tx1"/>
            </w14:solidFill>
          </w14:textFill>
        </w:rPr>
        <w:t>；</w:t>
      </w:r>
    </w:p>
    <w:p w14:paraId="5362684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（5</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国务院银行业监督管理机构认定的其他情形或理财</w:t>
      </w:r>
      <w:r>
        <w:rPr>
          <w:rFonts w:ascii="楷体_GB2312" w:eastAsia="楷体_GB2312" w:cs="楷体_GB2312"/>
          <w:color w:val="000000" w:themeColor="text1"/>
          <w:sz w:val="20"/>
          <w:szCs w:val="20"/>
          <w14:textFill>
            <w14:solidFill>
              <w14:schemeClr w14:val="tx1"/>
            </w14:solidFill>
          </w14:textFill>
        </w:rPr>
        <w:t>产品管理人、托管人有合理理由认为将影响本理财产品估值的其他情形</w:t>
      </w:r>
      <w:r>
        <w:rPr>
          <w:rFonts w:hint="eastAsia" w:ascii="楷体_GB2312" w:eastAsia="楷体_GB2312" w:cs="楷体_GB2312"/>
          <w:color w:val="000000" w:themeColor="text1"/>
          <w:sz w:val="20"/>
          <w:szCs w:val="20"/>
          <w14:textFill>
            <w14:solidFill>
              <w14:schemeClr w14:val="tx1"/>
            </w14:solidFill>
          </w14:textFill>
        </w:rPr>
        <w:t>。</w:t>
      </w:r>
    </w:p>
    <w:p w14:paraId="09B2A58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遇以上情形，管理人可暂停本产品估值直至另行通知。</w:t>
      </w:r>
    </w:p>
    <w:p w14:paraId="316EC785">
      <w:pPr>
        <w:snapToGrid w:val="0"/>
        <w:spacing w:line="300" w:lineRule="exact"/>
        <w:ind w:right="53" w:rightChars="22"/>
        <w:outlineLvl w:val="0"/>
        <w:rPr>
          <w:rFonts w:ascii="楷体_GB2312" w:eastAsia="楷体_GB2312"/>
          <w:color w:val="000000" w:themeColor="text1"/>
          <w:sz w:val="20"/>
          <w:szCs w:val="20"/>
          <w14:textFill>
            <w14:solidFill>
              <w14:schemeClr w14:val="tx1"/>
            </w14:solidFill>
          </w14:textFill>
        </w:rPr>
      </w:pPr>
    </w:p>
    <w:p w14:paraId="5DD407A1">
      <w:pPr>
        <w:spacing w:line="300" w:lineRule="exact"/>
        <w:ind w:left="-2" w:leftChars="-1" w:right="36" w:rightChars="15"/>
        <w:rPr>
          <w:color w:val="000000" w:themeColor="text1"/>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十一、产品不成立</w:t>
      </w:r>
    </w:p>
    <w:p w14:paraId="7490EE94">
      <w:pPr>
        <w:spacing w:line="300" w:lineRule="exact"/>
        <w:ind w:firstLine="400" w:firstLineChars="200"/>
        <w:jc w:val="both"/>
        <w:rPr>
          <w:color w:val="000000" w:themeColor="text1"/>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如遇国家法律法规或监管政策出现重大调整，或者市场、拟投资标的等</w:t>
      </w:r>
      <w:r>
        <w:rPr>
          <w:rFonts w:ascii="楷体_GB2312" w:eastAsia="楷体_GB2312" w:cs="楷体_GB2312"/>
          <w:color w:val="000000" w:themeColor="text1"/>
          <w:sz w:val="20"/>
          <w:szCs w:val="20"/>
          <w14:textFill>
            <w14:solidFill>
              <w14:schemeClr w14:val="tx1"/>
            </w14:solidFill>
          </w14:textFill>
        </w:rPr>
        <w:t>情况</w:t>
      </w:r>
      <w:r>
        <w:rPr>
          <w:rFonts w:hint="eastAsia" w:ascii="楷体_GB2312" w:eastAsia="楷体_GB2312" w:cs="楷体_GB2312"/>
          <w:color w:val="000000" w:themeColor="text1"/>
          <w:sz w:val="20"/>
          <w:szCs w:val="20"/>
          <w14:textFill>
            <w14:solidFill>
              <w14:schemeClr w14:val="tx1"/>
            </w14:solidFill>
          </w14:textFill>
        </w:rPr>
        <w:t>出现重大变化，影响到本产品的正常成立时，信银理财有权宣布产品不成立。</w:t>
      </w:r>
    </w:p>
    <w:p w14:paraId="08B2D6AD">
      <w:pPr>
        <w:spacing w:line="300" w:lineRule="exact"/>
        <w:ind w:firstLine="400" w:firstLineChars="200"/>
        <w:jc w:val="both"/>
        <w:rPr>
          <w:rFonts w:ascii="Times New Roman" w:hAnsi="Times New Roman"/>
          <w:b/>
          <w:bCs/>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信银理财将于决定理财产品不成立后的【2】个工作日内</w:t>
      </w:r>
      <w:r>
        <w:rPr>
          <w:rFonts w:ascii="楷体_GB2312" w:eastAsia="楷体_GB2312" w:cs="楷体_GB2312"/>
          <w:color w:val="000000" w:themeColor="text1"/>
          <w:sz w:val="20"/>
          <w:szCs w:val="20"/>
          <w14:textFill>
            <w14:solidFill>
              <w14:schemeClr w14:val="tx1"/>
            </w14:solidFill>
          </w14:textFill>
        </w:rPr>
        <w:t>通知投资者</w:t>
      </w:r>
      <w:r>
        <w:rPr>
          <w:rFonts w:hint="eastAsia" w:ascii="楷体_GB2312" w:eastAsia="楷体_GB2312" w:cs="楷体_GB2312"/>
          <w:color w:val="000000" w:themeColor="text1"/>
          <w:sz w:val="20"/>
          <w:szCs w:val="20"/>
          <w14:textFill>
            <w14:solidFill>
              <w14:schemeClr w14:val="tx1"/>
            </w14:solidFill>
          </w14:textFill>
        </w:rPr>
        <w:t>。如信银理财通知产品不成立，将于通知产品不成立之日起【2】个工作日内返还投资者本金（扣款日至本金返还日期间不计付利息。投资者通过代销机构购买的，计息规则以代销机构规定为准）。投资者通过代销机构渠道购买理财产品的，投资者本金划转至投资者账户的时间以代销机构的清算时间为准。</w:t>
      </w:r>
      <w:r>
        <w:rPr>
          <w:rFonts w:ascii="Times New Roman" w:hAnsi="Times New Roman"/>
          <w:b/>
          <w:bCs/>
          <w:color w:val="000000" w:themeColor="text1"/>
          <w:sz w:val="20"/>
          <w:szCs w:val="20"/>
          <w14:textFill>
            <w14:solidFill>
              <w14:schemeClr w14:val="tx1"/>
            </w14:solidFill>
          </w14:textFill>
        </w:rPr>
        <w:t> </w:t>
      </w:r>
    </w:p>
    <w:p w14:paraId="7CA108EA">
      <w:pPr>
        <w:spacing w:line="300" w:lineRule="exact"/>
        <w:ind w:left="-2" w:leftChars="-1" w:right="36" w:rightChars="15" w:firstLine="480" w:firstLineChars="200"/>
        <w:jc w:val="both"/>
        <w:rPr>
          <w:color w:val="000000" w:themeColor="text1"/>
          <w14:textFill>
            <w14:solidFill>
              <w14:schemeClr w14:val="tx1"/>
            </w14:solidFill>
          </w14:textFill>
        </w:rPr>
      </w:pPr>
    </w:p>
    <w:p w14:paraId="2622D079">
      <w:pPr>
        <w:snapToGrid w:val="0"/>
        <w:ind w:left="-2" w:leftChars="-1" w:right="53" w:rightChars="22"/>
        <w:outlineLvl w:val="0"/>
        <w:rPr>
          <w:color w:val="000000" w:themeColor="text1"/>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十二、产品的提前终止</w:t>
      </w:r>
    </w:p>
    <w:p w14:paraId="25B0A84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本理财产品存续期内，投资者无权单方面主动决定终止本理财产品。为保护投资者利益，理财产品管理人有权按照本理财产品资金运作的实际情况，主动终止本理财产品。理财产品管理人提前终止本理财产品的原因包括但不限于：</w:t>
      </w:r>
    </w:p>
    <w:p w14:paraId="0A9F1AD0">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（1）遇不可</w:t>
      </w:r>
      <w:r>
        <w:rPr>
          <w:rFonts w:ascii="楷体_GB2312" w:eastAsia="楷体_GB2312" w:cs="楷体_GB2312"/>
          <w:color w:val="000000" w:themeColor="text1"/>
          <w:sz w:val="20"/>
          <w:szCs w:val="20"/>
          <w14:textFill>
            <w14:solidFill>
              <w14:schemeClr w14:val="tx1"/>
            </w14:solidFill>
          </w14:textFill>
        </w:rPr>
        <w:t>抗力事件</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法律法规</w:t>
      </w:r>
      <w:r>
        <w:rPr>
          <w:rFonts w:hint="eastAsia" w:ascii="楷体_GB2312" w:eastAsia="楷体_GB2312" w:cs="楷体_GB2312"/>
          <w:color w:val="000000" w:themeColor="text1"/>
          <w:sz w:val="20"/>
          <w:szCs w:val="20"/>
          <w14:textFill>
            <w14:solidFill>
              <w14:schemeClr w14:val="tx1"/>
            </w14:solidFill>
          </w14:textFill>
        </w:rPr>
        <w:t>规定、</w:t>
      </w:r>
      <w:r>
        <w:rPr>
          <w:rFonts w:ascii="楷体_GB2312" w:eastAsia="楷体_GB2312" w:cs="楷体_GB2312"/>
          <w:color w:val="000000" w:themeColor="text1"/>
          <w:sz w:val="20"/>
          <w:szCs w:val="20"/>
          <w14:textFill>
            <w14:solidFill>
              <w14:schemeClr w14:val="tx1"/>
            </w14:solidFill>
          </w14:textFill>
        </w:rPr>
        <w:t>国家有权机关强制要求等原因导致理财产品无法继续存续</w:t>
      </w:r>
      <w:r>
        <w:rPr>
          <w:rFonts w:hint="eastAsia" w:ascii="楷体_GB2312" w:eastAsia="楷体_GB2312" w:cs="楷体_GB2312"/>
          <w:color w:val="000000" w:themeColor="text1"/>
          <w:sz w:val="20"/>
          <w:szCs w:val="20"/>
          <w14:textFill>
            <w14:solidFill>
              <w14:schemeClr w14:val="tx1"/>
            </w14:solidFill>
          </w14:textFill>
        </w:rPr>
        <w:t>的；</w:t>
      </w:r>
    </w:p>
    <w:p w14:paraId="1819B6E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（2）遇国家金融政策出现重大调整，或本产品所投资资产市场价格大幅下滑，或信银理财认为将</w:t>
      </w:r>
      <w:r>
        <w:rPr>
          <w:rFonts w:ascii="楷体_GB2312" w:eastAsia="楷体_GB2312" w:cs="楷体_GB2312"/>
          <w:color w:val="000000" w:themeColor="text1"/>
          <w:sz w:val="20"/>
          <w:szCs w:val="20"/>
          <w14:textFill>
            <w14:solidFill>
              <w14:schemeClr w14:val="tx1"/>
            </w14:solidFill>
          </w14:textFill>
        </w:rPr>
        <w:t>影响理财产品正常运作</w:t>
      </w:r>
      <w:r>
        <w:rPr>
          <w:rFonts w:hint="eastAsia" w:ascii="楷体_GB2312" w:eastAsia="楷体_GB2312" w:cs="楷体_GB2312"/>
          <w:color w:val="000000" w:themeColor="text1"/>
          <w:sz w:val="20"/>
          <w:szCs w:val="20"/>
          <w14:textFill>
            <w14:solidFill>
              <w14:schemeClr w14:val="tx1"/>
            </w14:solidFill>
          </w14:textFill>
        </w:rPr>
        <w:t>、需要提前终止本产品的其他情形的；</w:t>
      </w:r>
    </w:p>
    <w:p w14:paraId="4E4F141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（3）本产品所投资资产的信用状况发生恶化，信银理财合理判断可能影响到期正常兑付时；</w:t>
      </w:r>
    </w:p>
    <w:p w14:paraId="4D7C4A88">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（4）因投资者理财资金被有权机关扣划等原因导致理财产品剩余资产无法满足相关法律法规规定、所投资市场要求或协议等相关法律文件约定，或者继续存续无法实现投资目的；</w:t>
      </w:r>
    </w:p>
    <w:p w14:paraId="53054A0A">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（5）因相关投资管理机构解散、破产、撤销、被取消业务资格等原因无法继续履行相应职责导致产品无法继续运作；</w:t>
      </w:r>
    </w:p>
    <w:p w14:paraId="52EC50E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（6）相关投资管理机构或运用理财资金的第三方主体实施符合法律法规规定或协议等相关文件约定的行为导致理财产品被动提前终止；</w:t>
      </w:r>
    </w:p>
    <w:p w14:paraId="6CD405E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（7）提前终止产品比维持产品运作更有利于保护产品持有人的权益；</w:t>
      </w:r>
    </w:p>
    <w:p w14:paraId="1DDAC1EC">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（8）法律法规规定或监管部门认定的其他情形。</w:t>
      </w:r>
    </w:p>
    <w:p w14:paraId="4E9A01FD">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如果信银理财提前终止本理财产品，信银理财将于提前终止日前【2】个工作日通知投资者，并在提前终止日后【5】个工作日内支付投资者应得</w:t>
      </w:r>
      <w:r>
        <w:rPr>
          <w:rFonts w:ascii="楷体_GB2312" w:eastAsia="楷体_GB2312" w:cs="楷体_GB2312"/>
          <w:color w:val="000000" w:themeColor="text1"/>
          <w:sz w:val="20"/>
          <w:szCs w:val="20"/>
          <w14:textFill>
            <w14:solidFill>
              <w14:schemeClr w14:val="tx1"/>
            </w14:solidFill>
          </w14:textFill>
        </w:rPr>
        <w:t>资金</w:t>
      </w:r>
      <w:r>
        <w:rPr>
          <w:rFonts w:hint="eastAsia" w:ascii="楷体_GB2312" w:eastAsia="楷体_GB2312" w:cs="楷体_GB2312"/>
          <w:color w:val="000000" w:themeColor="text1"/>
          <w:sz w:val="20"/>
          <w:szCs w:val="20"/>
          <w14:textFill>
            <w14:solidFill>
              <w14:schemeClr w14:val="tx1"/>
            </w14:solidFill>
          </w14:textFill>
        </w:rPr>
        <w:t>。投资者通过</w:t>
      </w:r>
      <w:r>
        <w:rPr>
          <w:rFonts w:ascii="楷体_GB2312" w:eastAsia="楷体_GB2312" w:cs="楷体_GB2312"/>
          <w:color w:val="000000" w:themeColor="text1"/>
          <w:sz w:val="20"/>
          <w:szCs w:val="20"/>
          <w14:textFill>
            <w14:solidFill>
              <w14:schemeClr w14:val="tx1"/>
            </w14:solidFill>
          </w14:textFill>
        </w:rPr>
        <w:t>代销机构购买本理财产品的</w:t>
      </w:r>
      <w:r>
        <w:rPr>
          <w:rFonts w:hint="eastAsia" w:ascii="楷体_GB2312" w:eastAsia="楷体_GB2312" w:cs="楷体_GB2312"/>
          <w:color w:val="000000" w:themeColor="text1"/>
          <w:sz w:val="20"/>
          <w:szCs w:val="20"/>
          <w14:textFill>
            <w14:solidFill>
              <w14:schemeClr w14:val="tx1"/>
            </w14:solidFill>
          </w14:textFill>
        </w:rPr>
        <w:t>，理财资金划转至投资者账户的时间以该代销机构的清算时间为准。若产品提前终止，产品到期日相应调整为提前终止日。</w:t>
      </w:r>
    </w:p>
    <w:p w14:paraId="5C941989">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3</w:t>
      </w:r>
      <w:r>
        <w:rPr>
          <w:rFonts w:ascii="楷体_GB2312" w:eastAsia="楷体_GB2312" w:cs="楷体_GB2312"/>
          <w:color w:val="000000" w:themeColor="text1"/>
          <w:sz w:val="20"/>
          <w:szCs w:val="20"/>
          <w14:textFill>
            <w14:solidFill>
              <w14:schemeClr w14:val="tx1"/>
            </w14:solidFill>
          </w14:textFill>
        </w:rPr>
        <w:t>．理财产品不因投资者死亡、丧失民事行为能力、破产而终止；投资者的法定继承人、承继人或指定受益人以及继任管理人承担本理财产品项下的相应权利和义务。</w:t>
      </w:r>
    </w:p>
    <w:p w14:paraId="01EA90CA">
      <w:pPr>
        <w:snapToGrid w:val="0"/>
        <w:ind w:left="-2" w:leftChars="-1" w:right="53" w:rightChars="22" w:firstLine="480" w:firstLineChars="200"/>
        <w:jc w:val="both"/>
        <w:rPr>
          <w:color w:val="000000" w:themeColor="text1"/>
          <w14:textFill>
            <w14:solidFill>
              <w14:schemeClr w14:val="tx1"/>
            </w14:solidFill>
          </w14:textFill>
        </w:rPr>
      </w:pPr>
    </w:p>
    <w:p w14:paraId="5EA2D6AD">
      <w:pPr>
        <w:snapToGrid w:val="0"/>
        <w:ind w:left="-2" w:leftChars="-1" w:right="53" w:rightChars="22"/>
        <w:outlineLvl w:val="0"/>
        <w:rPr>
          <w:color w:val="000000" w:themeColor="text1"/>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十三、产品的延期清算</w:t>
      </w:r>
    </w:p>
    <w:p w14:paraId="78687E0A">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遇国家金融政策、监管政策、相关法律法规发生变化，或本产品所投资资产的市场发生重大市场波动，或融资方、资产发行人及交易方出现违约或未按约定偿还本息、或投资市场出现流动性不足、资产未能正常买卖结算或后续加入资金不足及其他情形导致投资资产不能及时变现，则信银理财有权将产品实际结算延长至相关投资资产变现或追偿处置完毕为止，产品管理人将尽快对相关资产进行变现，并将变现后的非现金类资产与原有现金类资产在扣除相关费用后向投资者分配。</w:t>
      </w:r>
    </w:p>
    <w:p w14:paraId="5168B106">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 </w:t>
      </w:r>
    </w:p>
    <w:p w14:paraId="205E5EF9">
      <w:pPr>
        <w:snapToGrid w:val="0"/>
        <w:ind w:left="-2" w:leftChars="-1" w:right="53" w:rightChars="22"/>
        <w:outlineLvl w:val="0"/>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十四、产品管理人与投资者权利义务</w:t>
      </w:r>
    </w:p>
    <w:p w14:paraId="6F6BCAE7">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1．</w:t>
      </w:r>
      <w:r>
        <w:rPr>
          <w:rFonts w:ascii="Times New Roman" w:hAnsi="Times New Roman" w:eastAsia="楷体_GB2312" w:cs="楷体_GB2312"/>
          <w:b/>
          <w:color w:val="000000" w:themeColor="text1"/>
          <w:sz w:val="20"/>
          <w:szCs w:val="20"/>
          <w14:textFill>
            <w14:solidFill>
              <w14:schemeClr w14:val="tx1"/>
            </w14:solidFill>
          </w14:textFill>
        </w:rPr>
        <w:t>产品管理人声明与保证</w:t>
      </w:r>
    </w:p>
    <w:p w14:paraId="5E7CEED5">
      <w:pPr>
        <w:snapToGrid w:val="0"/>
        <w:ind w:firstLine="402" w:firstLineChars="200"/>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（1）</w:t>
      </w:r>
      <w:r>
        <w:rPr>
          <w:rFonts w:ascii="Times New Roman" w:hAnsi="Times New Roman" w:eastAsia="楷体_GB2312" w:cs="楷体_GB2312"/>
          <w:b/>
          <w:color w:val="000000" w:themeColor="text1"/>
          <w:sz w:val="20"/>
          <w:szCs w:val="20"/>
          <w14:textFill>
            <w14:solidFill>
              <w14:schemeClr w14:val="tx1"/>
            </w14:solidFill>
          </w14:textFill>
        </w:rPr>
        <w:t>产品管理人具有开办理财业务的经营资质，保证以诚实守信、勤勉尽职的原则管理和运用理财资金；</w:t>
      </w:r>
    </w:p>
    <w:p w14:paraId="15FEC035">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（2）</w:t>
      </w:r>
      <w:r>
        <w:rPr>
          <w:rFonts w:ascii="Times New Roman" w:hAnsi="Times New Roman" w:eastAsia="楷体_GB2312" w:cs="楷体_GB2312"/>
          <w:b/>
          <w:color w:val="000000" w:themeColor="text1"/>
          <w:sz w:val="20"/>
          <w:szCs w:val="20"/>
          <w14:textFill>
            <w14:solidFill>
              <w14:schemeClr w14:val="tx1"/>
            </w14:solidFill>
          </w14:textFill>
        </w:rPr>
        <w:t>产品管理人具有完全适当的资格和能力订立与履行本理财产品合同。</w:t>
      </w:r>
    </w:p>
    <w:p w14:paraId="0A0D6A55">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2．</w:t>
      </w:r>
      <w:r>
        <w:rPr>
          <w:rFonts w:ascii="Times New Roman" w:hAnsi="Times New Roman" w:eastAsia="楷体_GB2312" w:cs="楷体_GB2312"/>
          <w:b/>
          <w:color w:val="000000" w:themeColor="text1"/>
          <w:sz w:val="20"/>
          <w:szCs w:val="20"/>
          <w14:textFill>
            <w14:solidFill>
              <w14:schemeClr w14:val="tx1"/>
            </w14:solidFill>
          </w14:textFill>
        </w:rPr>
        <w:t>投资者声明与保证</w:t>
      </w:r>
    </w:p>
    <w:p w14:paraId="1A43E576">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（1）</w:t>
      </w:r>
      <w:r>
        <w:rPr>
          <w:rFonts w:ascii="Times New Roman" w:hAnsi="Times New Roman" w:eastAsia="楷体_GB2312" w:cs="楷体_GB2312"/>
          <w:b/>
          <w:color w:val="000000" w:themeColor="text1"/>
          <w:sz w:val="20"/>
          <w:szCs w:val="20"/>
          <w14:textFill>
            <w14:solidFill>
              <w14:schemeClr w14:val="tx1"/>
            </w14:solidFill>
          </w14:textFill>
        </w:rPr>
        <w:t>投资者具有完全民事行为能力，有完全适当的资格与能力订立并履行本理财产品</w:t>
      </w:r>
      <w:r>
        <w:rPr>
          <w:rFonts w:hint="eastAsia" w:ascii="Times New Roman" w:hAnsi="Times New Roman" w:eastAsia="楷体_GB2312" w:cs="楷体_GB2312"/>
          <w:b/>
          <w:color w:val="000000" w:themeColor="text1"/>
          <w:sz w:val="20"/>
          <w:szCs w:val="20"/>
          <w14:textFill>
            <w14:solidFill>
              <w14:schemeClr w14:val="tx1"/>
            </w14:solidFill>
          </w14:textFill>
        </w:rPr>
        <w:t>销售文件</w:t>
      </w:r>
      <w:r>
        <w:rPr>
          <w:rFonts w:ascii="Times New Roman" w:hAnsi="Times New Roman" w:eastAsia="楷体_GB2312" w:cs="楷体_GB2312"/>
          <w:b/>
          <w:color w:val="000000" w:themeColor="text1"/>
          <w:sz w:val="20"/>
          <w:szCs w:val="20"/>
          <w14:textFill>
            <w14:solidFill>
              <w14:schemeClr w14:val="tx1"/>
            </w14:solidFill>
          </w14:textFill>
        </w:rPr>
        <w:t>，不存在法律、行政法规有关规定禁止或限制投资理财产品的情形（适用于个人投资者）。</w:t>
      </w:r>
    </w:p>
    <w:p w14:paraId="23AB40E5">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投资者确认签署和履行理财产品销售文件系其真实意思表示，已经按照其章程或者其它内部管理文件的要求取得合法、有效的授权且不会违反对其有约束力的任何合同和其他法律文件；投资者已经取得签订和履行理财产品</w:t>
      </w:r>
      <w:r>
        <w:rPr>
          <w:rFonts w:hint="eastAsia" w:ascii="Times New Roman" w:hAnsi="Times New Roman" w:eastAsia="楷体_GB2312" w:cs="楷体_GB2312"/>
          <w:b/>
          <w:color w:val="000000" w:themeColor="text1"/>
          <w:sz w:val="20"/>
          <w:szCs w:val="20"/>
          <w14:textFill>
            <w14:solidFill>
              <w14:schemeClr w14:val="tx1"/>
            </w14:solidFill>
          </w14:textFill>
        </w:rPr>
        <w:t>销售文件</w:t>
      </w:r>
      <w:r>
        <w:rPr>
          <w:rFonts w:ascii="Times New Roman" w:hAnsi="Times New Roman" w:eastAsia="楷体_GB2312" w:cs="楷体_GB2312"/>
          <w:b/>
          <w:color w:val="000000" w:themeColor="text1"/>
          <w:sz w:val="20"/>
          <w:szCs w:val="20"/>
          <w14:textFill>
            <w14:solidFill>
              <w14:schemeClr w14:val="tx1"/>
            </w14:solidFill>
          </w14:textFill>
        </w:rPr>
        <w:t>所需的一切有关批准、许可、备案或者登记（适用于机构投资者）；</w:t>
      </w:r>
    </w:p>
    <w:p w14:paraId="7F064A67">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（2）</w:t>
      </w:r>
      <w:r>
        <w:rPr>
          <w:rFonts w:ascii="Times New Roman" w:hAnsi="Times New Roman" w:eastAsia="楷体_GB2312" w:cs="楷体_GB2312"/>
          <w:b/>
          <w:color w:val="000000" w:themeColor="text1"/>
          <w:sz w:val="20"/>
          <w:szCs w:val="20"/>
          <w14:textFill>
            <w14:solidFill>
              <w14:schemeClr w14:val="tx1"/>
            </w14:solidFill>
          </w14:textFill>
        </w:rPr>
        <w:t>投资者保证以真实身份投资本理财产品，保证提供给产品管理人和代销机构的信息和资料均真实、准确、完整、合法。如投资者的信息和/或资料发生变更，应当及时书面告知产品管理人或代销机构；</w:t>
      </w:r>
    </w:p>
    <w:p w14:paraId="35241A4A">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（3）</w:t>
      </w:r>
      <w:r>
        <w:rPr>
          <w:rFonts w:ascii="Times New Roman" w:hAnsi="Times New Roman" w:eastAsia="楷体_GB2312" w:cs="楷体_GB2312"/>
          <w:b/>
          <w:color w:val="000000" w:themeColor="text1"/>
          <w:sz w:val="20"/>
          <w:szCs w:val="20"/>
          <w14:textFill>
            <w14:solidFill>
              <w14:schemeClr w14:val="tx1"/>
            </w14:solidFill>
          </w14:textFill>
        </w:rPr>
        <w:t>投资者声明熟悉理财产品类型特征及不同销售渠道的法律法规规定；</w:t>
      </w:r>
    </w:p>
    <w:p w14:paraId="2AB04E3B">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（4）</w:t>
      </w:r>
      <w:r>
        <w:rPr>
          <w:rFonts w:ascii="Times New Roman" w:hAnsi="Times New Roman" w:eastAsia="楷体_GB2312" w:cs="楷体_GB2312"/>
          <w:b/>
          <w:color w:val="000000" w:themeColor="text1"/>
          <w:sz w:val="20"/>
          <w:szCs w:val="20"/>
          <w14:textFill>
            <w14:solidFill>
              <w14:schemeClr w14:val="tx1"/>
            </w14:solidFill>
          </w14:textFill>
        </w:rPr>
        <w:t>投资者承诺：如委托他人购买本产品，代理人须出具具有法律效力的授权委托书；</w:t>
      </w:r>
    </w:p>
    <w:p w14:paraId="2BAC2D63">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（5）</w:t>
      </w:r>
      <w:r>
        <w:rPr>
          <w:rFonts w:ascii="Times New Roman" w:hAnsi="Times New Roman" w:eastAsia="楷体_GB2312" w:cs="楷体_GB2312"/>
          <w:b/>
          <w:color w:val="000000" w:themeColor="text1"/>
          <w:sz w:val="20"/>
          <w:szCs w:val="20"/>
          <w14:textFill>
            <w14:solidFill>
              <w14:schemeClr w14:val="tx1"/>
            </w14:solidFill>
          </w14:textFill>
        </w:rPr>
        <w:t>投资者保证理财投资资金来源和用途合法，保证可向产品管理人和代销机构提供合法筹集的证明文件；</w:t>
      </w:r>
    </w:p>
    <w:p w14:paraId="1323B17B">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（6）</w:t>
      </w:r>
      <w:r>
        <w:rPr>
          <w:rFonts w:ascii="Times New Roman" w:hAnsi="Times New Roman" w:eastAsia="楷体_GB2312" w:cs="楷体_GB2312"/>
          <w:b/>
          <w:color w:val="000000" w:themeColor="text1"/>
          <w:sz w:val="20"/>
          <w:szCs w:val="20"/>
          <w14:textFill>
            <w14:solidFill>
              <w14:schemeClr w14:val="tx1"/>
            </w14:solidFill>
          </w14:textFill>
        </w:rPr>
        <w:t>投资者不利用本理财业务及本理财产品</w:t>
      </w:r>
      <w:r>
        <w:rPr>
          <w:rFonts w:hint="eastAsia" w:ascii="Times New Roman" w:hAnsi="Times New Roman" w:eastAsia="楷体_GB2312" w:cs="楷体_GB2312"/>
          <w:b/>
          <w:color w:val="000000" w:themeColor="text1"/>
          <w:sz w:val="20"/>
          <w:szCs w:val="20"/>
          <w14:textFill>
            <w14:solidFill>
              <w14:schemeClr w14:val="tx1"/>
            </w14:solidFill>
          </w14:textFill>
        </w:rPr>
        <w:t>销售文件</w:t>
      </w:r>
      <w:r>
        <w:rPr>
          <w:rFonts w:ascii="Times New Roman" w:hAnsi="Times New Roman" w:eastAsia="楷体_GB2312" w:cs="楷体_GB2312"/>
          <w:b/>
          <w:color w:val="000000" w:themeColor="text1"/>
          <w:sz w:val="20"/>
          <w:szCs w:val="20"/>
          <w14:textFill>
            <w14:solidFill>
              <w14:schemeClr w14:val="tx1"/>
            </w14:solidFill>
          </w14:textFill>
        </w:rPr>
        <w:t>项下理财产品从事违法活动；</w:t>
      </w:r>
    </w:p>
    <w:p w14:paraId="7A9D04D6">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（7）</w:t>
      </w:r>
      <w:r>
        <w:rPr>
          <w:rFonts w:ascii="Times New Roman" w:hAnsi="Times New Roman" w:eastAsia="楷体_GB2312" w:cs="楷体_GB2312"/>
          <w:b/>
          <w:color w:val="000000" w:themeColor="text1"/>
          <w:sz w:val="20"/>
          <w:szCs w:val="20"/>
          <w14:textFill>
            <w14:solidFill>
              <w14:schemeClr w14:val="tx1"/>
            </w14:solidFill>
          </w14:textFill>
        </w:rPr>
        <w:t>投资者保证遵守国家反洗钱法律、法规及相关政策要求，不从事涉及洗钱、恐怖融资、逃税、逃废债务、套取现金等违法违规活动，积极配合管理人/代销机构开展投资者身份识别、交易记录保存、投资者身份及交易背景尽职调查、大额和可疑交易报告等各项反洗钱工作，并按要求提供相关证明材料；</w:t>
      </w:r>
    </w:p>
    <w:p w14:paraId="05E96DFC">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（8）</w:t>
      </w:r>
      <w:r>
        <w:rPr>
          <w:rFonts w:ascii="Times New Roman" w:hAnsi="Times New Roman" w:eastAsia="楷体_GB2312" w:cs="楷体_GB2312"/>
          <w:b/>
          <w:color w:val="000000" w:themeColor="text1"/>
          <w:sz w:val="20"/>
          <w:szCs w:val="20"/>
          <w14:textFill>
            <w14:solidFill>
              <w14:schemeClr w14:val="tx1"/>
            </w14:solidFill>
          </w14:textFill>
        </w:rPr>
        <w:t>投资者不属于联合国、欧盟或美国等制裁名单，及中国政府部门或有权机关发布的涉恐及反洗钱相关风险名单内的企业或个人；不位于被联合国、欧盟或美国等制裁的国家和地区；</w:t>
      </w:r>
    </w:p>
    <w:p w14:paraId="2F71990B">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（9）</w:t>
      </w:r>
      <w:r>
        <w:rPr>
          <w:rFonts w:ascii="Times New Roman" w:hAnsi="Times New Roman" w:eastAsia="楷体_GB2312" w:cs="楷体_GB2312"/>
          <w:b/>
          <w:color w:val="000000" w:themeColor="text1"/>
          <w:sz w:val="20"/>
          <w:szCs w:val="20"/>
          <w14:textFill>
            <w14:solidFill>
              <w14:schemeClr w14:val="tx1"/>
            </w14:solidFill>
          </w14:textFill>
        </w:rPr>
        <w:t>投资者保证不使用贷款、发行债券等筹集的非自有资金投资理财产品，保证投资本理财产品不存在违反监管要求的产品嵌套，以及以投资本理财产品规避投资范围、杠杆约束等监管要求等违规行为。</w:t>
      </w:r>
    </w:p>
    <w:p w14:paraId="0BAE5BAA">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3．</w:t>
      </w:r>
      <w:r>
        <w:rPr>
          <w:rFonts w:ascii="Times New Roman" w:hAnsi="Times New Roman" w:eastAsia="楷体_GB2312" w:cs="楷体_GB2312"/>
          <w:b/>
          <w:color w:val="000000" w:themeColor="text1"/>
          <w:sz w:val="20"/>
          <w:szCs w:val="20"/>
          <w14:textFill>
            <w14:solidFill>
              <w14:schemeClr w14:val="tx1"/>
            </w14:solidFill>
          </w14:textFill>
        </w:rPr>
        <w:t>双方同意</w:t>
      </w:r>
    </w:p>
    <w:p w14:paraId="20AD772F">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（1）</w:t>
      </w:r>
      <w:r>
        <w:rPr>
          <w:rFonts w:ascii="Times New Roman" w:hAnsi="Times New Roman" w:eastAsia="楷体_GB2312" w:cs="楷体_GB2312"/>
          <w:b/>
          <w:color w:val="000000" w:themeColor="text1"/>
          <w:sz w:val="20"/>
          <w:szCs w:val="20"/>
          <w14:textFill>
            <w14:solidFill>
              <w14:schemeClr w14:val="tx1"/>
            </w14:solidFill>
          </w14:textFill>
        </w:rPr>
        <w:t>未经产品管理人同意，投资者不得以本理财产品项下的任何权利、利益、权益（包括单独和整体）为投资者和任何第三人的债务设定担保或其他权益。</w:t>
      </w:r>
    </w:p>
    <w:p w14:paraId="2285D129">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（2）</w:t>
      </w:r>
      <w:r>
        <w:rPr>
          <w:rFonts w:ascii="Times New Roman" w:hAnsi="Times New Roman" w:eastAsia="楷体_GB2312" w:cs="楷体_GB2312"/>
          <w:b/>
          <w:color w:val="000000" w:themeColor="text1"/>
          <w:sz w:val="20"/>
          <w:szCs w:val="20"/>
          <w14:textFill>
            <w14:solidFill>
              <w14:schemeClr w14:val="tx1"/>
            </w14:solidFill>
          </w14:textFill>
        </w:rPr>
        <w:t>未经产品管理人同意，投资者不得向任何第三人转让、赠与本理财产品</w:t>
      </w:r>
      <w:r>
        <w:rPr>
          <w:rFonts w:hint="eastAsia" w:ascii="Times New Roman" w:hAnsi="Times New Roman" w:eastAsia="楷体_GB2312" w:cs="楷体_GB2312"/>
          <w:b/>
          <w:color w:val="000000" w:themeColor="text1"/>
          <w:sz w:val="20"/>
          <w:szCs w:val="20"/>
          <w14:textFill>
            <w14:solidFill>
              <w14:schemeClr w14:val="tx1"/>
            </w14:solidFill>
          </w14:textFill>
        </w:rPr>
        <w:t>销售文件</w:t>
      </w:r>
      <w:r>
        <w:rPr>
          <w:rFonts w:ascii="Times New Roman" w:hAnsi="Times New Roman" w:eastAsia="楷体_GB2312" w:cs="楷体_GB2312"/>
          <w:b/>
          <w:color w:val="000000" w:themeColor="text1"/>
          <w:sz w:val="20"/>
          <w:szCs w:val="20"/>
          <w14:textFill>
            <w14:solidFill>
              <w14:schemeClr w14:val="tx1"/>
            </w14:solidFill>
          </w14:textFill>
        </w:rPr>
        <w:t>或本理财产品</w:t>
      </w:r>
      <w:r>
        <w:rPr>
          <w:rFonts w:hint="eastAsia" w:ascii="Times New Roman" w:hAnsi="Times New Roman" w:eastAsia="楷体_GB2312" w:cs="楷体_GB2312"/>
          <w:b/>
          <w:color w:val="000000" w:themeColor="text1"/>
          <w:sz w:val="20"/>
          <w:szCs w:val="20"/>
          <w14:textFill>
            <w14:solidFill>
              <w14:schemeClr w14:val="tx1"/>
            </w14:solidFill>
          </w14:textFill>
        </w:rPr>
        <w:t>销售文件</w:t>
      </w:r>
      <w:r>
        <w:rPr>
          <w:rFonts w:ascii="Times New Roman" w:hAnsi="Times New Roman" w:eastAsia="楷体_GB2312" w:cs="楷体_GB2312"/>
          <w:b/>
          <w:color w:val="000000" w:themeColor="text1"/>
          <w:sz w:val="20"/>
          <w:szCs w:val="20"/>
          <w14:textFill>
            <w14:solidFill>
              <w14:schemeClr w14:val="tx1"/>
            </w14:solidFill>
          </w14:textFill>
        </w:rPr>
        <w:t>项下的任何权利、利益、权益（包括单独和整体）。</w:t>
      </w:r>
    </w:p>
    <w:p w14:paraId="50B13D24">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（3）</w:t>
      </w:r>
      <w:r>
        <w:rPr>
          <w:rFonts w:ascii="Times New Roman" w:hAnsi="Times New Roman" w:eastAsia="楷体_GB2312" w:cs="楷体_GB2312"/>
          <w:b/>
          <w:color w:val="000000" w:themeColor="text1"/>
          <w:sz w:val="20"/>
          <w:szCs w:val="20"/>
          <w14:textFill>
            <w14:solidFill>
              <w14:schemeClr w14:val="tx1"/>
            </w14:solidFill>
          </w14:textFill>
        </w:rPr>
        <w:t>产品管理人不承担对第三人支付本产品项下投资者清算产品后分配金额以及相关权益的责任，法律法规另有规定的除外。</w:t>
      </w:r>
    </w:p>
    <w:p w14:paraId="45EF2141">
      <w:pPr>
        <w:spacing w:line="300" w:lineRule="exact"/>
        <w:ind w:left="400" w:right="29" w:rightChars="12" w:hanging="400" w:hangingChars="200"/>
        <w:rPr>
          <w:rFonts w:ascii="黑体" w:eastAsia="黑体" w:cs="黑体"/>
          <w:color w:val="000000" w:themeColor="text1"/>
          <w:sz w:val="20"/>
          <w:szCs w:val="20"/>
          <w14:textFill>
            <w14:solidFill>
              <w14:schemeClr w14:val="tx1"/>
            </w14:solidFill>
          </w14:textFill>
        </w:rPr>
      </w:pPr>
    </w:p>
    <w:p w14:paraId="084B1040">
      <w:pPr>
        <w:spacing w:line="300" w:lineRule="exact"/>
        <w:ind w:left="402" w:right="29" w:rightChars="12" w:hanging="402" w:hangingChars="200"/>
        <w:rPr>
          <w:rFonts w:ascii="黑体" w:eastAsia="黑体" w:cs="黑体"/>
          <w:b/>
          <w:color w:val="000000" w:themeColor="text1"/>
          <w:sz w:val="20"/>
          <w:szCs w:val="20"/>
          <w14:textFill>
            <w14:solidFill>
              <w14:schemeClr w14:val="tx1"/>
            </w14:solidFill>
          </w14:textFill>
        </w:rPr>
      </w:pPr>
      <w:r>
        <w:rPr>
          <w:rFonts w:hint="eastAsia" w:ascii="黑体" w:eastAsia="黑体" w:cs="黑体"/>
          <w:b/>
          <w:color w:val="000000" w:themeColor="text1"/>
          <w:sz w:val="20"/>
          <w:szCs w:val="20"/>
          <w14:textFill>
            <w14:solidFill>
              <w14:schemeClr w14:val="tx1"/>
            </w14:solidFill>
          </w14:textFill>
        </w:rPr>
        <w:t>十五、保密</w:t>
      </w:r>
      <w:r>
        <w:rPr>
          <w:rFonts w:ascii="黑体" w:eastAsia="黑体" w:cs="黑体"/>
          <w:b/>
          <w:color w:val="000000" w:themeColor="text1"/>
          <w:sz w:val="20"/>
          <w:szCs w:val="20"/>
          <w14:textFill>
            <w14:solidFill>
              <w14:schemeClr w14:val="tx1"/>
            </w14:solidFill>
          </w14:textFill>
        </w:rPr>
        <w:t>条款</w:t>
      </w:r>
    </w:p>
    <w:p w14:paraId="50E1A580">
      <w:pPr>
        <w:pStyle w:val="19"/>
        <w:numPr>
          <w:ilvl w:val="0"/>
          <w:numId w:val="6"/>
        </w:numPr>
        <w:spacing w:line="300" w:lineRule="exact"/>
        <w:ind w:left="0" w:firstLine="402"/>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信银理财将加强信息安全管理，根据法律法规及监管要求，对在产品销售和运作过程中获取的投资者信息履行保密义务，除非依照法律法规之规定，或应监管机构及其他有权机关的要求，或与投资者另有约定外，不向第三方披露。</w:t>
      </w:r>
    </w:p>
    <w:p w14:paraId="5955E8A1">
      <w:pPr>
        <w:pStyle w:val="19"/>
        <w:numPr>
          <w:ilvl w:val="0"/>
          <w:numId w:val="6"/>
        </w:numPr>
        <w:spacing w:line="300" w:lineRule="exact"/>
        <w:ind w:left="0" w:firstLine="402"/>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理财产品管理人向投资者披露的或投资者因购买本理财产品而获知的有关本理财产品的全部信息（包括但不限于本理财产品销售文件、本理财产品投资安排的全部信息）及本理财产品参与主体的未对外公开的信息均为保密信息。投资者有义务对上述保密信息采取保密措施，未经理财产品管理人同意，投资者不得向任何第三方披露该等保密信息，否则应承担相应违约责任，但以下情形除外：（1）向与本次投资有关而需要获知以上信息并受保密协议约束的律师、会计师、顾问和咨询人员披露的；（2）根据适用的法律法规的要求，向有关政府部门、监管机构或者管理机构（包括证券交易所）披露的；（3）本产品说明书另有约定的。前述保密义务不因本理财产品销售文件或相关协议的无效、被撤销、终止而受影响。</w:t>
      </w:r>
    </w:p>
    <w:p w14:paraId="62E11122">
      <w:pPr>
        <w:pStyle w:val="19"/>
        <w:numPr>
          <w:ilvl w:val="0"/>
          <w:numId w:val="6"/>
        </w:numPr>
        <w:spacing w:line="300" w:lineRule="exact"/>
        <w:ind w:left="0" w:firstLine="402"/>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根据监管机构要求，管理人（特指除本理财</w:t>
      </w:r>
      <w:r>
        <w:rPr>
          <w:rFonts w:hint="eastAsia" w:ascii="Times New Roman" w:hAnsi="Times New Roman" w:eastAsia="楷体_GB2312" w:cs="楷体_GB2312"/>
          <w:b/>
          <w:color w:val="000000" w:themeColor="text1"/>
          <w:sz w:val="20"/>
          <w:szCs w:val="20"/>
          <w14:textFill>
            <w14:solidFill>
              <w14:schemeClr w14:val="tx1"/>
            </w14:solidFill>
          </w14:textFill>
        </w:rPr>
        <w:t>产品</w:t>
      </w:r>
      <w:r>
        <w:rPr>
          <w:rFonts w:ascii="Times New Roman" w:hAnsi="Times New Roman" w:eastAsia="楷体_GB2312" w:cs="楷体_GB2312"/>
          <w:b/>
          <w:color w:val="000000" w:themeColor="text1"/>
          <w:sz w:val="20"/>
          <w:szCs w:val="20"/>
          <w14:textFill>
            <w14:solidFill>
              <w14:schemeClr w14:val="tx1"/>
            </w14:solidFill>
          </w14:textFill>
        </w:rPr>
        <w:t>的管理人信银理财之外的其他管理人，包括但不限于本理财</w:t>
      </w:r>
      <w:r>
        <w:rPr>
          <w:rFonts w:hint="eastAsia" w:ascii="Times New Roman" w:hAnsi="Times New Roman" w:eastAsia="楷体_GB2312" w:cs="楷体_GB2312"/>
          <w:b/>
          <w:color w:val="000000" w:themeColor="text1"/>
          <w:sz w:val="20"/>
          <w:szCs w:val="20"/>
          <w14:textFill>
            <w14:solidFill>
              <w14:schemeClr w14:val="tx1"/>
            </w14:solidFill>
          </w14:textFill>
        </w:rPr>
        <w:t>产品</w:t>
      </w:r>
      <w:r>
        <w:rPr>
          <w:rFonts w:ascii="Times New Roman" w:hAnsi="Times New Roman" w:eastAsia="楷体_GB2312" w:cs="楷体_GB2312"/>
          <w:b/>
          <w:color w:val="000000" w:themeColor="text1"/>
          <w:sz w:val="20"/>
          <w:szCs w:val="20"/>
          <w14:textFill>
            <w14:solidFill>
              <w14:schemeClr w14:val="tx1"/>
            </w14:solidFill>
          </w14:textFill>
        </w:rPr>
        <w:t>所投资的信托计划、资管计划、私募基金的受托人或管理人、相关投资顾问等，下同）有可能需要向监管机构报送投资者身份信息、持仓信息等相关信息，信银理财将应管理人申请，在必要范围内向管理人提供相关信息，并要求该等管理人履行投资者信息保密义务。投资者签署本理财产品销售文件即视为已经同意信银理财在前述范围内向相关方提供投资者身份信息、持仓信息等相关信息。</w:t>
      </w:r>
    </w:p>
    <w:p w14:paraId="29A701F7">
      <w:pPr>
        <w:spacing w:line="300" w:lineRule="exact"/>
        <w:ind w:right="29" w:rightChars="12"/>
        <w:rPr>
          <w:rFonts w:ascii="黑体" w:eastAsia="黑体" w:cs="黑体"/>
          <w:color w:val="000000" w:themeColor="text1"/>
          <w:sz w:val="20"/>
          <w:szCs w:val="20"/>
          <w14:textFill>
            <w14:solidFill>
              <w14:schemeClr w14:val="tx1"/>
            </w14:solidFill>
          </w14:textFill>
        </w:rPr>
      </w:pPr>
    </w:p>
    <w:p w14:paraId="3502364C">
      <w:pPr>
        <w:spacing w:line="300" w:lineRule="exact"/>
        <w:ind w:left="402" w:right="29" w:rightChars="12" w:hanging="402" w:hangingChars="200"/>
        <w:rPr>
          <w:rFonts w:ascii="楷体_GB2312" w:eastAsia="楷体_GB2312"/>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十六、特别提示</w:t>
      </w:r>
    </w:p>
    <w:p w14:paraId="2DF329E7">
      <w:pPr>
        <w:spacing w:line="300" w:lineRule="exact"/>
        <w:ind w:firstLine="402" w:firstLineChars="200"/>
        <w:jc w:val="both"/>
        <w:rPr>
          <w:b/>
          <w:color w:val="000000" w:themeColor="text1"/>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1．本产品面临的风险包括信用风险、市场风险、流动性风险、提前终止风险、政策风险、信息传递风险、管理风险、延期清算风险、</w:t>
      </w:r>
      <w:r>
        <w:rPr>
          <w:rFonts w:hint="eastAsia" w:ascii="楷体_GB2312" w:eastAsia="楷体_GB2312" w:cs="楷体_GB2312"/>
          <w:b/>
          <w:color w:val="000000" w:themeColor="text1"/>
          <w:sz w:val="20"/>
          <w:szCs w:val="20"/>
          <w14:textFill>
            <w14:solidFill>
              <w14:schemeClr w14:val="tx1"/>
            </w14:solidFill>
          </w14:textFill>
        </w:rPr>
        <w:t>理财</w:t>
      </w:r>
      <w:r>
        <w:rPr>
          <w:rFonts w:ascii="楷体_GB2312" w:eastAsia="楷体_GB2312" w:cs="楷体_GB2312"/>
          <w:b/>
          <w:color w:val="000000" w:themeColor="text1"/>
          <w:sz w:val="20"/>
          <w:szCs w:val="20"/>
          <w14:textFill>
            <w14:solidFill>
              <w14:schemeClr w14:val="tx1"/>
            </w14:solidFill>
          </w14:textFill>
        </w:rPr>
        <w:t>产品不成立风险、不可抗力及意外事件风险、</w:t>
      </w:r>
      <w:r>
        <w:rPr>
          <w:rFonts w:hint="eastAsia" w:ascii="楷体_GB2312" w:eastAsia="楷体_GB2312" w:cs="楷体_GB2312"/>
          <w:b/>
          <w:color w:val="000000" w:themeColor="text1"/>
          <w:sz w:val="20"/>
          <w:szCs w:val="20"/>
          <w14:textFill>
            <w14:solidFill>
              <w14:schemeClr w14:val="tx1"/>
            </w14:solidFill>
          </w14:textFill>
        </w:rPr>
        <w:t>理财本金全部损失风险、</w:t>
      </w:r>
      <w:r>
        <w:rPr>
          <w:rFonts w:ascii="楷体_GB2312" w:eastAsia="楷体_GB2312" w:cs="楷体_GB2312"/>
          <w:b/>
          <w:color w:val="000000" w:themeColor="text1"/>
          <w:sz w:val="20"/>
          <w:szCs w:val="20"/>
          <w14:textFill>
            <w14:solidFill>
              <w14:schemeClr w14:val="tx1"/>
            </w14:solidFill>
          </w14:textFill>
        </w:rPr>
        <w:t>合作销售机构</w:t>
      </w:r>
      <w:r>
        <w:rPr>
          <w:rFonts w:hint="eastAsia" w:ascii="楷体_GB2312" w:eastAsia="楷体_GB2312" w:cs="楷体_GB2312"/>
          <w:b/>
          <w:color w:val="000000" w:themeColor="text1"/>
          <w:sz w:val="20"/>
          <w:szCs w:val="20"/>
          <w14:textFill>
            <w14:solidFill>
              <w14:schemeClr w14:val="tx1"/>
            </w14:solidFill>
          </w14:textFill>
        </w:rPr>
        <w:t>（代销机构）</w:t>
      </w:r>
      <w:r>
        <w:rPr>
          <w:rFonts w:ascii="楷体_GB2312" w:eastAsia="楷体_GB2312" w:cs="楷体_GB2312"/>
          <w:b/>
          <w:color w:val="000000" w:themeColor="text1"/>
          <w:sz w:val="20"/>
          <w:szCs w:val="20"/>
          <w14:textFill>
            <w14:solidFill>
              <w14:schemeClr w14:val="tx1"/>
            </w14:solidFill>
          </w14:textFill>
        </w:rPr>
        <w:t>风险、操作风险</w:t>
      </w:r>
      <w:r>
        <w:rPr>
          <w:rFonts w:hint="eastAsia" w:ascii="楷体_GB2312" w:eastAsia="楷体_GB2312" w:cs="楷体_GB2312"/>
          <w:b/>
          <w:color w:val="000000" w:themeColor="text1"/>
          <w:sz w:val="20"/>
          <w:szCs w:val="20"/>
          <w14:textFill>
            <w14:solidFill>
              <w14:schemeClr w14:val="tx1"/>
            </w14:solidFill>
          </w14:textFill>
        </w:rPr>
        <w:t>、关联交易风险</w:t>
      </w:r>
      <w:r>
        <w:rPr>
          <w:rFonts w:ascii="楷体_GB2312" w:eastAsia="楷体_GB2312" w:cs="楷体_GB2312"/>
          <w:b/>
          <w:color w:val="000000" w:themeColor="text1"/>
          <w:sz w:val="20"/>
          <w:szCs w:val="20"/>
          <w14:textFill>
            <w14:solidFill>
              <w14:schemeClr w14:val="tx1"/>
            </w14:solidFill>
          </w14:textFill>
        </w:rPr>
        <w:t xml:space="preserve">等风险，将可能导致投资者无法取得收益，甚至本金蒙受部分或全部损失。由此产生的理财本金和收益损失的风险由投资者自行承担，信银理财不承担任何返还理财本金及收益的保证责任。  </w:t>
      </w:r>
    </w:p>
    <w:p w14:paraId="5392F7CB">
      <w:pPr>
        <w:spacing w:line="300" w:lineRule="exact"/>
        <w:ind w:firstLine="402" w:firstLineChars="200"/>
        <w:jc w:val="both"/>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2．除本说明书中明确规定的收益或收益分配方式外，任何预计收益、预期收益、测算收益、业绩比较基准或类似表述均属不具有法律效力的用语，不代表投资者可能获得的实际收益，亦不构成信银理财对本理财产品的任何收益承诺。</w:t>
      </w:r>
    </w:p>
    <w:p w14:paraId="26A3B223">
      <w:pPr>
        <w:spacing w:line="300" w:lineRule="exact"/>
        <w:ind w:firstLine="430" w:firstLineChars="214"/>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3．关于费用</w:t>
      </w:r>
    </w:p>
    <w:p w14:paraId="19680C37">
      <w:pPr>
        <w:spacing w:line="300" w:lineRule="exact"/>
        <w:ind w:firstLine="430" w:firstLineChars="214"/>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（1）双方确认：本产品说明书约定的收费标准经双方协商确定，双方均认可该收费标准。</w:t>
      </w:r>
    </w:p>
    <w:p w14:paraId="28837981">
      <w:pPr>
        <w:spacing w:line="300" w:lineRule="exact"/>
        <w:ind w:firstLine="430" w:firstLineChars="214"/>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2）限制与例外条款：信银理财保留根据适用法律和国家政策规定及产品说明书的相关约定调整产品收费标准的权利。若因上述原因，信银理财确需调整本产品说明书项下收费标准的，应以本产品说明书约定方式提前通知投资者。投资者不接受调整后的收费标准的，可于最近一个开放日赎回理财产品。</w:t>
      </w:r>
    </w:p>
    <w:p w14:paraId="1027988E">
      <w:pPr>
        <w:spacing w:line="300" w:lineRule="exact"/>
        <w:ind w:firstLine="430" w:firstLineChars="214"/>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4．咨询与投诉：投资者对本理财产品有任何建议、意见或投诉，请联系信银理财理财经理，或反馈至信银理财营业场所，</w:t>
      </w:r>
      <w:r>
        <w:rPr>
          <w:rFonts w:hint="eastAsia" w:ascii="楷体_GB2312" w:eastAsia="楷体_GB2312"/>
          <w:b/>
          <w:color w:val="000000" w:themeColor="text1"/>
          <w:sz w:val="20"/>
          <w:szCs w:val="20"/>
          <w14:textFill>
            <w14:solidFill>
              <w14:schemeClr w14:val="tx1"/>
            </w14:solidFill>
          </w14:textFill>
        </w:rPr>
        <w:t>或</w:t>
      </w:r>
      <w:r>
        <w:rPr>
          <w:rFonts w:ascii="楷体_GB2312" w:eastAsia="楷体_GB2312"/>
          <w:b/>
          <w:color w:val="000000" w:themeColor="text1"/>
          <w:sz w:val="20"/>
          <w:szCs w:val="20"/>
          <w14:textFill>
            <w14:solidFill>
              <w14:schemeClr w14:val="tx1"/>
            </w14:solidFill>
          </w14:textFill>
        </w:rPr>
        <w:t>拨打信银理财客户服务热线【</w:t>
      </w:r>
      <w:r>
        <w:rPr>
          <w:rFonts w:ascii="楷体_GB2312" w:eastAsia="楷体_GB2312"/>
          <w:b/>
          <w:bCs/>
          <w:sz w:val="20"/>
          <w:szCs w:val="20"/>
        </w:rPr>
        <w:t>950950，工作时间为工作日8：30-20：30</w:t>
      </w:r>
      <w:r>
        <w:rPr>
          <w:rFonts w:ascii="楷体_GB2312" w:eastAsia="楷体_GB2312"/>
          <w:b/>
          <w:color w:val="000000" w:themeColor="text1"/>
          <w:sz w:val="20"/>
          <w:szCs w:val="20"/>
          <w14:textFill>
            <w14:solidFill>
              <w14:schemeClr w14:val="tx1"/>
            </w14:solidFill>
          </w14:textFill>
        </w:rPr>
        <w:t>】，</w:t>
      </w:r>
      <w:r>
        <w:rPr>
          <w:rFonts w:hint="eastAsia" w:ascii="楷体_GB2312" w:eastAsia="楷体_GB2312"/>
          <w:b/>
          <w:color w:val="000000" w:themeColor="text1"/>
          <w:sz w:val="20"/>
          <w:szCs w:val="20"/>
          <w14:textFill>
            <w14:solidFill>
              <w14:schemeClr w14:val="tx1"/>
            </w14:solidFill>
          </w14:textFill>
        </w:rPr>
        <w:t>或</w:t>
      </w:r>
      <w:r>
        <w:rPr>
          <w:rFonts w:ascii="楷体_GB2312" w:eastAsia="楷体_GB2312"/>
          <w:b/>
          <w:color w:val="000000" w:themeColor="text1"/>
          <w:sz w:val="20"/>
          <w:szCs w:val="20"/>
          <w14:textFill>
            <w14:solidFill>
              <w14:schemeClr w14:val="tx1"/>
            </w14:solidFill>
          </w14:textFill>
        </w:rPr>
        <w:t>登录信银理财网站【</w:t>
      </w:r>
      <w:r>
        <w:rPr>
          <w:rFonts w:ascii="楷体_GB2312" w:eastAsia="楷体_GB2312"/>
          <w:b/>
          <w:bCs/>
          <w:sz w:val="20"/>
          <w:szCs w:val="20"/>
        </w:rPr>
        <w:t>http://www.citic-wealth.com/</w:t>
      </w:r>
      <w:r>
        <w:rPr>
          <w:rFonts w:ascii="楷体_GB2312" w:eastAsia="楷体_GB2312"/>
          <w:b/>
          <w:color w:val="000000" w:themeColor="text1"/>
          <w:sz w:val="20"/>
          <w:szCs w:val="20"/>
          <w14:textFill>
            <w14:solidFill>
              <w14:schemeClr w14:val="tx1"/>
            </w14:solidFill>
          </w14:textFill>
        </w:rPr>
        <w:t>】进行查询。信银理财将安排专人及时收集客户投诉，并在收到客户投诉的第一时间内与客户取得联系，及时处理并进行反馈投资者通过代销机构购买理财产品的，可按照代销机构提供的联系方式反馈信息、咨询和投诉。</w:t>
      </w:r>
    </w:p>
    <w:p w14:paraId="3BEF4412">
      <w:pPr>
        <w:spacing w:line="300" w:lineRule="exact"/>
        <w:ind w:firstLine="430" w:firstLineChars="214"/>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5．本产品说明书中关于时间的标准，以信银理财业务处理系统记录的北京时间为准。</w:t>
      </w:r>
    </w:p>
    <w:p w14:paraId="784CB733">
      <w:pPr>
        <w:spacing w:line="300" w:lineRule="exact"/>
        <w:ind w:firstLine="430" w:firstLineChars="214"/>
        <w:jc w:val="both"/>
        <w:rPr>
          <w:rFonts w:ascii="楷体_GB2312" w:eastAsia="楷体_GB2312"/>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6．信银理财有权依法对本产品说明书进行解释。</w:t>
      </w:r>
    </w:p>
    <w:p w14:paraId="2F2B9E63">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p>
    <w:p w14:paraId="11C08612">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十七、违约责任</w:t>
      </w:r>
    </w:p>
    <w:p w14:paraId="23D64F79">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双方因违反本产品说明书约定而给对方造成损失的，违约方应赔偿因此给对方造成的直接损失。</w:t>
      </w:r>
    </w:p>
    <w:p w14:paraId="6F262CC3">
      <w:pPr>
        <w:spacing w:line="300" w:lineRule="exact"/>
        <w:ind w:left="-2" w:right="36" w:rightChars="15" w:firstLine="428" w:firstLineChars="214"/>
        <w:rPr>
          <w:rFonts w:ascii="楷体_GB2312" w:eastAsia="楷体_GB2312"/>
          <w:color w:val="000000" w:themeColor="text1"/>
          <w:sz w:val="20"/>
          <w:szCs w:val="20"/>
          <w14:textFill>
            <w14:solidFill>
              <w14:schemeClr w14:val="tx1"/>
            </w14:solidFill>
          </w14:textFill>
        </w:rPr>
      </w:pPr>
    </w:p>
    <w:p w14:paraId="31E082D3">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十八、免责内容</w:t>
      </w:r>
    </w:p>
    <w:p w14:paraId="0F37F214">
      <w:pPr>
        <w:spacing w:line="300" w:lineRule="exact"/>
        <w:ind w:firstLine="402" w:firstLineChars="200"/>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因法律法规或监管政策变化、自然灾害、意外事故、战争、系统故障、通讯故障等信银理财客观不能预见、不能避免、不能克服的不可抗力事件或意外事件，导致信银理财无法或延后履行本产品说明书有关义务的，信银理财不承担责任。但因信银理财故意或重大过失造成的系统故障、通讯故障的除外。前述约定不免除因信银理财过错导致依法应由产品管理人承担的责任。管理人应在条件允许的情况下，采取必要的补救措施以减少不可抗力造成的损失。</w:t>
      </w:r>
    </w:p>
    <w:p w14:paraId="16C9B75F">
      <w:pPr>
        <w:spacing w:line="300" w:lineRule="exact"/>
        <w:ind w:left="-2" w:right="36" w:rightChars="15" w:firstLine="428" w:firstLineChars="214"/>
        <w:rPr>
          <w:rFonts w:ascii="楷体_GB2312" w:eastAsia="楷体_GB2312"/>
          <w:color w:val="000000" w:themeColor="text1"/>
          <w:sz w:val="20"/>
          <w:szCs w:val="20"/>
          <w14:textFill>
            <w14:solidFill>
              <w14:schemeClr w14:val="tx1"/>
            </w14:solidFill>
          </w14:textFill>
        </w:rPr>
      </w:pPr>
    </w:p>
    <w:p w14:paraId="74C594EB">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十九、本说明书的生效与终止</w:t>
      </w:r>
    </w:p>
    <w:p w14:paraId="5DA661A4">
      <w:pPr>
        <w:pStyle w:val="19"/>
        <w:numPr>
          <w:ilvl w:val="255"/>
          <w:numId w:val="0"/>
        </w:num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1</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投资者在信银</w:t>
      </w:r>
      <w:r>
        <w:rPr>
          <w:rFonts w:ascii="楷体_GB2312" w:eastAsia="楷体_GB2312"/>
          <w:color w:val="000000" w:themeColor="text1"/>
          <w:sz w:val="20"/>
          <w:szCs w:val="20"/>
          <w14:textFill>
            <w14:solidFill>
              <w14:schemeClr w14:val="tx1"/>
            </w14:solidFill>
          </w14:textFill>
        </w:rPr>
        <w:t>理财营业场所购买理财产品的，</w:t>
      </w:r>
      <w:r>
        <w:rPr>
          <w:rFonts w:hint="eastAsia" w:ascii="楷体_GB2312" w:eastAsia="楷体_GB2312"/>
          <w:color w:val="000000" w:themeColor="text1"/>
          <w:sz w:val="20"/>
          <w:szCs w:val="20"/>
          <w14:textFill>
            <w14:solidFill>
              <w14:schemeClr w14:val="tx1"/>
            </w14:solidFill>
          </w14:textFill>
        </w:rPr>
        <w:t>本产品说明书</w:t>
      </w:r>
      <w:r>
        <w:rPr>
          <w:rFonts w:ascii="楷体_GB2312" w:eastAsia="楷体_GB2312"/>
          <w:color w:val="000000" w:themeColor="text1"/>
          <w:sz w:val="20"/>
          <w:szCs w:val="20"/>
          <w14:textFill>
            <w14:solidFill>
              <w14:schemeClr w14:val="tx1"/>
            </w14:solidFill>
          </w14:textFill>
        </w:rPr>
        <w:t>自</w:t>
      </w:r>
      <w:r>
        <w:rPr>
          <w:rFonts w:hint="eastAsia" w:ascii="楷体_GB2312" w:eastAsia="楷体_GB2312"/>
          <w:color w:val="000000" w:themeColor="text1"/>
          <w:sz w:val="20"/>
          <w:szCs w:val="20"/>
          <w14:textFill>
            <w14:solidFill>
              <w14:schemeClr w14:val="tx1"/>
            </w14:solidFill>
          </w14:textFill>
        </w:rPr>
        <w:t>投资者</w:t>
      </w:r>
      <w:r>
        <w:rPr>
          <w:rFonts w:ascii="楷体_GB2312" w:eastAsia="楷体_GB2312"/>
          <w:color w:val="000000" w:themeColor="text1"/>
          <w:sz w:val="20"/>
          <w:szCs w:val="20"/>
          <w14:textFill>
            <w14:solidFill>
              <w14:schemeClr w14:val="tx1"/>
            </w14:solidFill>
          </w14:textFill>
        </w:rPr>
        <w:t>签字/盖章后生效。</w:t>
      </w:r>
      <w:r>
        <w:rPr>
          <w:rFonts w:hint="eastAsia" w:ascii="楷体_GB2312" w:eastAsia="楷体_GB2312"/>
          <w:color w:val="000000" w:themeColor="text1"/>
          <w:sz w:val="20"/>
          <w:szCs w:val="20"/>
          <w14:textFill>
            <w14:solidFill>
              <w14:schemeClr w14:val="tx1"/>
            </w14:solidFill>
          </w14:textFill>
        </w:rPr>
        <w:t>投资者</w:t>
      </w:r>
      <w:r>
        <w:rPr>
          <w:rFonts w:ascii="楷体_GB2312" w:eastAsia="楷体_GB2312"/>
          <w:color w:val="000000" w:themeColor="text1"/>
          <w:sz w:val="20"/>
          <w:szCs w:val="20"/>
          <w14:textFill>
            <w14:solidFill>
              <w14:schemeClr w14:val="tx1"/>
            </w14:solidFill>
          </w14:textFill>
        </w:rPr>
        <w:t>通过</w:t>
      </w:r>
      <w:r>
        <w:rPr>
          <w:rFonts w:hint="eastAsia" w:ascii="楷体_GB2312" w:eastAsia="楷体_GB2312"/>
          <w:color w:val="000000" w:themeColor="text1"/>
          <w:sz w:val="20"/>
          <w:szCs w:val="20"/>
          <w14:textFill>
            <w14:solidFill>
              <w14:schemeClr w14:val="tx1"/>
            </w14:solidFill>
          </w14:textFill>
        </w:rPr>
        <w:t>信银理财</w:t>
      </w:r>
      <w:r>
        <w:rPr>
          <w:rFonts w:ascii="楷体_GB2312" w:eastAsia="楷体_GB2312"/>
          <w:color w:val="000000" w:themeColor="text1"/>
          <w:sz w:val="20"/>
          <w:szCs w:val="20"/>
          <w14:textFill>
            <w14:solidFill>
              <w14:schemeClr w14:val="tx1"/>
            </w14:solidFill>
          </w14:textFill>
        </w:rPr>
        <w:t>电子渠道购买理财产品的，</w:t>
      </w:r>
      <w:r>
        <w:rPr>
          <w:rFonts w:hint="eastAsia" w:ascii="楷体_GB2312" w:eastAsia="楷体_GB2312"/>
          <w:color w:val="000000" w:themeColor="text1"/>
          <w:sz w:val="20"/>
          <w:szCs w:val="20"/>
          <w14:textFill>
            <w14:solidFill>
              <w14:schemeClr w14:val="tx1"/>
            </w14:solidFill>
          </w14:textFill>
        </w:rPr>
        <w:t>本产品说明书</w:t>
      </w:r>
      <w:r>
        <w:rPr>
          <w:rFonts w:ascii="楷体_GB2312" w:eastAsia="楷体_GB2312"/>
          <w:color w:val="000000" w:themeColor="text1"/>
          <w:sz w:val="20"/>
          <w:szCs w:val="20"/>
          <w14:textFill>
            <w14:solidFill>
              <w14:schemeClr w14:val="tx1"/>
            </w14:solidFill>
          </w14:textFill>
        </w:rPr>
        <w:t>自</w:t>
      </w:r>
      <w:r>
        <w:rPr>
          <w:rFonts w:hint="eastAsia" w:ascii="楷体_GB2312" w:eastAsia="楷体_GB2312"/>
          <w:color w:val="000000" w:themeColor="text1"/>
          <w:sz w:val="20"/>
          <w:szCs w:val="20"/>
          <w14:textFill>
            <w14:solidFill>
              <w14:schemeClr w14:val="tx1"/>
            </w14:solidFill>
          </w14:textFill>
        </w:rPr>
        <w:t>其</w:t>
      </w:r>
      <w:r>
        <w:rPr>
          <w:rFonts w:ascii="楷体_GB2312" w:eastAsia="楷体_GB2312"/>
          <w:color w:val="000000" w:themeColor="text1"/>
          <w:sz w:val="20"/>
          <w:szCs w:val="20"/>
          <w14:textFill>
            <w14:solidFill>
              <w14:schemeClr w14:val="tx1"/>
            </w14:solidFill>
          </w14:textFill>
        </w:rPr>
        <w:t>在线</w:t>
      </w:r>
      <w:r>
        <w:rPr>
          <w:rFonts w:hint="eastAsia" w:ascii="楷体_GB2312" w:eastAsia="楷体_GB2312"/>
          <w:color w:val="000000" w:themeColor="text1"/>
          <w:sz w:val="20"/>
          <w:szCs w:val="20"/>
          <w14:textFill>
            <w14:solidFill>
              <w14:schemeClr w14:val="tx1"/>
            </w14:solidFill>
          </w14:textFill>
        </w:rPr>
        <w:t>勾选</w:t>
      </w:r>
      <w:r>
        <w:rPr>
          <w:rFonts w:ascii="楷体_GB2312" w:eastAsia="楷体_GB2312"/>
          <w:color w:val="000000" w:themeColor="text1"/>
          <w:sz w:val="20"/>
          <w:szCs w:val="20"/>
          <w14:textFill>
            <w14:solidFill>
              <w14:schemeClr w14:val="tx1"/>
            </w14:solidFill>
          </w14:textFill>
        </w:rPr>
        <w:t>确认后生效。</w:t>
      </w:r>
    </w:p>
    <w:p w14:paraId="6E7134E0">
      <w:pPr>
        <w:pStyle w:val="19"/>
        <w:numPr>
          <w:ilvl w:val="255"/>
          <w:numId w:val="0"/>
        </w:num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2</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如</w:t>
      </w:r>
      <w:r>
        <w:rPr>
          <w:rFonts w:ascii="楷体_GB2312" w:eastAsia="楷体_GB2312"/>
          <w:color w:val="000000" w:themeColor="text1"/>
          <w:sz w:val="20"/>
          <w:szCs w:val="20"/>
          <w14:textFill>
            <w14:solidFill>
              <w14:schemeClr w14:val="tx1"/>
            </w14:solidFill>
          </w14:textFill>
        </w:rPr>
        <w:t>投资者通过</w:t>
      </w:r>
      <w:r>
        <w:rPr>
          <w:rFonts w:hint="eastAsia" w:ascii="楷体_GB2312" w:eastAsia="楷体_GB2312"/>
          <w:color w:val="000000" w:themeColor="text1"/>
          <w:sz w:val="20"/>
          <w:szCs w:val="20"/>
          <w14:textFill>
            <w14:solidFill>
              <w14:schemeClr w14:val="tx1"/>
            </w14:solidFill>
          </w14:textFill>
        </w:rPr>
        <w:t>信银</w:t>
      </w:r>
      <w:r>
        <w:rPr>
          <w:rFonts w:ascii="楷体_GB2312" w:eastAsia="楷体_GB2312"/>
          <w:color w:val="000000" w:themeColor="text1"/>
          <w:sz w:val="20"/>
          <w:szCs w:val="20"/>
          <w14:textFill>
            <w14:solidFill>
              <w14:schemeClr w14:val="tx1"/>
            </w14:solidFill>
          </w14:textFill>
        </w:rPr>
        <w:t>理财合作销售机构</w:t>
      </w:r>
      <w:r>
        <w:rPr>
          <w:rFonts w:hint="eastAsia" w:ascii="楷体_GB2312" w:eastAsia="楷体_GB2312"/>
          <w:color w:val="000000" w:themeColor="text1"/>
          <w:sz w:val="20"/>
          <w:szCs w:val="20"/>
          <w14:textFill>
            <w14:solidFill>
              <w14:schemeClr w14:val="tx1"/>
            </w14:solidFill>
          </w14:textFill>
        </w:rPr>
        <w:t>（代销机构）</w:t>
      </w:r>
      <w:r>
        <w:rPr>
          <w:rFonts w:ascii="楷体_GB2312" w:eastAsia="楷体_GB2312"/>
          <w:color w:val="000000" w:themeColor="text1"/>
          <w:sz w:val="20"/>
          <w:szCs w:val="20"/>
          <w14:textFill>
            <w14:solidFill>
              <w14:schemeClr w14:val="tx1"/>
            </w14:solidFill>
          </w14:textFill>
        </w:rPr>
        <w:t>购买理财产品的，</w:t>
      </w:r>
      <w:r>
        <w:rPr>
          <w:rFonts w:hint="eastAsia" w:ascii="楷体_GB2312" w:eastAsia="楷体_GB2312"/>
          <w:color w:val="000000" w:themeColor="text1"/>
          <w:sz w:val="20"/>
          <w:szCs w:val="20"/>
          <w14:textFill>
            <w14:solidFill>
              <w14:schemeClr w14:val="tx1"/>
            </w14:solidFill>
          </w14:textFill>
        </w:rPr>
        <w:t>说明书</w:t>
      </w:r>
      <w:r>
        <w:rPr>
          <w:rFonts w:ascii="楷体_GB2312" w:eastAsia="楷体_GB2312"/>
          <w:color w:val="000000" w:themeColor="text1"/>
          <w:sz w:val="20"/>
          <w:szCs w:val="20"/>
          <w14:textFill>
            <w14:solidFill>
              <w14:schemeClr w14:val="tx1"/>
            </w14:solidFill>
          </w14:textFill>
        </w:rPr>
        <w:t>签署及生效方式以</w:t>
      </w:r>
      <w:r>
        <w:rPr>
          <w:rFonts w:hint="eastAsia" w:ascii="楷体_GB2312" w:eastAsia="楷体_GB2312"/>
          <w:color w:val="000000" w:themeColor="text1"/>
          <w:sz w:val="20"/>
          <w:szCs w:val="20"/>
          <w14:textFill>
            <w14:solidFill>
              <w14:schemeClr w14:val="tx1"/>
            </w14:solidFill>
          </w14:textFill>
        </w:rPr>
        <w:t>投资者</w:t>
      </w:r>
      <w:r>
        <w:rPr>
          <w:rFonts w:ascii="楷体_GB2312" w:eastAsia="楷体_GB2312"/>
          <w:color w:val="000000" w:themeColor="text1"/>
          <w:sz w:val="20"/>
          <w:szCs w:val="20"/>
          <w14:textFill>
            <w14:solidFill>
              <w14:schemeClr w14:val="tx1"/>
            </w14:solidFill>
          </w14:textFill>
        </w:rPr>
        <w:t>与</w:t>
      </w:r>
      <w:r>
        <w:rPr>
          <w:rFonts w:hint="eastAsia" w:ascii="楷体_GB2312" w:eastAsia="楷体_GB2312"/>
          <w:color w:val="000000" w:themeColor="text1"/>
          <w:sz w:val="20"/>
          <w:szCs w:val="20"/>
          <w14:textFill>
            <w14:solidFill>
              <w14:schemeClr w14:val="tx1"/>
            </w14:solidFill>
          </w14:textFill>
        </w:rPr>
        <w:t>代销机构约定</w:t>
      </w:r>
      <w:r>
        <w:rPr>
          <w:rFonts w:ascii="楷体_GB2312" w:eastAsia="楷体_GB2312"/>
          <w:color w:val="000000" w:themeColor="text1"/>
          <w:sz w:val="20"/>
          <w:szCs w:val="20"/>
          <w14:textFill>
            <w14:solidFill>
              <w14:schemeClr w14:val="tx1"/>
            </w14:solidFill>
          </w14:textFill>
        </w:rPr>
        <w:t>为准。</w:t>
      </w:r>
    </w:p>
    <w:p w14:paraId="413A079A">
      <w:pPr>
        <w:pStyle w:val="19"/>
        <w:spacing w:line="300" w:lineRule="exact"/>
        <w:ind w:left="786" w:right="36" w:rightChars="15" w:firstLine="0" w:firstLineChars="0"/>
        <w:rPr>
          <w:rFonts w:ascii="楷体_GB2312" w:eastAsia="楷体_GB2312"/>
          <w:color w:val="000000" w:themeColor="text1"/>
          <w:sz w:val="20"/>
          <w:szCs w:val="20"/>
          <w14:textFill>
            <w14:solidFill>
              <w14:schemeClr w14:val="tx1"/>
            </w14:solidFill>
          </w14:textFill>
        </w:rPr>
      </w:pPr>
    </w:p>
    <w:p w14:paraId="6C9F00FD">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二十、争议解决</w:t>
      </w:r>
    </w:p>
    <w:p w14:paraId="0A5C6994">
      <w:pPr>
        <w:spacing w:line="300" w:lineRule="exact"/>
        <w:ind w:firstLine="402" w:firstLineChars="200"/>
        <w:jc w:val="both"/>
        <w:rPr>
          <w:rFonts w:ascii="Times New Roman" w:hAnsi="Times New Roman" w:eastAsia="楷体_GB2312" w:cs="Times New Roman"/>
          <w:b/>
          <w:bCs/>
          <w:sz w:val="20"/>
          <w:szCs w:val="20"/>
        </w:rPr>
      </w:pPr>
      <w:bookmarkStart w:id="0" w:name="_Hlk144405041"/>
      <w:r>
        <w:rPr>
          <w:rFonts w:hint="eastAsia" w:ascii="Times New Roman" w:hAnsi="Times New Roman" w:eastAsia="楷体_GB2312" w:cs="Times New Roman"/>
          <w:b/>
          <w:sz w:val="20"/>
          <w:szCs w:val="20"/>
        </w:rPr>
        <w:t>（一）理财产品合同适用中华人民共和国法律（为履行理财产品合同之目的，不包括中国香港特别行政区、澳门特别行政区及台湾地区法律）。</w:t>
      </w:r>
    </w:p>
    <w:p w14:paraId="0F1CF8E1">
      <w:pPr>
        <w:spacing w:line="300" w:lineRule="exact"/>
        <w:ind w:firstLine="402" w:firstLineChars="200"/>
        <w:jc w:val="both"/>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二）凡因理财产品合同引起的或与理财产品合同有关的任何争议，甲乙双方应本着诚实信用的原则通过协商解决。如通过协商仍不能解决争议时，双方应将该等争议提交上海仲裁委员会仲裁，仲裁地在上海。仲裁裁决是终局性的，对双方均有约束力。除非仲裁裁决另有规定，双方为仲裁而实际支付的费用（包括但不限于仲裁费和律师费）由败诉方承担。</w:t>
      </w:r>
    </w:p>
    <w:p w14:paraId="16464233">
      <w:pPr>
        <w:spacing w:line="300" w:lineRule="exact"/>
        <w:ind w:firstLine="402" w:firstLineChars="200"/>
        <w:jc w:val="both"/>
        <w:rPr>
          <w:rFonts w:ascii="楷体_GB2312" w:eastAsia="楷体_GB2312"/>
          <w:color w:val="000000" w:themeColor="text1"/>
          <w:sz w:val="20"/>
          <w:szCs w:val="20"/>
          <w14:textFill>
            <w14:solidFill>
              <w14:schemeClr w14:val="tx1"/>
            </w14:solidFill>
          </w14:textFill>
        </w:rPr>
      </w:pPr>
      <w:r>
        <w:rPr>
          <w:rFonts w:hint="eastAsia" w:ascii="Times New Roman" w:hAnsi="Times New Roman" w:eastAsia="楷体_GB2312" w:cs="Times New Roman"/>
          <w:b/>
          <w:bCs/>
          <w:sz w:val="20"/>
          <w:szCs w:val="20"/>
        </w:rPr>
        <w:t>（三）在协商或仲裁期间，对于理财产品合同不涉及争议部分的条款，双方仍须履行。</w:t>
      </w:r>
      <w:bookmarkEnd w:id="0"/>
    </w:p>
    <w:p w14:paraId="2BE228F8">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（以下无正文）</w:t>
      </w:r>
    </w:p>
    <w:p w14:paraId="28061817">
      <w:pPr>
        <w:rPr>
          <w:rFonts w:ascii="黑体" w:hAnsi="Times New Roman" w:eastAsia="黑体" w:cs="黑体"/>
          <w:color w:val="000000" w:themeColor="text1"/>
          <w:sz w:val="20"/>
          <w:szCs w:val="20"/>
          <w14:textFill>
            <w14:solidFill>
              <w14:schemeClr w14:val="tx1"/>
            </w14:solidFill>
          </w14:textFill>
        </w:rPr>
      </w:pPr>
      <w:r>
        <w:rPr>
          <w:rFonts w:ascii="黑体" w:hAnsi="Times New Roman" w:eastAsia="黑体" w:cs="黑体"/>
          <w:color w:val="000000" w:themeColor="text1"/>
          <w:sz w:val="20"/>
          <w:szCs w:val="20"/>
          <w14:textFill>
            <w14:solidFill>
              <w14:schemeClr w14:val="tx1"/>
            </w14:solidFill>
          </w14:textFill>
        </w:rPr>
        <w:br w:type="page"/>
      </w:r>
      <w:r>
        <w:rPr>
          <w:rFonts w:ascii="楷体_GB2312" w:eastAsia="楷体_GB2312"/>
          <w:color w:val="000000" w:themeColor="text1"/>
          <w:sz w:val="20"/>
          <w:szCs w:val="20"/>
          <w:u w:val="single"/>
          <w14:textFill>
            <w14:solidFill>
              <w14:schemeClr w14:val="tx1"/>
            </w14:solidFill>
          </w14:textFill>
        </w:rPr>
        <w:t>                                 </w:t>
      </w:r>
    </w:p>
    <w:p w14:paraId="22E8F46A">
      <w:pPr>
        <w:jc w:val="both"/>
        <w:rPr>
          <w:rFonts w:ascii="黑体" w:eastAsia="黑体"/>
          <w:b/>
          <w:bCs/>
          <w:color w:val="000000"/>
        </w:rPr>
      </w:pPr>
      <w:r>
        <w:rPr>
          <w:rFonts w:hint="eastAsia" w:ascii="黑体" w:eastAsia="黑体"/>
          <w:b/>
          <w:bCs/>
          <w:color w:val="000000"/>
        </w:rPr>
        <w:t>【重要提示：信银理财已提请投资者注意本产品说明书项下免除或限制其责任的条款以及争议解决条款，并已按投资者要求对有关条款予以充分说明。投资者在本产品说明书上签字</w:t>
      </w:r>
      <w:r>
        <w:rPr>
          <w:rFonts w:ascii="黑体" w:eastAsia="黑体"/>
          <w:b/>
          <w:bCs/>
          <w:color w:val="000000"/>
        </w:rPr>
        <w:t>/盖章或在线</w:t>
      </w:r>
      <w:r>
        <w:rPr>
          <w:rFonts w:hint="eastAsia" w:ascii="黑体" w:eastAsia="黑体"/>
          <w:b/>
          <w:bCs/>
          <w:color w:val="000000"/>
        </w:rPr>
        <w:t>点击</w:t>
      </w:r>
      <w:r>
        <w:rPr>
          <w:rFonts w:ascii="黑体" w:eastAsia="黑体"/>
          <w:b/>
          <w:bCs/>
          <w:color w:val="000000"/>
        </w:rPr>
        <w:t>确认</w:t>
      </w:r>
      <w:r>
        <w:rPr>
          <w:rFonts w:hint="eastAsia" w:ascii="黑体" w:eastAsia="黑体"/>
          <w:b/>
          <w:bCs/>
          <w:color w:val="000000"/>
        </w:rPr>
        <w:t>即表示已知晓并同意本产品说明书的全部</w:t>
      </w:r>
      <w:r>
        <w:rPr>
          <w:rFonts w:ascii="黑体" w:eastAsia="黑体"/>
          <w:b/>
          <w:bCs/>
          <w:color w:val="000000"/>
        </w:rPr>
        <w:t>内容</w:t>
      </w:r>
      <w:r>
        <w:rPr>
          <w:rFonts w:hint="eastAsia" w:ascii="黑体" w:eastAsia="黑体"/>
          <w:b/>
          <w:bCs/>
          <w:color w:val="000000"/>
        </w:rPr>
        <w:t>，因此请您务必仔细阅读后再签署本产品说明书。】</w:t>
      </w:r>
    </w:p>
    <w:p w14:paraId="3CB15B53">
      <w:pPr>
        <w:spacing w:line="300" w:lineRule="exact"/>
        <w:ind w:left="-2" w:leftChars="-1" w:right="36" w:rightChars="15"/>
        <w:rPr>
          <w:rFonts w:ascii="黑体" w:hAnsi="Times New Roman" w:eastAsia="黑体"/>
          <w:color w:val="000000" w:themeColor="text1"/>
          <w14:textFill>
            <w14:solidFill>
              <w14:schemeClr w14:val="tx1"/>
            </w14:solidFill>
          </w14:textFill>
        </w:rPr>
      </w:pPr>
    </w:p>
    <w:p w14:paraId="49AC104A">
      <w:pPr>
        <w:spacing w:line="300" w:lineRule="exact"/>
        <w:ind w:left="-2" w:leftChars="-1" w:right="36" w:rightChars="15"/>
        <w:rPr>
          <w:color w:val="000000" w:themeColor="text1"/>
          <w14:textFill>
            <w14:solidFill>
              <w14:schemeClr w14:val="tx1"/>
            </w14:solidFill>
          </w14:textFill>
        </w:rPr>
      </w:pPr>
      <w:r>
        <w:rPr>
          <w:rFonts w:hint="eastAsia" w:ascii="黑体" w:hAnsi="Times New Roman" w:eastAsia="黑体"/>
          <w:color w:val="000000" w:themeColor="text1"/>
          <w14:textFill>
            <w14:solidFill>
              <w14:schemeClr w14:val="tx1"/>
            </w14:solidFill>
          </w14:textFill>
        </w:rPr>
        <w:t>个人客户（签字）：</w:t>
      </w:r>
      <w:r>
        <w:rPr>
          <w:rFonts w:ascii="黑体" w:hAnsi="Times New Roman" w:eastAsia="黑体"/>
          <w:color w:val="000000" w:themeColor="text1"/>
          <w14:textFill>
            <w14:solidFill>
              <w14:schemeClr w14:val="tx1"/>
            </w14:solidFill>
          </w14:textFill>
        </w:rPr>
        <w:t xml:space="preserve">                   </w:t>
      </w:r>
    </w:p>
    <w:p w14:paraId="76D7CDC5">
      <w:pPr>
        <w:ind w:right="440"/>
        <w:rPr>
          <w:rFonts w:ascii="Arial" w:hAnsi="Arial" w:cs="Arial"/>
          <w:color w:val="000000" w:themeColor="text1"/>
          <w:sz w:val="15"/>
          <w:szCs w:val="15"/>
          <w14:textFill>
            <w14:solidFill>
              <w14:schemeClr w14:val="tx1"/>
            </w14:solidFill>
          </w14:textFill>
        </w:rPr>
      </w:pPr>
      <w:r>
        <w:rPr>
          <w:rFonts w:ascii="黑体" w:hAnsi="Times New Roman" w:eastAsia="黑体" w:cs="Arial"/>
          <w:color w:val="000000" w:themeColor="text1"/>
          <w14:textFill>
            <w14:solidFill>
              <w14:schemeClr w14:val="tx1"/>
            </w14:solidFill>
          </w14:textFill>
        </w:rPr>
        <w:t xml:space="preserve">                                  </w:t>
      </w:r>
    </w:p>
    <w:p w14:paraId="21E87DFE">
      <w:pPr>
        <w:ind w:left="4440" w:right="440" w:hanging="4440" w:hangingChars="1850"/>
        <w:rPr>
          <w:rFonts w:ascii="楷体" w:hAnsi="楷体" w:eastAsia="楷体" w:cs="Arial"/>
          <w:color w:val="000000" w:themeColor="text1"/>
          <w:sz w:val="15"/>
          <w:szCs w:val="15"/>
          <w14:textFill>
            <w14:solidFill>
              <w14:schemeClr w14:val="tx1"/>
            </w14:solidFill>
          </w14:textFill>
        </w:rPr>
      </w:pPr>
      <w:r>
        <w:rPr>
          <w:rFonts w:hint="eastAsia" w:ascii="黑体" w:hAnsi="Times New Roman" w:eastAsia="黑体" w:cs="Arial"/>
          <w:color w:val="000000" w:themeColor="text1"/>
          <w14:textFill>
            <w14:solidFill>
              <w14:schemeClr w14:val="tx1"/>
            </w14:solidFill>
          </w14:textFill>
        </w:rPr>
        <w:t xml:space="preserve">日期：年 月 日                      </w:t>
      </w:r>
      <w:r>
        <w:rPr>
          <w:rFonts w:ascii="黑体" w:hAnsi="Times New Roman" w:eastAsia="黑体" w:cs="Arial"/>
          <w:color w:val="000000" w:themeColor="text1"/>
          <w14:textFill>
            <w14:solidFill>
              <w14:schemeClr w14:val="tx1"/>
            </w14:solidFill>
          </w14:textFill>
        </w:rPr>
        <w:t xml:space="preserve"> </w:t>
      </w:r>
    </w:p>
    <w:p w14:paraId="44F50114">
      <w:pPr>
        <w:ind w:right="-902" w:rightChars="-376"/>
        <w:rPr>
          <w:rFonts w:ascii="楷体" w:hAnsi="楷体" w:eastAsia="楷体"/>
          <w:color w:val="000000" w:themeColor="text1"/>
          <w14:textFill>
            <w14:solidFill>
              <w14:schemeClr w14:val="tx1"/>
            </w14:solidFill>
          </w14:textFill>
        </w:rPr>
      </w:pPr>
      <w:r>
        <w:rPr>
          <w:rFonts w:ascii="Calibri" w:hAnsi="Calibri" w:eastAsia="楷体" w:cs="Calibri"/>
          <w:color w:val="000000" w:themeColor="text1"/>
          <w14:textFill>
            <w14:solidFill>
              <w14:schemeClr w14:val="tx1"/>
            </w14:solidFill>
          </w14:textFill>
        </w:rPr>
        <w:t> </w:t>
      </w:r>
    </w:p>
    <w:p w14:paraId="10CBF151">
      <w:pPr>
        <w:ind w:right="-902" w:rightChars="-376"/>
        <w:rPr>
          <w:rFonts w:ascii="黑体" w:hAnsi="Times New Roman" w:eastAsia="黑体"/>
          <w:color w:val="000000" w:themeColor="text1"/>
          <w14:textFill>
            <w14:solidFill>
              <w14:schemeClr w14:val="tx1"/>
            </w14:solidFill>
          </w14:textFill>
        </w:rPr>
      </w:pPr>
    </w:p>
    <w:p w14:paraId="3A7BCCAE">
      <w:pPr>
        <w:ind w:right="-902" w:rightChars="-376"/>
        <w:rPr>
          <w:color w:val="000000" w:themeColor="text1"/>
          <w14:textFill>
            <w14:solidFill>
              <w14:schemeClr w14:val="tx1"/>
            </w14:solidFill>
          </w14:textFill>
        </w:rPr>
      </w:pPr>
      <w:r>
        <w:rPr>
          <w:rFonts w:hint="eastAsia" w:ascii="黑体" w:hAnsi="Times New Roman" w:eastAsia="黑体"/>
          <w:color w:val="000000" w:themeColor="text1"/>
          <w14:textFill>
            <w14:solidFill>
              <w14:schemeClr w14:val="tx1"/>
            </w14:solidFill>
          </w14:textFill>
        </w:rPr>
        <w:t>机构客户（盖章）：</w:t>
      </w:r>
      <w:r>
        <w:rPr>
          <w:rFonts w:ascii="黑体" w:hAnsi="Times New Roman" w:eastAsia="黑体"/>
          <w:color w:val="000000" w:themeColor="text1"/>
          <w14:textFill>
            <w14:solidFill>
              <w14:schemeClr w14:val="tx1"/>
            </w14:solidFill>
          </w14:textFill>
        </w:rPr>
        <w:t xml:space="preserve">                    </w:t>
      </w:r>
    </w:p>
    <w:p w14:paraId="0DFAB3F3">
      <w:pPr>
        <w:ind w:right="-902" w:rightChars="-376"/>
        <w:rPr>
          <w:color w:val="000000" w:themeColor="text1"/>
          <w14:textFill>
            <w14:solidFill>
              <w14:schemeClr w14:val="tx1"/>
            </w14:solidFill>
          </w14:textFill>
        </w:rPr>
      </w:pPr>
      <w:r>
        <w:rPr>
          <w:rFonts w:ascii="黑体" w:hAnsi="Times New Roman" w:eastAsia="黑体"/>
          <w:color w:val="000000" w:themeColor="text1"/>
          <w14:textFill>
            <w14:solidFill>
              <w14:schemeClr w14:val="tx1"/>
            </w14:solidFill>
          </w14:textFill>
        </w:rPr>
        <w:t> </w:t>
      </w:r>
    </w:p>
    <w:p w14:paraId="153DC9B3">
      <w:pPr>
        <w:ind w:right="-902" w:rightChars="-376"/>
        <w:rPr>
          <w:color w:val="000000" w:themeColor="text1"/>
          <w14:textFill>
            <w14:solidFill>
              <w14:schemeClr w14:val="tx1"/>
            </w14:solidFill>
          </w14:textFill>
        </w:rPr>
      </w:pPr>
      <w:r>
        <w:rPr>
          <w:rFonts w:hint="eastAsia" w:ascii="黑体" w:hAnsi="Times New Roman" w:eastAsia="黑体"/>
          <w:color w:val="000000" w:themeColor="text1"/>
          <w14:textFill>
            <w14:solidFill>
              <w14:schemeClr w14:val="tx1"/>
            </w14:solidFill>
          </w14:textFill>
        </w:rPr>
        <w:t>法定代表人或负责人（签字或签章）：</w:t>
      </w:r>
    </w:p>
    <w:p w14:paraId="2F8A383D">
      <w:pPr>
        <w:ind w:right="-902" w:rightChars="-376"/>
        <w:rPr>
          <w:color w:val="000000" w:themeColor="text1"/>
          <w14:textFill>
            <w14:solidFill>
              <w14:schemeClr w14:val="tx1"/>
            </w14:solidFill>
          </w14:textFill>
        </w:rPr>
      </w:pPr>
      <w:r>
        <w:rPr>
          <w:rFonts w:ascii="黑体" w:hAnsi="Times New Roman" w:eastAsia="黑体"/>
          <w:color w:val="000000" w:themeColor="text1"/>
          <w14:textFill>
            <w14:solidFill>
              <w14:schemeClr w14:val="tx1"/>
            </w14:solidFill>
          </w14:textFill>
        </w:rPr>
        <w:t> </w:t>
      </w:r>
    </w:p>
    <w:p w14:paraId="0A1F96AF">
      <w:pPr>
        <w:ind w:right="-902" w:rightChars="-376"/>
        <w:rPr>
          <w:rFonts w:ascii="黑体" w:hAnsi="Times New Roman" w:eastAsia="黑体"/>
          <w:color w:val="000000" w:themeColor="text1"/>
          <w14:textFill>
            <w14:solidFill>
              <w14:schemeClr w14:val="tx1"/>
            </w14:solidFill>
          </w14:textFill>
        </w:rPr>
      </w:pPr>
      <w:r>
        <w:rPr>
          <w:rFonts w:hint="eastAsia" w:ascii="黑体" w:hAnsi="Times New Roman" w:eastAsia="黑体"/>
          <w:color w:val="000000" w:themeColor="text1"/>
          <w14:textFill>
            <w14:solidFill>
              <w14:schemeClr w14:val="tx1"/>
            </w14:solidFill>
          </w14:textFill>
        </w:rPr>
        <w:t>日期：年</w:t>
      </w:r>
      <w:r>
        <w:rPr>
          <w:rFonts w:ascii="黑体" w:hAnsi="Times New Roman" w:eastAsia="黑体"/>
          <w:color w:val="000000" w:themeColor="text1"/>
          <w14:textFill>
            <w14:solidFill>
              <w14:schemeClr w14:val="tx1"/>
            </w14:solidFill>
          </w14:textFill>
        </w:rPr>
        <w:t xml:space="preserve"> </w:t>
      </w:r>
      <w:r>
        <w:rPr>
          <w:rFonts w:hint="eastAsia" w:ascii="黑体" w:hAnsi="Times New Roman" w:eastAsia="黑体"/>
          <w:color w:val="000000" w:themeColor="text1"/>
          <w14:textFill>
            <w14:solidFill>
              <w14:schemeClr w14:val="tx1"/>
            </w14:solidFill>
          </w14:textFill>
        </w:rPr>
        <w:t>月</w:t>
      </w:r>
      <w:r>
        <w:rPr>
          <w:rFonts w:ascii="黑体" w:hAnsi="Times New Roman" w:eastAsia="黑体"/>
          <w:color w:val="000000" w:themeColor="text1"/>
          <w14:textFill>
            <w14:solidFill>
              <w14:schemeClr w14:val="tx1"/>
            </w14:solidFill>
          </w14:textFill>
        </w:rPr>
        <w:t xml:space="preserve"> </w:t>
      </w:r>
      <w:r>
        <w:rPr>
          <w:rFonts w:hint="eastAsia" w:ascii="黑体" w:hAnsi="Times New Roman" w:eastAsia="黑体"/>
          <w:color w:val="000000" w:themeColor="text1"/>
          <w14:textFill>
            <w14:solidFill>
              <w14:schemeClr w14:val="tx1"/>
            </w14:solidFill>
          </w14:textFill>
        </w:rPr>
        <w:t>日</w:t>
      </w:r>
    </w:p>
    <w:p w14:paraId="4B0DEDBF">
      <w:pPr>
        <w:snapToGrid w:val="0"/>
        <w:ind w:right="53" w:rightChars="22" w:firstLine="480" w:firstLineChars="200"/>
        <w:outlineLvl w:val="0"/>
      </w:pPr>
    </w:p>
    <w:sectPr>
      <w:headerReference r:id="rId3" w:type="default"/>
      <w:footerReference r:id="rId4" w:type="default"/>
      <w:pgSz w:w="11906" w:h="16838"/>
      <w:pgMar w:top="1440" w:right="1797" w:bottom="1440" w:left="1797" w:header="850" w:footer="992"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71969">
    <w:pPr>
      <w:pStyle w:val="4"/>
      <w:jc w:val="cente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第</w:t>
    </w:r>
    <w:r>
      <w:rPr>
        <w:color w:val="000000" w:themeColor="text1"/>
        <w:lang w:val="zh-CN"/>
        <w14:textFill>
          <w14:solidFill>
            <w14:schemeClr w14:val="tx1"/>
          </w14:solidFill>
        </w14:textFill>
      </w:rPr>
      <w:t xml:space="preserve">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PAGE  \* Arabic  \* MERGEFORMAT</w:instrText>
    </w:r>
    <w:r>
      <w:rPr>
        <w:color w:val="000000" w:themeColor="text1"/>
        <w14:textFill>
          <w14:solidFill>
            <w14:schemeClr w14:val="tx1"/>
          </w14:solidFill>
        </w14:textFill>
      </w:rPr>
      <w:fldChar w:fldCharType="separate"/>
    </w:r>
    <w:r>
      <w:rPr>
        <w:color w:val="000000" w:themeColor="text1"/>
        <w:lang w:val="zh-CN"/>
        <w14:textFill>
          <w14:solidFill>
            <w14:schemeClr w14:val="tx1"/>
          </w14:solidFill>
        </w14:textFill>
      </w:rPr>
      <w:t>10</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r>
      <w:rPr>
        <w:color w:val="000000" w:themeColor="text1"/>
        <w:lang w:val="zh-CN"/>
        <w14:textFill>
          <w14:solidFill>
            <w14:schemeClr w14:val="tx1"/>
          </w14:solidFill>
        </w14:textFill>
      </w:rPr>
      <w:t xml:space="preserve"> </w:t>
    </w:r>
    <w:r>
      <w:rPr>
        <w:rFonts w:hint="eastAsia"/>
        <w:color w:val="000000" w:themeColor="text1"/>
        <w:lang w:val="zh-CN"/>
        <w14:textFill>
          <w14:solidFill>
            <w14:schemeClr w14:val="tx1"/>
          </w14:solidFill>
        </w14:textFill>
      </w:rPr>
      <w:t>，共</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SECTIONPAGES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p>
  <w:p w14:paraId="75C25D21">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71E15">
    <w:pPr>
      <w:pStyle w:val="5"/>
    </w:pPr>
    <w:r>
      <w:rPr>
        <w:rFonts w:hint="eastAsia"/>
      </w:rPr>
      <w:t>本产品风险评级为【PR2】</w:t>
    </w:r>
    <w:r>
      <w:t xml:space="preserve">                                  理财非存款、产品有风险、投资须谨慎</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E13340"/>
    <w:multiLevelType w:val="multilevel"/>
    <w:tmpl w:val="0CE13340"/>
    <w:lvl w:ilvl="0" w:tentative="0">
      <w:start w:val="1"/>
      <w:numFmt w:val="decimal"/>
      <w:lvlText w:val="%1."/>
      <w:lvlJc w:val="left"/>
      <w:pPr>
        <w:ind w:left="758" w:hanging="360"/>
      </w:pPr>
      <w:rPr>
        <w:rFonts w:ascii="楷体_GB2312" w:hAnsi="宋体" w:eastAsia="楷体_GB2312" w:cs="楷体_GB2312"/>
      </w:rPr>
    </w:lvl>
    <w:lvl w:ilvl="1" w:tentative="0">
      <w:start w:val="1"/>
      <w:numFmt w:val="lowerLetter"/>
      <w:lvlText w:val="%2)"/>
      <w:lvlJc w:val="left"/>
      <w:pPr>
        <w:ind w:left="1238" w:hanging="420"/>
      </w:pPr>
    </w:lvl>
    <w:lvl w:ilvl="2" w:tentative="0">
      <w:start w:val="1"/>
      <w:numFmt w:val="lowerRoman"/>
      <w:lvlText w:val="%3."/>
      <w:lvlJc w:val="right"/>
      <w:pPr>
        <w:ind w:left="1658" w:hanging="420"/>
      </w:pPr>
    </w:lvl>
    <w:lvl w:ilvl="3" w:tentative="0">
      <w:start w:val="1"/>
      <w:numFmt w:val="decimal"/>
      <w:lvlText w:val="%4."/>
      <w:lvlJc w:val="left"/>
      <w:pPr>
        <w:ind w:left="2078" w:hanging="420"/>
      </w:pPr>
    </w:lvl>
    <w:lvl w:ilvl="4" w:tentative="0">
      <w:start w:val="1"/>
      <w:numFmt w:val="lowerLetter"/>
      <w:lvlText w:val="%5)"/>
      <w:lvlJc w:val="left"/>
      <w:pPr>
        <w:ind w:left="2498" w:hanging="420"/>
      </w:pPr>
    </w:lvl>
    <w:lvl w:ilvl="5" w:tentative="0">
      <w:start w:val="1"/>
      <w:numFmt w:val="lowerRoman"/>
      <w:lvlText w:val="%6."/>
      <w:lvlJc w:val="right"/>
      <w:pPr>
        <w:ind w:left="2918" w:hanging="420"/>
      </w:pPr>
    </w:lvl>
    <w:lvl w:ilvl="6" w:tentative="0">
      <w:start w:val="1"/>
      <w:numFmt w:val="decimal"/>
      <w:lvlText w:val="%7."/>
      <w:lvlJc w:val="left"/>
      <w:pPr>
        <w:ind w:left="3338" w:hanging="420"/>
      </w:pPr>
    </w:lvl>
    <w:lvl w:ilvl="7" w:tentative="0">
      <w:start w:val="1"/>
      <w:numFmt w:val="lowerLetter"/>
      <w:lvlText w:val="%8)"/>
      <w:lvlJc w:val="left"/>
      <w:pPr>
        <w:ind w:left="3758" w:hanging="420"/>
      </w:pPr>
    </w:lvl>
    <w:lvl w:ilvl="8" w:tentative="0">
      <w:start w:val="1"/>
      <w:numFmt w:val="lowerRoman"/>
      <w:lvlText w:val="%9."/>
      <w:lvlJc w:val="right"/>
      <w:pPr>
        <w:ind w:left="4178" w:hanging="420"/>
      </w:pPr>
    </w:lvl>
  </w:abstractNum>
  <w:abstractNum w:abstractNumId="1">
    <w:nsid w:val="15C00D17"/>
    <w:multiLevelType w:val="multilevel"/>
    <w:tmpl w:val="15C00D17"/>
    <w:lvl w:ilvl="0" w:tentative="0">
      <w:start w:val="1"/>
      <w:numFmt w:val="decimal"/>
      <w:lvlText w:val="%1."/>
      <w:lvlJc w:val="left"/>
      <w:pPr>
        <w:ind w:left="644" w:hanging="360"/>
      </w:pPr>
      <w:rPr>
        <w:rFonts w:ascii="Times New Roman" w:hAnsi="Times New Roman" w:eastAsia="楷体_GB2312" w:cs="楷体_GB2312"/>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2">
    <w:nsid w:val="26136516"/>
    <w:multiLevelType w:val="multilevel"/>
    <w:tmpl w:val="26136516"/>
    <w:lvl w:ilvl="0" w:tentative="0">
      <w:start w:val="1"/>
      <w:numFmt w:val="decimal"/>
      <w:lvlText w:val="%1."/>
      <w:lvlJc w:val="left"/>
      <w:pPr>
        <w:ind w:left="758" w:hanging="360"/>
      </w:pPr>
      <w:rPr>
        <w:rFonts w:ascii="Times New Roman" w:hAnsi="Times New Roman" w:eastAsia="楷体_GB2312" w:cs="楷体_GB2312"/>
      </w:rPr>
    </w:lvl>
    <w:lvl w:ilvl="1" w:tentative="0">
      <w:start w:val="1"/>
      <w:numFmt w:val="lowerLetter"/>
      <w:lvlText w:val="%2)"/>
      <w:lvlJc w:val="left"/>
      <w:pPr>
        <w:ind w:left="1238" w:hanging="420"/>
      </w:pPr>
    </w:lvl>
    <w:lvl w:ilvl="2" w:tentative="0">
      <w:start w:val="1"/>
      <w:numFmt w:val="lowerRoman"/>
      <w:lvlText w:val="%3."/>
      <w:lvlJc w:val="right"/>
      <w:pPr>
        <w:ind w:left="1658" w:hanging="420"/>
      </w:pPr>
    </w:lvl>
    <w:lvl w:ilvl="3" w:tentative="0">
      <w:start w:val="1"/>
      <w:numFmt w:val="decimal"/>
      <w:lvlText w:val="%4."/>
      <w:lvlJc w:val="left"/>
      <w:pPr>
        <w:ind w:left="2078" w:hanging="420"/>
      </w:pPr>
    </w:lvl>
    <w:lvl w:ilvl="4" w:tentative="0">
      <w:start w:val="1"/>
      <w:numFmt w:val="lowerLetter"/>
      <w:lvlText w:val="%5)"/>
      <w:lvlJc w:val="left"/>
      <w:pPr>
        <w:ind w:left="2498" w:hanging="420"/>
      </w:pPr>
    </w:lvl>
    <w:lvl w:ilvl="5" w:tentative="0">
      <w:start w:val="1"/>
      <w:numFmt w:val="lowerRoman"/>
      <w:lvlText w:val="%6."/>
      <w:lvlJc w:val="right"/>
      <w:pPr>
        <w:ind w:left="2918" w:hanging="420"/>
      </w:pPr>
    </w:lvl>
    <w:lvl w:ilvl="6" w:tentative="0">
      <w:start w:val="1"/>
      <w:numFmt w:val="decimal"/>
      <w:lvlText w:val="%7."/>
      <w:lvlJc w:val="left"/>
      <w:pPr>
        <w:ind w:left="3338" w:hanging="420"/>
      </w:pPr>
    </w:lvl>
    <w:lvl w:ilvl="7" w:tentative="0">
      <w:start w:val="1"/>
      <w:numFmt w:val="lowerLetter"/>
      <w:lvlText w:val="%8)"/>
      <w:lvlJc w:val="left"/>
      <w:pPr>
        <w:ind w:left="3758" w:hanging="420"/>
      </w:pPr>
    </w:lvl>
    <w:lvl w:ilvl="8" w:tentative="0">
      <w:start w:val="1"/>
      <w:numFmt w:val="lowerRoman"/>
      <w:lvlText w:val="%9."/>
      <w:lvlJc w:val="right"/>
      <w:pPr>
        <w:ind w:left="4178" w:hanging="420"/>
      </w:pPr>
    </w:lvl>
  </w:abstractNum>
  <w:abstractNum w:abstractNumId="3">
    <w:nsid w:val="320240BE"/>
    <w:multiLevelType w:val="multilevel"/>
    <w:tmpl w:val="320240BE"/>
    <w:lvl w:ilvl="0" w:tentative="0">
      <w:start w:val="1"/>
      <w:numFmt w:val="decimal"/>
      <w:lvlText w:val="%1."/>
      <w:lvlJc w:val="left"/>
      <w:pPr>
        <w:ind w:left="358" w:hanging="360"/>
      </w:pPr>
      <w:rPr>
        <w:rFonts w:hint="default"/>
      </w:rPr>
    </w:lvl>
    <w:lvl w:ilvl="1" w:tentative="0">
      <w:start w:val="1"/>
      <w:numFmt w:val="lowerLetter"/>
      <w:lvlText w:val="%2)"/>
      <w:lvlJc w:val="left"/>
      <w:pPr>
        <w:ind w:left="838" w:hanging="420"/>
      </w:pPr>
    </w:lvl>
    <w:lvl w:ilvl="2" w:tentative="0">
      <w:start w:val="1"/>
      <w:numFmt w:val="lowerRoman"/>
      <w:lvlText w:val="%3."/>
      <w:lvlJc w:val="right"/>
      <w:pPr>
        <w:ind w:left="1258" w:hanging="420"/>
      </w:pPr>
    </w:lvl>
    <w:lvl w:ilvl="3" w:tentative="0">
      <w:start w:val="1"/>
      <w:numFmt w:val="decimal"/>
      <w:lvlText w:val="%4."/>
      <w:lvlJc w:val="left"/>
      <w:pPr>
        <w:ind w:left="1678" w:hanging="420"/>
      </w:pPr>
    </w:lvl>
    <w:lvl w:ilvl="4" w:tentative="0">
      <w:start w:val="1"/>
      <w:numFmt w:val="lowerLetter"/>
      <w:lvlText w:val="%5)"/>
      <w:lvlJc w:val="left"/>
      <w:pPr>
        <w:ind w:left="2098" w:hanging="420"/>
      </w:pPr>
    </w:lvl>
    <w:lvl w:ilvl="5" w:tentative="0">
      <w:start w:val="1"/>
      <w:numFmt w:val="lowerRoman"/>
      <w:lvlText w:val="%6."/>
      <w:lvlJc w:val="right"/>
      <w:pPr>
        <w:ind w:left="2518" w:hanging="420"/>
      </w:pPr>
    </w:lvl>
    <w:lvl w:ilvl="6" w:tentative="0">
      <w:start w:val="1"/>
      <w:numFmt w:val="decimal"/>
      <w:lvlText w:val="%7."/>
      <w:lvlJc w:val="left"/>
      <w:pPr>
        <w:ind w:left="2938" w:hanging="420"/>
      </w:pPr>
    </w:lvl>
    <w:lvl w:ilvl="7" w:tentative="0">
      <w:start w:val="1"/>
      <w:numFmt w:val="lowerLetter"/>
      <w:lvlText w:val="%8)"/>
      <w:lvlJc w:val="left"/>
      <w:pPr>
        <w:ind w:left="3358" w:hanging="420"/>
      </w:pPr>
    </w:lvl>
    <w:lvl w:ilvl="8" w:tentative="0">
      <w:start w:val="1"/>
      <w:numFmt w:val="lowerRoman"/>
      <w:lvlText w:val="%9."/>
      <w:lvlJc w:val="right"/>
      <w:pPr>
        <w:ind w:left="3778" w:hanging="420"/>
      </w:pPr>
    </w:lvl>
  </w:abstractNum>
  <w:abstractNum w:abstractNumId="4">
    <w:nsid w:val="4B6B1016"/>
    <w:multiLevelType w:val="multilevel"/>
    <w:tmpl w:val="4B6B1016"/>
    <w:lvl w:ilvl="0" w:tentative="0">
      <w:start w:val="1"/>
      <w:numFmt w:val="decimal"/>
      <w:lvlText w:val="%1."/>
      <w:lvlJc w:val="left"/>
      <w:pPr>
        <w:ind w:left="358" w:hanging="360"/>
      </w:pPr>
      <w:rPr>
        <w:rFonts w:hint="default" w:ascii="楷体_GB2312" w:hAnsi="宋体" w:cs="楷体_GB2312"/>
      </w:rPr>
    </w:lvl>
    <w:lvl w:ilvl="1" w:tentative="0">
      <w:start w:val="1"/>
      <w:numFmt w:val="lowerLetter"/>
      <w:lvlText w:val="%2)"/>
      <w:lvlJc w:val="left"/>
      <w:pPr>
        <w:ind w:left="838" w:hanging="420"/>
      </w:pPr>
    </w:lvl>
    <w:lvl w:ilvl="2" w:tentative="0">
      <w:start w:val="1"/>
      <w:numFmt w:val="lowerRoman"/>
      <w:lvlText w:val="%3."/>
      <w:lvlJc w:val="right"/>
      <w:pPr>
        <w:ind w:left="1258" w:hanging="420"/>
      </w:pPr>
    </w:lvl>
    <w:lvl w:ilvl="3" w:tentative="0">
      <w:start w:val="1"/>
      <w:numFmt w:val="decimal"/>
      <w:lvlText w:val="%4."/>
      <w:lvlJc w:val="left"/>
      <w:pPr>
        <w:ind w:left="1678" w:hanging="420"/>
      </w:pPr>
    </w:lvl>
    <w:lvl w:ilvl="4" w:tentative="0">
      <w:start w:val="1"/>
      <w:numFmt w:val="lowerLetter"/>
      <w:lvlText w:val="%5)"/>
      <w:lvlJc w:val="left"/>
      <w:pPr>
        <w:ind w:left="2098" w:hanging="420"/>
      </w:pPr>
    </w:lvl>
    <w:lvl w:ilvl="5" w:tentative="0">
      <w:start w:val="1"/>
      <w:numFmt w:val="lowerRoman"/>
      <w:lvlText w:val="%6."/>
      <w:lvlJc w:val="right"/>
      <w:pPr>
        <w:ind w:left="2518" w:hanging="420"/>
      </w:pPr>
    </w:lvl>
    <w:lvl w:ilvl="6" w:tentative="0">
      <w:start w:val="1"/>
      <w:numFmt w:val="decimal"/>
      <w:lvlText w:val="%7."/>
      <w:lvlJc w:val="left"/>
      <w:pPr>
        <w:ind w:left="2938" w:hanging="420"/>
      </w:pPr>
    </w:lvl>
    <w:lvl w:ilvl="7" w:tentative="0">
      <w:start w:val="1"/>
      <w:numFmt w:val="lowerLetter"/>
      <w:lvlText w:val="%8)"/>
      <w:lvlJc w:val="left"/>
      <w:pPr>
        <w:ind w:left="3358" w:hanging="420"/>
      </w:pPr>
    </w:lvl>
    <w:lvl w:ilvl="8" w:tentative="0">
      <w:start w:val="1"/>
      <w:numFmt w:val="lowerRoman"/>
      <w:lvlText w:val="%9."/>
      <w:lvlJc w:val="right"/>
      <w:pPr>
        <w:ind w:left="3778" w:hanging="420"/>
      </w:pPr>
    </w:lvl>
  </w:abstractNum>
  <w:abstractNum w:abstractNumId="5">
    <w:nsid w:val="70C8692D"/>
    <w:multiLevelType w:val="multilevel"/>
    <w:tmpl w:val="70C8692D"/>
    <w:lvl w:ilvl="0" w:tentative="0">
      <w:start w:val="1"/>
      <w:numFmt w:val="decimal"/>
      <w:lvlText w:val="%1."/>
      <w:lvlJc w:val="left"/>
      <w:pPr>
        <w:ind w:left="358" w:hanging="360"/>
      </w:pPr>
      <w:rPr>
        <w:rFonts w:ascii="楷体_GB2312" w:hAnsi="宋体" w:eastAsia="楷体_GB2312" w:cs="楷体_GB2312"/>
      </w:rPr>
    </w:lvl>
    <w:lvl w:ilvl="1" w:tentative="0">
      <w:start w:val="1"/>
      <w:numFmt w:val="lowerLetter"/>
      <w:lvlText w:val="%2."/>
      <w:lvlJc w:val="left"/>
      <w:pPr>
        <w:ind w:left="1078" w:hanging="360"/>
      </w:pPr>
    </w:lvl>
    <w:lvl w:ilvl="2" w:tentative="0">
      <w:start w:val="1"/>
      <w:numFmt w:val="lowerRoman"/>
      <w:lvlText w:val="%3."/>
      <w:lvlJc w:val="right"/>
      <w:pPr>
        <w:ind w:left="1798" w:hanging="180"/>
      </w:pPr>
    </w:lvl>
    <w:lvl w:ilvl="3" w:tentative="0">
      <w:start w:val="1"/>
      <w:numFmt w:val="decimal"/>
      <w:lvlText w:val="%4."/>
      <w:lvlJc w:val="left"/>
      <w:pPr>
        <w:ind w:left="2518" w:hanging="360"/>
      </w:pPr>
    </w:lvl>
    <w:lvl w:ilvl="4" w:tentative="0">
      <w:start w:val="1"/>
      <w:numFmt w:val="lowerLetter"/>
      <w:lvlText w:val="%5."/>
      <w:lvlJc w:val="left"/>
      <w:pPr>
        <w:ind w:left="3238" w:hanging="360"/>
      </w:pPr>
    </w:lvl>
    <w:lvl w:ilvl="5" w:tentative="0">
      <w:start w:val="1"/>
      <w:numFmt w:val="lowerRoman"/>
      <w:lvlText w:val="%6."/>
      <w:lvlJc w:val="right"/>
      <w:pPr>
        <w:ind w:left="3958" w:hanging="180"/>
      </w:pPr>
    </w:lvl>
    <w:lvl w:ilvl="6" w:tentative="0">
      <w:start w:val="1"/>
      <w:numFmt w:val="decimal"/>
      <w:lvlText w:val="%7."/>
      <w:lvlJc w:val="left"/>
      <w:pPr>
        <w:ind w:left="4678" w:hanging="360"/>
      </w:pPr>
    </w:lvl>
    <w:lvl w:ilvl="7" w:tentative="0">
      <w:start w:val="1"/>
      <w:numFmt w:val="lowerLetter"/>
      <w:lvlText w:val="%8."/>
      <w:lvlJc w:val="left"/>
      <w:pPr>
        <w:ind w:left="5398" w:hanging="360"/>
      </w:pPr>
    </w:lvl>
    <w:lvl w:ilvl="8" w:tentative="0">
      <w:start w:val="1"/>
      <w:numFmt w:val="lowerRoman"/>
      <w:lvlText w:val="%9."/>
      <w:lvlJc w:val="right"/>
      <w:pPr>
        <w:ind w:left="6118" w:hanging="180"/>
      </w:pPr>
    </w:lvl>
  </w:abstractNum>
  <w:num w:numId="1">
    <w:abstractNumId w:val="4"/>
  </w:num>
  <w:num w:numId="2">
    <w:abstractNumId w:val="3"/>
  </w:num>
  <w:num w:numId="3">
    <w:abstractNumId w:val="5"/>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rawingGridHorizontalSpacing w:val="0"/>
  <w:drawingGridVerticalSpacing w:val="0"/>
  <w:noPunctuationKerning w:val="1"/>
  <w:characterSpacingControl w:val="doNotCompress"/>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2NzgzNTQ3YjE0ZWMyZmZiODIyZWQ2YTc3NzhhNGIifQ=="/>
  </w:docVars>
  <w:rsids>
    <w:rsidRoot w:val="00172A27"/>
    <w:rsid w:val="000006C6"/>
    <w:rsid w:val="00001DC5"/>
    <w:rsid w:val="00001F37"/>
    <w:rsid w:val="00003EA4"/>
    <w:rsid w:val="00005611"/>
    <w:rsid w:val="00005AAC"/>
    <w:rsid w:val="00007813"/>
    <w:rsid w:val="00007E67"/>
    <w:rsid w:val="00010675"/>
    <w:rsid w:val="000126B2"/>
    <w:rsid w:val="00012DB3"/>
    <w:rsid w:val="0001372D"/>
    <w:rsid w:val="00013F5B"/>
    <w:rsid w:val="000147D6"/>
    <w:rsid w:val="00014B73"/>
    <w:rsid w:val="0001549F"/>
    <w:rsid w:val="000160B3"/>
    <w:rsid w:val="000205B3"/>
    <w:rsid w:val="00020AB8"/>
    <w:rsid w:val="00021FBC"/>
    <w:rsid w:val="00022383"/>
    <w:rsid w:val="00023770"/>
    <w:rsid w:val="0002390F"/>
    <w:rsid w:val="0002493B"/>
    <w:rsid w:val="00025F4F"/>
    <w:rsid w:val="0002679A"/>
    <w:rsid w:val="00027D07"/>
    <w:rsid w:val="00032181"/>
    <w:rsid w:val="00032E11"/>
    <w:rsid w:val="00034184"/>
    <w:rsid w:val="0003593E"/>
    <w:rsid w:val="00035D4E"/>
    <w:rsid w:val="00036164"/>
    <w:rsid w:val="000363A0"/>
    <w:rsid w:val="00036A9C"/>
    <w:rsid w:val="00037270"/>
    <w:rsid w:val="00037C31"/>
    <w:rsid w:val="00041092"/>
    <w:rsid w:val="00041EA7"/>
    <w:rsid w:val="000426F9"/>
    <w:rsid w:val="000432B2"/>
    <w:rsid w:val="00043AA8"/>
    <w:rsid w:val="00044D26"/>
    <w:rsid w:val="00046C52"/>
    <w:rsid w:val="00046D16"/>
    <w:rsid w:val="00047F09"/>
    <w:rsid w:val="000509D8"/>
    <w:rsid w:val="00051D6A"/>
    <w:rsid w:val="00053031"/>
    <w:rsid w:val="000548A7"/>
    <w:rsid w:val="00055799"/>
    <w:rsid w:val="00055B2C"/>
    <w:rsid w:val="00057627"/>
    <w:rsid w:val="00057AF1"/>
    <w:rsid w:val="00060175"/>
    <w:rsid w:val="00060380"/>
    <w:rsid w:val="0006039E"/>
    <w:rsid w:val="00060C45"/>
    <w:rsid w:val="00060CF8"/>
    <w:rsid w:val="000627EE"/>
    <w:rsid w:val="00062C0F"/>
    <w:rsid w:val="00063F74"/>
    <w:rsid w:val="000642FF"/>
    <w:rsid w:val="00064EC6"/>
    <w:rsid w:val="000656EC"/>
    <w:rsid w:val="00070B5F"/>
    <w:rsid w:val="00071B6D"/>
    <w:rsid w:val="0007222D"/>
    <w:rsid w:val="000728B5"/>
    <w:rsid w:val="0007322A"/>
    <w:rsid w:val="000737DF"/>
    <w:rsid w:val="0007491E"/>
    <w:rsid w:val="00074951"/>
    <w:rsid w:val="000757CB"/>
    <w:rsid w:val="000810BD"/>
    <w:rsid w:val="00083705"/>
    <w:rsid w:val="0008387A"/>
    <w:rsid w:val="0008499F"/>
    <w:rsid w:val="00084A58"/>
    <w:rsid w:val="00084DE7"/>
    <w:rsid w:val="00085A4A"/>
    <w:rsid w:val="00085E70"/>
    <w:rsid w:val="0008615C"/>
    <w:rsid w:val="0008737E"/>
    <w:rsid w:val="00090367"/>
    <w:rsid w:val="00090A15"/>
    <w:rsid w:val="00090A7C"/>
    <w:rsid w:val="00090B6A"/>
    <w:rsid w:val="000912BC"/>
    <w:rsid w:val="00091490"/>
    <w:rsid w:val="0009250D"/>
    <w:rsid w:val="00093A85"/>
    <w:rsid w:val="00093E3E"/>
    <w:rsid w:val="00094744"/>
    <w:rsid w:val="00096806"/>
    <w:rsid w:val="000A044F"/>
    <w:rsid w:val="000A09D8"/>
    <w:rsid w:val="000A0BFB"/>
    <w:rsid w:val="000A0C47"/>
    <w:rsid w:val="000A2BBA"/>
    <w:rsid w:val="000A5437"/>
    <w:rsid w:val="000A544A"/>
    <w:rsid w:val="000A5B13"/>
    <w:rsid w:val="000A5C95"/>
    <w:rsid w:val="000A5E90"/>
    <w:rsid w:val="000B0124"/>
    <w:rsid w:val="000B0A2B"/>
    <w:rsid w:val="000B1394"/>
    <w:rsid w:val="000B5D44"/>
    <w:rsid w:val="000B6427"/>
    <w:rsid w:val="000B7A00"/>
    <w:rsid w:val="000C04B7"/>
    <w:rsid w:val="000C0E92"/>
    <w:rsid w:val="000C19F3"/>
    <w:rsid w:val="000C2361"/>
    <w:rsid w:val="000C2603"/>
    <w:rsid w:val="000C283C"/>
    <w:rsid w:val="000C3099"/>
    <w:rsid w:val="000C32BE"/>
    <w:rsid w:val="000C33FA"/>
    <w:rsid w:val="000C3AF8"/>
    <w:rsid w:val="000C3D71"/>
    <w:rsid w:val="000C4C04"/>
    <w:rsid w:val="000D0148"/>
    <w:rsid w:val="000D0828"/>
    <w:rsid w:val="000D0FBD"/>
    <w:rsid w:val="000D3A95"/>
    <w:rsid w:val="000D3D90"/>
    <w:rsid w:val="000D4953"/>
    <w:rsid w:val="000D4C7B"/>
    <w:rsid w:val="000D56E3"/>
    <w:rsid w:val="000D672E"/>
    <w:rsid w:val="000D7E38"/>
    <w:rsid w:val="000E0E9C"/>
    <w:rsid w:val="000E10B6"/>
    <w:rsid w:val="000E1AC2"/>
    <w:rsid w:val="000E3008"/>
    <w:rsid w:val="000E4FA1"/>
    <w:rsid w:val="000E51AE"/>
    <w:rsid w:val="000E6792"/>
    <w:rsid w:val="000E6FAB"/>
    <w:rsid w:val="000E7674"/>
    <w:rsid w:val="000F26F4"/>
    <w:rsid w:val="000F32C6"/>
    <w:rsid w:val="000F3ADF"/>
    <w:rsid w:val="000F3D2A"/>
    <w:rsid w:val="000F599D"/>
    <w:rsid w:val="000F798A"/>
    <w:rsid w:val="001010C4"/>
    <w:rsid w:val="0010147F"/>
    <w:rsid w:val="00103F63"/>
    <w:rsid w:val="0010611B"/>
    <w:rsid w:val="0010787D"/>
    <w:rsid w:val="00110BCF"/>
    <w:rsid w:val="001110CC"/>
    <w:rsid w:val="00111E93"/>
    <w:rsid w:val="00115683"/>
    <w:rsid w:val="00115D73"/>
    <w:rsid w:val="00116099"/>
    <w:rsid w:val="0011687B"/>
    <w:rsid w:val="00116B6A"/>
    <w:rsid w:val="001201C9"/>
    <w:rsid w:val="0012037B"/>
    <w:rsid w:val="001204B0"/>
    <w:rsid w:val="00121AA3"/>
    <w:rsid w:val="0012222E"/>
    <w:rsid w:val="0012362E"/>
    <w:rsid w:val="00123C90"/>
    <w:rsid w:val="001247D4"/>
    <w:rsid w:val="00124FBD"/>
    <w:rsid w:val="001260B9"/>
    <w:rsid w:val="00126352"/>
    <w:rsid w:val="001266EA"/>
    <w:rsid w:val="00126DB3"/>
    <w:rsid w:val="00127F0D"/>
    <w:rsid w:val="00130901"/>
    <w:rsid w:val="0013218D"/>
    <w:rsid w:val="00132E82"/>
    <w:rsid w:val="00132F12"/>
    <w:rsid w:val="0013467D"/>
    <w:rsid w:val="00134F4C"/>
    <w:rsid w:val="00135255"/>
    <w:rsid w:val="00135299"/>
    <w:rsid w:val="001353DA"/>
    <w:rsid w:val="00135621"/>
    <w:rsid w:val="00135B6F"/>
    <w:rsid w:val="00136105"/>
    <w:rsid w:val="001370DF"/>
    <w:rsid w:val="0014090C"/>
    <w:rsid w:val="00141A88"/>
    <w:rsid w:val="00141F8B"/>
    <w:rsid w:val="00142811"/>
    <w:rsid w:val="00142826"/>
    <w:rsid w:val="00143200"/>
    <w:rsid w:val="00143DF2"/>
    <w:rsid w:val="001452EC"/>
    <w:rsid w:val="00150914"/>
    <w:rsid w:val="00151D12"/>
    <w:rsid w:val="001521EB"/>
    <w:rsid w:val="00153F81"/>
    <w:rsid w:val="001549C8"/>
    <w:rsid w:val="00155560"/>
    <w:rsid w:val="00157BEF"/>
    <w:rsid w:val="0016135B"/>
    <w:rsid w:val="001615E1"/>
    <w:rsid w:val="00161B84"/>
    <w:rsid w:val="00163B22"/>
    <w:rsid w:val="001641D5"/>
    <w:rsid w:val="00164277"/>
    <w:rsid w:val="00164713"/>
    <w:rsid w:val="001649F3"/>
    <w:rsid w:val="00164B28"/>
    <w:rsid w:val="001652F0"/>
    <w:rsid w:val="001654B6"/>
    <w:rsid w:val="00171231"/>
    <w:rsid w:val="001726CF"/>
    <w:rsid w:val="00172A27"/>
    <w:rsid w:val="001769A8"/>
    <w:rsid w:val="001803F8"/>
    <w:rsid w:val="0018075C"/>
    <w:rsid w:val="0018086A"/>
    <w:rsid w:val="00180F21"/>
    <w:rsid w:val="00181072"/>
    <w:rsid w:val="00182FBF"/>
    <w:rsid w:val="0018374A"/>
    <w:rsid w:val="00184D24"/>
    <w:rsid w:val="001858BE"/>
    <w:rsid w:val="00190A62"/>
    <w:rsid w:val="00190E64"/>
    <w:rsid w:val="00191496"/>
    <w:rsid w:val="00191D0B"/>
    <w:rsid w:val="001930F7"/>
    <w:rsid w:val="00193302"/>
    <w:rsid w:val="00194DE7"/>
    <w:rsid w:val="0019567E"/>
    <w:rsid w:val="001963EE"/>
    <w:rsid w:val="00196F2E"/>
    <w:rsid w:val="00197081"/>
    <w:rsid w:val="00197D4A"/>
    <w:rsid w:val="001A0F33"/>
    <w:rsid w:val="001A0FD7"/>
    <w:rsid w:val="001A19CD"/>
    <w:rsid w:val="001A1EF1"/>
    <w:rsid w:val="001A218A"/>
    <w:rsid w:val="001A2FFC"/>
    <w:rsid w:val="001A30BE"/>
    <w:rsid w:val="001A345F"/>
    <w:rsid w:val="001A3B81"/>
    <w:rsid w:val="001A45DD"/>
    <w:rsid w:val="001A5BD9"/>
    <w:rsid w:val="001A720A"/>
    <w:rsid w:val="001A7B69"/>
    <w:rsid w:val="001A7BE3"/>
    <w:rsid w:val="001B01FF"/>
    <w:rsid w:val="001B046B"/>
    <w:rsid w:val="001B3184"/>
    <w:rsid w:val="001B35C0"/>
    <w:rsid w:val="001B4ACF"/>
    <w:rsid w:val="001B6460"/>
    <w:rsid w:val="001B6719"/>
    <w:rsid w:val="001B785F"/>
    <w:rsid w:val="001C0F22"/>
    <w:rsid w:val="001C19C0"/>
    <w:rsid w:val="001C2A78"/>
    <w:rsid w:val="001C3D71"/>
    <w:rsid w:val="001C4A13"/>
    <w:rsid w:val="001C4A22"/>
    <w:rsid w:val="001C4BC2"/>
    <w:rsid w:val="001C4FAF"/>
    <w:rsid w:val="001C5015"/>
    <w:rsid w:val="001C5131"/>
    <w:rsid w:val="001C5D78"/>
    <w:rsid w:val="001C72BC"/>
    <w:rsid w:val="001C7B49"/>
    <w:rsid w:val="001C7B7E"/>
    <w:rsid w:val="001C7BB1"/>
    <w:rsid w:val="001D0705"/>
    <w:rsid w:val="001D2684"/>
    <w:rsid w:val="001D4C4E"/>
    <w:rsid w:val="001D4C72"/>
    <w:rsid w:val="001D69CD"/>
    <w:rsid w:val="001D6A97"/>
    <w:rsid w:val="001D7587"/>
    <w:rsid w:val="001D77C8"/>
    <w:rsid w:val="001E133A"/>
    <w:rsid w:val="001E1C60"/>
    <w:rsid w:val="001E1F10"/>
    <w:rsid w:val="001E54F3"/>
    <w:rsid w:val="001E62E2"/>
    <w:rsid w:val="001E6503"/>
    <w:rsid w:val="001E79BB"/>
    <w:rsid w:val="001F1C65"/>
    <w:rsid w:val="001F6640"/>
    <w:rsid w:val="001F6AE8"/>
    <w:rsid w:val="001F746B"/>
    <w:rsid w:val="001F7597"/>
    <w:rsid w:val="001F7E97"/>
    <w:rsid w:val="0020078B"/>
    <w:rsid w:val="00201B50"/>
    <w:rsid w:val="00202368"/>
    <w:rsid w:val="00202745"/>
    <w:rsid w:val="0020290B"/>
    <w:rsid w:val="00203755"/>
    <w:rsid w:val="00203983"/>
    <w:rsid w:val="00203EAD"/>
    <w:rsid w:val="0020493D"/>
    <w:rsid w:val="00204B9B"/>
    <w:rsid w:val="00204BEC"/>
    <w:rsid w:val="002068C1"/>
    <w:rsid w:val="00206FC4"/>
    <w:rsid w:val="00210890"/>
    <w:rsid w:val="00211F58"/>
    <w:rsid w:val="0021444C"/>
    <w:rsid w:val="002156E9"/>
    <w:rsid w:val="00216B6D"/>
    <w:rsid w:val="00217786"/>
    <w:rsid w:val="00217805"/>
    <w:rsid w:val="0021788B"/>
    <w:rsid w:val="00217F67"/>
    <w:rsid w:val="0022225E"/>
    <w:rsid w:val="002238C9"/>
    <w:rsid w:val="00223C84"/>
    <w:rsid w:val="00224526"/>
    <w:rsid w:val="002255EE"/>
    <w:rsid w:val="00225C4A"/>
    <w:rsid w:val="002263A2"/>
    <w:rsid w:val="00226CD2"/>
    <w:rsid w:val="00226ED1"/>
    <w:rsid w:val="002270F3"/>
    <w:rsid w:val="00227275"/>
    <w:rsid w:val="00227B02"/>
    <w:rsid w:val="00231806"/>
    <w:rsid w:val="00233296"/>
    <w:rsid w:val="0023366D"/>
    <w:rsid w:val="00233A76"/>
    <w:rsid w:val="00233AC8"/>
    <w:rsid w:val="002353DC"/>
    <w:rsid w:val="00236616"/>
    <w:rsid w:val="00236C74"/>
    <w:rsid w:val="002370EE"/>
    <w:rsid w:val="00237C09"/>
    <w:rsid w:val="00241375"/>
    <w:rsid w:val="00241C9E"/>
    <w:rsid w:val="002420E3"/>
    <w:rsid w:val="00244056"/>
    <w:rsid w:val="0024436C"/>
    <w:rsid w:val="00245331"/>
    <w:rsid w:val="002456FB"/>
    <w:rsid w:val="002465F7"/>
    <w:rsid w:val="00247153"/>
    <w:rsid w:val="00251071"/>
    <w:rsid w:val="002513B5"/>
    <w:rsid w:val="002523B9"/>
    <w:rsid w:val="00252623"/>
    <w:rsid w:val="00252C23"/>
    <w:rsid w:val="00253360"/>
    <w:rsid w:val="0025354B"/>
    <w:rsid w:val="00254AA0"/>
    <w:rsid w:val="002555C0"/>
    <w:rsid w:val="00255F6F"/>
    <w:rsid w:val="00260981"/>
    <w:rsid w:val="00261E5A"/>
    <w:rsid w:val="00263626"/>
    <w:rsid w:val="00263AB2"/>
    <w:rsid w:val="00266F6D"/>
    <w:rsid w:val="00271618"/>
    <w:rsid w:val="00271B56"/>
    <w:rsid w:val="00272FFA"/>
    <w:rsid w:val="002730E6"/>
    <w:rsid w:val="00274DDE"/>
    <w:rsid w:val="002752F4"/>
    <w:rsid w:val="002754B9"/>
    <w:rsid w:val="0027618C"/>
    <w:rsid w:val="002761EB"/>
    <w:rsid w:val="00276815"/>
    <w:rsid w:val="00276B2E"/>
    <w:rsid w:val="00277A1B"/>
    <w:rsid w:val="002808D0"/>
    <w:rsid w:val="0028095D"/>
    <w:rsid w:val="00282D2E"/>
    <w:rsid w:val="00283C2A"/>
    <w:rsid w:val="00284F06"/>
    <w:rsid w:val="00286291"/>
    <w:rsid w:val="00287256"/>
    <w:rsid w:val="00290ECD"/>
    <w:rsid w:val="002911B6"/>
    <w:rsid w:val="00291320"/>
    <w:rsid w:val="00291DBD"/>
    <w:rsid w:val="00292667"/>
    <w:rsid w:val="00292C00"/>
    <w:rsid w:val="002947A4"/>
    <w:rsid w:val="00294941"/>
    <w:rsid w:val="00295A54"/>
    <w:rsid w:val="00296760"/>
    <w:rsid w:val="00296927"/>
    <w:rsid w:val="002A0B7C"/>
    <w:rsid w:val="002A101B"/>
    <w:rsid w:val="002A118E"/>
    <w:rsid w:val="002A1446"/>
    <w:rsid w:val="002A1BEB"/>
    <w:rsid w:val="002A284E"/>
    <w:rsid w:val="002A37AD"/>
    <w:rsid w:val="002A3B24"/>
    <w:rsid w:val="002A4085"/>
    <w:rsid w:val="002A448B"/>
    <w:rsid w:val="002A4556"/>
    <w:rsid w:val="002A5D84"/>
    <w:rsid w:val="002A5E24"/>
    <w:rsid w:val="002A6FFD"/>
    <w:rsid w:val="002B09FE"/>
    <w:rsid w:val="002B17C0"/>
    <w:rsid w:val="002B195C"/>
    <w:rsid w:val="002B313A"/>
    <w:rsid w:val="002B3B17"/>
    <w:rsid w:val="002B3B55"/>
    <w:rsid w:val="002B53E3"/>
    <w:rsid w:val="002B5834"/>
    <w:rsid w:val="002B5FA9"/>
    <w:rsid w:val="002B68A0"/>
    <w:rsid w:val="002B7859"/>
    <w:rsid w:val="002B7874"/>
    <w:rsid w:val="002B7A91"/>
    <w:rsid w:val="002B7D86"/>
    <w:rsid w:val="002C0457"/>
    <w:rsid w:val="002C07C8"/>
    <w:rsid w:val="002C26F5"/>
    <w:rsid w:val="002C48EE"/>
    <w:rsid w:val="002C5AC6"/>
    <w:rsid w:val="002C5D60"/>
    <w:rsid w:val="002C7E8A"/>
    <w:rsid w:val="002D1482"/>
    <w:rsid w:val="002D35B7"/>
    <w:rsid w:val="002D3636"/>
    <w:rsid w:val="002D38B7"/>
    <w:rsid w:val="002D5C78"/>
    <w:rsid w:val="002D6DF8"/>
    <w:rsid w:val="002D6E0E"/>
    <w:rsid w:val="002D7249"/>
    <w:rsid w:val="002E03CA"/>
    <w:rsid w:val="002E04B5"/>
    <w:rsid w:val="002E12AB"/>
    <w:rsid w:val="002E2882"/>
    <w:rsid w:val="002E4189"/>
    <w:rsid w:val="002E45B5"/>
    <w:rsid w:val="002E4E91"/>
    <w:rsid w:val="002E4E9E"/>
    <w:rsid w:val="002E53AD"/>
    <w:rsid w:val="002E5746"/>
    <w:rsid w:val="002E6205"/>
    <w:rsid w:val="002E6374"/>
    <w:rsid w:val="002E64C4"/>
    <w:rsid w:val="002E7E65"/>
    <w:rsid w:val="002F036E"/>
    <w:rsid w:val="002F05EE"/>
    <w:rsid w:val="002F0ABF"/>
    <w:rsid w:val="002F0E3A"/>
    <w:rsid w:val="002F0F28"/>
    <w:rsid w:val="002F14A9"/>
    <w:rsid w:val="002F265B"/>
    <w:rsid w:val="002F37E4"/>
    <w:rsid w:val="002F388D"/>
    <w:rsid w:val="002F3A2B"/>
    <w:rsid w:val="002F6310"/>
    <w:rsid w:val="002F66D9"/>
    <w:rsid w:val="003001C7"/>
    <w:rsid w:val="0030261C"/>
    <w:rsid w:val="003044B1"/>
    <w:rsid w:val="00306F28"/>
    <w:rsid w:val="0030752F"/>
    <w:rsid w:val="00310EC2"/>
    <w:rsid w:val="0031174F"/>
    <w:rsid w:val="00311784"/>
    <w:rsid w:val="0031190E"/>
    <w:rsid w:val="00311D04"/>
    <w:rsid w:val="0031212B"/>
    <w:rsid w:val="00312710"/>
    <w:rsid w:val="00312A2B"/>
    <w:rsid w:val="00313278"/>
    <w:rsid w:val="003133C9"/>
    <w:rsid w:val="003151FF"/>
    <w:rsid w:val="0031563D"/>
    <w:rsid w:val="0031689B"/>
    <w:rsid w:val="00316DEC"/>
    <w:rsid w:val="003175C8"/>
    <w:rsid w:val="00321CAD"/>
    <w:rsid w:val="00322984"/>
    <w:rsid w:val="00322E21"/>
    <w:rsid w:val="003230ED"/>
    <w:rsid w:val="00323E03"/>
    <w:rsid w:val="0032545F"/>
    <w:rsid w:val="0032639F"/>
    <w:rsid w:val="00326CE4"/>
    <w:rsid w:val="0032743B"/>
    <w:rsid w:val="003313E2"/>
    <w:rsid w:val="00332093"/>
    <w:rsid w:val="0033218E"/>
    <w:rsid w:val="003328F9"/>
    <w:rsid w:val="00332EB9"/>
    <w:rsid w:val="00333439"/>
    <w:rsid w:val="003349E7"/>
    <w:rsid w:val="003354AE"/>
    <w:rsid w:val="003356EC"/>
    <w:rsid w:val="0033582E"/>
    <w:rsid w:val="00335B1F"/>
    <w:rsid w:val="00335FE3"/>
    <w:rsid w:val="003361AE"/>
    <w:rsid w:val="00340E3C"/>
    <w:rsid w:val="003413CC"/>
    <w:rsid w:val="0034169C"/>
    <w:rsid w:val="003419F9"/>
    <w:rsid w:val="00342C5C"/>
    <w:rsid w:val="00343953"/>
    <w:rsid w:val="00344DEE"/>
    <w:rsid w:val="003452C4"/>
    <w:rsid w:val="00345530"/>
    <w:rsid w:val="00346433"/>
    <w:rsid w:val="00350BE3"/>
    <w:rsid w:val="00350FE6"/>
    <w:rsid w:val="00353137"/>
    <w:rsid w:val="003576A4"/>
    <w:rsid w:val="003576A9"/>
    <w:rsid w:val="00357EF2"/>
    <w:rsid w:val="003600CB"/>
    <w:rsid w:val="003618F4"/>
    <w:rsid w:val="00362735"/>
    <w:rsid w:val="00362933"/>
    <w:rsid w:val="003633B2"/>
    <w:rsid w:val="003652A5"/>
    <w:rsid w:val="0036563E"/>
    <w:rsid w:val="0036565F"/>
    <w:rsid w:val="00365828"/>
    <w:rsid w:val="00366351"/>
    <w:rsid w:val="00366963"/>
    <w:rsid w:val="00366D41"/>
    <w:rsid w:val="0037020E"/>
    <w:rsid w:val="00370A06"/>
    <w:rsid w:val="00370AD9"/>
    <w:rsid w:val="00370BE5"/>
    <w:rsid w:val="00371667"/>
    <w:rsid w:val="003722EF"/>
    <w:rsid w:val="003725AC"/>
    <w:rsid w:val="00372863"/>
    <w:rsid w:val="00373013"/>
    <w:rsid w:val="00377004"/>
    <w:rsid w:val="0037708C"/>
    <w:rsid w:val="00377271"/>
    <w:rsid w:val="00380170"/>
    <w:rsid w:val="00380548"/>
    <w:rsid w:val="00381BBC"/>
    <w:rsid w:val="00382F22"/>
    <w:rsid w:val="0038563B"/>
    <w:rsid w:val="00385A31"/>
    <w:rsid w:val="003903BF"/>
    <w:rsid w:val="0039091A"/>
    <w:rsid w:val="00390CFD"/>
    <w:rsid w:val="00390FE7"/>
    <w:rsid w:val="00392188"/>
    <w:rsid w:val="0039371E"/>
    <w:rsid w:val="00394D2F"/>
    <w:rsid w:val="0039559D"/>
    <w:rsid w:val="0039566D"/>
    <w:rsid w:val="00395A7C"/>
    <w:rsid w:val="0039692E"/>
    <w:rsid w:val="003971DB"/>
    <w:rsid w:val="00397A1C"/>
    <w:rsid w:val="00397E61"/>
    <w:rsid w:val="00397F8D"/>
    <w:rsid w:val="003A0843"/>
    <w:rsid w:val="003A1A30"/>
    <w:rsid w:val="003A1BD8"/>
    <w:rsid w:val="003A44D1"/>
    <w:rsid w:val="003A4B48"/>
    <w:rsid w:val="003A4FA1"/>
    <w:rsid w:val="003A712C"/>
    <w:rsid w:val="003B0A33"/>
    <w:rsid w:val="003B0D78"/>
    <w:rsid w:val="003B1732"/>
    <w:rsid w:val="003B3842"/>
    <w:rsid w:val="003B4073"/>
    <w:rsid w:val="003B4081"/>
    <w:rsid w:val="003B4574"/>
    <w:rsid w:val="003B4719"/>
    <w:rsid w:val="003B4DB7"/>
    <w:rsid w:val="003B683D"/>
    <w:rsid w:val="003B756C"/>
    <w:rsid w:val="003B7CAE"/>
    <w:rsid w:val="003C1648"/>
    <w:rsid w:val="003C2960"/>
    <w:rsid w:val="003C61BE"/>
    <w:rsid w:val="003C6339"/>
    <w:rsid w:val="003C727B"/>
    <w:rsid w:val="003C74E8"/>
    <w:rsid w:val="003C7574"/>
    <w:rsid w:val="003C77EF"/>
    <w:rsid w:val="003C7AEF"/>
    <w:rsid w:val="003C7EA4"/>
    <w:rsid w:val="003D0CD1"/>
    <w:rsid w:val="003D1B3B"/>
    <w:rsid w:val="003D222B"/>
    <w:rsid w:val="003D2E25"/>
    <w:rsid w:val="003D3910"/>
    <w:rsid w:val="003D400B"/>
    <w:rsid w:val="003D47E4"/>
    <w:rsid w:val="003D526D"/>
    <w:rsid w:val="003D5980"/>
    <w:rsid w:val="003D6E7F"/>
    <w:rsid w:val="003E231B"/>
    <w:rsid w:val="003E2901"/>
    <w:rsid w:val="003E2E0B"/>
    <w:rsid w:val="003E3345"/>
    <w:rsid w:val="003E4A15"/>
    <w:rsid w:val="003E53B4"/>
    <w:rsid w:val="003E547A"/>
    <w:rsid w:val="003E6901"/>
    <w:rsid w:val="003E7C03"/>
    <w:rsid w:val="003F2084"/>
    <w:rsid w:val="003F22E4"/>
    <w:rsid w:val="003F3C37"/>
    <w:rsid w:val="003F5A11"/>
    <w:rsid w:val="003F5CC9"/>
    <w:rsid w:val="003F7807"/>
    <w:rsid w:val="003F7F7C"/>
    <w:rsid w:val="004038ED"/>
    <w:rsid w:val="0040426A"/>
    <w:rsid w:val="00404732"/>
    <w:rsid w:val="004047D1"/>
    <w:rsid w:val="004057B9"/>
    <w:rsid w:val="0040695D"/>
    <w:rsid w:val="004074C2"/>
    <w:rsid w:val="00410409"/>
    <w:rsid w:val="00411C10"/>
    <w:rsid w:val="0041223C"/>
    <w:rsid w:val="0041226A"/>
    <w:rsid w:val="00412371"/>
    <w:rsid w:val="00413B11"/>
    <w:rsid w:val="0041446D"/>
    <w:rsid w:val="0041523E"/>
    <w:rsid w:val="00415393"/>
    <w:rsid w:val="00415D0E"/>
    <w:rsid w:val="00415DFF"/>
    <w:rsid w:val="00416DEA"/>
    <w:rsid w:val="00420285"/>
    <w:rsid w:val="004202B4"/>
    <w:rsid w:val="004205C0"/>
    <w:rsid w:val="004210C6"/>
    <w:rsid w:val="00421C63"/>
    <w:rsid w:val="00423C5A"/>
    <w:rsid w:val="004243EB"/>
    <w:rsid w:val="00425BD5"/>
    <w:rsid w:val="00425BD9"/>
    <w:rsid w:val="00426C15"/>
    <w:rsid w:val="00426ED5"/>
    <w:rsid w:val="00426FE7"/>
    <w:rsid w:val="00432646"/>
    <w:rsid w:val="00433028"/>
    <w:rsid w:val="00435F2C"/>
    <w:rsid w:val="00436006"/>
    <w:rsid w:val="00436EE0"/>
    <w:rsid w:val="00441E3A"/>
    <w:rsid w:val="00442B27"/>
    <w:rsid w:val="0044420E"/>
    <w:rsid w:val="004468BE"/>
    <w:rsid w:val="00447345"/>
    <w:rsid w:val="00447A92"/>
    <w:rsid w:val="0045068F"/>
    <w:rsid w:val="00450A36"/>
    <w:rsid w:val="004517BC"/>
    <w:rsid w:val="00454324"/>
    <w:rsid w:val="0045444C"/>
    <w:rsid w:val="00454708"/>
    <w:rsid w:val="00454977"/>
    <w:rsid w:val="0045695C"/>
    <w:rsid w:val="004600AE"/>
    <w:rsid w:val="00463F1F"/>
    <w:rsid w:val="00464C78"/>
    <w:rsid w:val="00465DE6"/>
    <w:rsid w:val="00466412"/>
    <w:rsid w:val="0046759B"/>
    <w:rsid w:val="0047057B"/>
    <w:rsid w:val="00470FB6"/>
    <w:rsid w:val="0047117F"/>
    <w:rsid w:val="0047199F"/>
    <w:rsid w:val="00473091"/>
    <w:rsid w:val="0047482C"/>
    <w:rsid w:val="00474BF6"/>
    <w:rsid w:val="004755EA"/>
    <w:rsid w:val="00475662"/>
    <w:rsid w:val="00475C7B"/>
    <w:rsid w:val="004761A7"/>
    <w:rsid w:val="004801D7"/>
    <w:rsid w:val="00480C2E"/>
    <w:rsid w:val="00480DD5"/>
    <w:rsid w:val="00480E84"/>
    <w:rsid w:val="0048246F"/>
    <w:rsid w:val="00483BC1"/>
    <w:rsid w:val="00484A29"/>
    <w:rsid w:val="004860D6"/>
    <w:rsid w:val="00487810"/>
    <w:rsid w:val="004919C6"/>
    <w:rsid w:val="00491CAE"/>
    <w:rsid w:val="004920AA"/>
    <w:rsid w:val="00492260"/>
    <w:rsid w:val="00492847"/>
    <w:rsid w:val="004933E0"/>
    <w:rsid w:val="00493FBA"/>
    <w:rsid w:val="00494AB2"/>
    <w:rsid w:val="0049560E"/>
    <w:rsid w:val="00495B31"/>
    <w:rsid w:val="00495FB0"/>
    <w:rsid w:val="004963E8"/>
    <w:rsid w:val="0049652D"/>
    <w:rsid w:val="0049690F"/>
    <w:rsid w:val="004973D1"/>
    <w:rsid w:val="00497A0F"/>
    <w:rsid w:val="004A0105"/>
    <w:rsid w:val="004A2E25"/>
    <w:rsid w:val="004A583D"/>
    <w:rsid w:val="004A6349"/>
    <w:rsid w:val="004A7220"/>
    <w:rsid w:val="004A73A9"/>
    <w:rsid w:val="004A7708"/>
    <w:rsid w:val="004A7C82"/>
    <w:rsid w:val="004B0F38"/>
    <w:rsid w:val="004B3E7F"/>
    <w:rsid w:val="004B4881"/>
    <w:rsid w:val="004B4E0C"/>
    <w:rsid w:val="004B6C35"/>
    <w:rsid w:val="004B757A"/>
    <w:rsid w:val="004B7645"/>
    <w:rsid w:val="004B77ED"/>
    <w:rsid w:val="004B7AB4"/>
    <w:rsid w:val="004C0143"/>
    <w:rsid w:val="004C2F4B"/>
    <w:rsid w:val="004C3474"/>
    <w:rsid w:val="004C351D"/>
    <w:rsid w:val="004C46A4"/>
    <w:rsid w:val="004C49DC"/>
    <w:rsid w:val="004C64B5"/>
    <w:rsid w:val="004D1573"/>
    <w:rsid w:val="004D1B31"/>
    <w:rsid w:val="004D2BBA"/>
    <w:rsid w:val="004D3168"/>
    <w:rsid w:val="004D3982"/>
    <w:rsid w:val="004D3994"/>
    <w:rsid w:val="004D440D"/>
    <w:rsid w:val="004D4C24"/>
    <w:rsid w:val="004D4DE6"/>
    <w:rsid w:val="004D51DA"/>
    <w:rsid w:val="004D6204"/>
    <w:rsid w:val="004E0A90"/>
    <w:rsid w:val="004E0E7C"/>
    <w:rsid w:val="004E2000"/>
    <w:rsid w:val="004E2B94"/>
    <w:rsid w:val="004E2BD5"/>
    <w:rsid w:val="004E3690"/>
    <w:rsid w:val="004E3FA9"/>
    <w:rsid w:val="004E462F"/>
    <w:rsid w:val="004E4B7E"/>
    <w:rsid w:val="004E5085"/>
    <w:rsid w:val="004E7622"/>
    <w:rsid w:val="004E7B20"/>
    <w:rsid w:val="004E7E59"/>
    <w:rsid w:val="004F1681"/>
    <w:rsid w:val="004F1A24"/>
    <w:rsid w:val="004F2DFE"/>
    <w:rsid w:val="004F3D62"/>
    <w:rsid w:val="004F4242"/>
    <w:rsid w:val="004F47CE"/>
    <w:rsid w:val="004F4FA9"/>
    <w:rsid w:val="004F5845"/>
    <w:rsid w:val="004F6A80"/>
    <w:rsid w:val="00500AAB"/>
    <w:rsid w:val="005058C5"/>
    <w:rsid w:val="0050603A"/>
    <w:rsid w:val="0050607E"/>
    <w:rsid w:val="00506276"/>
    <w:rsid w:val="005069E4"/>
    <w:rsid w:val="00510B6F"/>
    <w:rsid w:val="005127D4"/>
    <w:rsid w:val="00514CB7"/>
    <w:rsid w:val="00517930"/>
    <w:rsid w:val="0052031D"/>
    <w:rsid w:val="005204CE"/>
    <w:rsid w:val="00520C02"/>
    <w:rsid w:val="005221AA"/>
    <w:rsid w:val="005237D3"/>
    <w:rsid w:val="005251A7"/>
    <w:rsid w:val="00525CB4"/>
    <w:rsid w:val="00527BAE"/>
    <w:rsid w:val="005300C9"/>
    <w:rsid w:val="005308F4"/>
    <w:rsid w:val="00532FFB"/>
    <w:rsid w:val="0053467A"/>
    <w:rsid w:val="005349F7"/>
    <w:rsid w:val="0053769F"/>
    <w:rsid w:val="005377C4"/>
    <w:rsid w:val="0054002A"/>
    <w:rsid w:val="005411D5"/>
    <w:rsid w:val="00542AFB"/>
    <w:rsid w:val="00542BD1"/>
    <w:rsid w:val="0054435B"/>
    <w:rsid w:val="0054504E"/>
    <w:rsid w:val="00545208"/>
    <w:rsid w:val="0054528F"/>
    <w:rsid w:val="00546441"/>
    <w:rsid w:val="00546BB0"/>
    <w:rsid w:val="0055027C"/>
    <w:rsid w:val="00552E84"/>
    <w:rsid w:val="00555815"/>
    <w:rsid w:val="00556322"/>
    <w:rsid w:val="00556B8C"/>
    <w:rsid w:val="00557038"/>
    <w:rsid w:val="00557981"/>
    <w:rsid w:val="00562B52"/>
    <w:rsid w:val="00562B8F"/>
    <w:rsid w:val="00564357"/>
    <w:rsid w:val="005645C5"/>
    <w:rsid w:val="00565255"/>
    <w:rsid w:val="00566105"/>
    <w:rsid w:val="00566897"/>
    <w:rsid w:val="0056753D"/>
    <w:rsid w:val="00567B10"/>
    <w:rsid w:val="005728B6"/>
    <w:rsid w:val="005743F9"/>
    <w:rsid w:val="005744F2"/>
    <w:rsid w:val="005755E0"/>
    <w:rsid w:val="005769C1"/>
    <w:rsid w:val="00580CAC"/>
    <w:rsid w:val="00582D53"/>
    <w:rsid w:val="00583F36"/>
    <w:rsid w:val="005844AB"/>
    <w:rsid w:val="005865C3"/>
    <w:rsid w:val="00587E1F"/>
    <w:rsid w:val="00592F42"/>
    <w:rsid w:val="0059646B"/>
    <w:rsid w:val="0059788F"/>
    <w:rsid w:val="00597DBA"/>
    <w:rsid w:val="005A099D"/>
    <w:rsid w:val="005A10DB"/>
    <w:rsid w:val="005A1668"/>
    <w:rsid w:val="005A20DA"/>
    <w:rsid w:val="005A356F"/>
    <w:rsid w:val="005A3C8F"/>
    <w:rsid w:val="005A5733"/>
    <w:rsid w:val="005A5EC0"/>
    <w:rsid w:val="005A5F0F"/>
    <w:rsid w:val="005B0BE3"/>
    <w:rsid w:val="005B26C0"/>
    <w:rsid w:val="005B2BD9"/>
    <w:rsid w:val="005B2FCA"/>
    <w:rsid w:val="005B3731"/>
    <w:rsid w:val="005B4B89"/>
    <w:rsid w:val="005B4D6F"/>
    <w:rsid w:val="005C1012"/>
    <w:rsid w:val="005C26A1"/>
    <w:rsid w:val="005C2BE9"/>
    <w:rsid w:val="005C2F1B"/>
    <w:rsid w:val="005C739D"/>
    <w:rsid w:val="005C758E"/>
    <w:rsid w:val="005C7C39"/>
    <w:rsid w:val="005D2357"/>
    <w:rsid w:val="005D25FF"/>
    <w:rsid w:val="005D267F"/>
    <w:rsid w:val="005D2920"/>
    <w:rsid w:val="005D45A1"/>
    <w:rsid w:val="005D58BE"/>
    <w:rsid w:val="005D795D"/>
    <w:rsid w:val="005D7B9B"/>
    <w:rsid w:val="005E01B3"/>
    <w:rsid w:val="005E08D0"/>
    <w:rsid w:val="005E0A11"/>
    <w:rsid w:val="005E1765"/>
    <w:rsid w:val="005E1B40"/>
    <w:rsid w:val="005E4210"/>
    <w:rsid w:val="005E4D56"/>
    <w:rsid w:val="005E528C"/>
    <w:rsid w:val="005E6010"/>
    <w:rsid w:val="005F076E"/>
    <w:rsid w:val="005F16A2"/>
    <w:rsid w:val="005F24E9"/>
    <w:rsid w:val="005F3283"/>
    <w:rsid w:val="005F369A"/>
    <w:rsid w:val="005F443D"/>
    <w:rsid w:val="005F5A10"/>
    <w:rsid w:val="005F5CFB"/>
    <w:rsid w:val="005F5F1C"/>
    <w:rsid w:val="005F5F85"/>
    <w:rsid w:val="00606F08"/>
    <w:rsid w:val="00607679"/>
    <w:rsid w:val="006105B2"/>
    <w:rsid w:val="00611B92"/>
    <w:rsid w:val="00611DB4"/>
    <w:rsid w:val="00612981"/>
    <w:rsid w:val="00613023"/>
    <w:rsid w:val="0061310D"/>
    <w:rsid w:val="0061324D"/>
    <w:rsid w:val="00613B01"/>
    <w:rsid w:val="00613B4A"/>
    <w:rsid w:val="00614825"/>
    <w:rsid w:val="0061792E"/>
    <w:rsid w:val="006223DC"/>
    <w:rsid w:val="006229A2"/>
    <w:rsid w:val="00622B39"/>
    <w:rsid w:val="0062630B"/>
    <w:rsid w:val="00626BED"/>
    <w:rsid w:val="006316F8"/>
    <w:rsid w:val="006320C1"/>
    <w:rsid w:val="0063231F"/>
    <w:rsid w:val="006329FC"/>
    <w:rsid w:val="00634DA2"/>
    <w:rsid w:val="00635DC5"/>
    <w:rsid w:val="006368D3"/>
    <w:rsid w:val="00637451"/>
    <w:rsid w:val="00637A0A"/>
    <w:rsid w:val="00640235"/>
    <w:rsid w:val="006402C3"/>
    <w:rsid w:val="00641240"/>
    <w:rsid w:val="00641566"/>
    <w:rsid w:val="00643B4D"/>
    <w:rsid w:val="00645222"/>
    <w:rsid w:val="00647C44"/>
    <w:rsid w:val="00647F44"/>
    <w:rsid w:val="00650106"/>
    <w:rsid w:val="006509E5"/>
    <w:rsid w:val="00650A3F"/>
    <w:rsid w:val="00651DB2"/>
    <w:rsid w:val="00653654"/>
    <w:rsid w:val="00653916"/>
    <w:rsid w:val="00654190"/>
    <w:rsid w:val="0065475E"/>
    <w:rsid w:val="0065533B"/>
    <w:rsid w:val="0065544C"/>
    <w:rsid w:val="00656A56"/>
    <w:rsid w:val="0065724F"/>
    <w:rsid w:val="0066017F"/>
    <w:rsid w:val="00660236"/>
    <w:rsid w:val="00661CF7"/>
    <w:rsid w:val="006627C0"/>
    <w:rsid w:val="0066536D"/>
    <w:rsid w:val="00665606"/>
    <w:rsid w:val="00666C5E"/>
    <w:rsid w:val="0067241F"/>
    <w:rsid w:val="006745BC"/>
    <w:rsid w:val="00676EB5"/>
    <w:rsid w:val="0067780B"/>
    <w:rsid w:val="00680248"/>
    <w:rsid w:val="006804CB"/>
    <w:rsid w:val="00680BF4"/>
    <w:rsid w:val="00680E28"/>
    <w:rsid w:val="006815CC"/>
    <w:rsid w:val="00682617"/>
    <w:rsid w:val="00682858"/>
    <w:rsid w:val="0068393D"/>
    <w:rsid w:val="00683ADB"/>
    <w:rsid w:val="00683B14"/>
    <w:rsid w:val="00683B23"/>
    <w:rsid w:val="00684BB5"/>
    <w:rsid w:val="00684C0B"/>
    <w:rsid w:val="00686834"/>
    <w:rsid w:val="006872CC"/>
    <w:rsid w:val="00687EA8"/>
    <w:rsid w:val="0069072F"/>
    <w:rsid w:val="006908EE"/>
    <w:rsid w:val="00690A73"/>
    <w:rsid w:val="0069257C"/>
    <w:rsid w:val="00692C48"/>
    <w:rsid w:val="00693746"/>
    <w:rsid w:val="006937C2"/>
    <w:rsid w:val="00693E49"/>
    <w:rsid w:val="00694D2F"/>
    <w:rsid w:val="006967C7"/>
    <w:rsid w:val="0069708B"/>
    <w:rsid w:val="006975BC"/>
    <w:rsid w:val="006976C9"/>
    <w:rsid w:val="006A041A"/>
    <w:rsid w:val="006A0C97"/>
    <w:rsid w:val="006A19F9"/>
    <w:rsid w:val="006A1BF2"/>
    <w:rsid w:val="006A3FF4"/>
    <w:rsid w:val="006A4091"/>
    <w:rsid w:val="006A5164"/>
    <w:rsid w:val="006A599F"/>
    <w:rsid w:val="006A5B67"/>
    <w:rsid w:val="006A7B62"/>
    <w:rsid w:val="006B0816"/>
    <w:rsid w:val="006B66BC"/>
    <w:rsid w:val="006B73C5"/>
    <w:rsid w:val="006B7B00"/>
    <w:rsid w:val="006C0090"/>
    <w:rsid w:val="006C093B"/>
    <w:rsid w:val="006C284C"/>
    <w:rsid w:val="006C4FBC"/>
    <w:rsid w:val="006C5D6D"/>
    <w:rsid w:val="006C601F"/>
    <w:rsid w:val="006D0C5F"/>
    <w:rsid w:val="006D0DEA"/>
    <w:rsid w:val="006D0F16"/>
    <w:rsid w:val="006D2C12"/>
    <w:rsid w:val="006D2C7C"/>
    <w:rsid w:val="006D380D"/>
    <w:rsid w:val="006D4480"/>
    <w:rsid w:val="006D621E"/>
    <w:rsid w:val="006D6DF1"/>
    <w:rsid w:val="006D6E33"/>
    <w:rsid w:val="006D7DF5"/>
    <w:rsid w:val="006E0460"/>
    <w:rsid w:val="006E0C09"/>
    <w:rsid w:val="006E0F1E"/>
    <w:rsid w:val="006E10CF"/>
    <w:rsid w:val="006E15D2"/>
    <w:rsid w:val="006E1BEF"/>
    <w:rsid w:val="006E308C"/>
    <w:rsid w:val="006E30F2"/>
    <w:rsid w:val="006E3116"/>
    <w:rsid w:val="006E4D63"/>
    <w:rsid w:val="006E4D8B"/>
    <w:rsid w:val="006F0103"/>
    <w:rsid w:val="006F04C3"/>
    <w:rsid w:val="006F166D"/>
    <w:rsid w:val="006F6203"/>
    <w:rsid w:val="006F7210"/>
    <w:rsid w:val="007006E7"/>
    <w:rsid w:val="00700FAE"/>
    <w:rsid w:val="00701C15"/>
    <w:rsid w:val="0070208D"/>
    <w:rsid w:val="0070245B"/>
    <w:rsid w:val="00702766"/>
    <w:rsid w:val="0070415D"/>
    <w:rsid w:val="007072E0"/>
    <w:rsid w:val="00707AF3"/>
    <w:rsid w:val="007104B0"/>
    <w:rsid w:val="007104E4"/>
    <w:rsid w:val="00712F22"/>
    <w:rsid w:val="0071377E"/>
    <w:rsid w:val="00714057"/>
    <w:rsid w:val="007146CC"/>
    <w:rsid w:val="00715212"/>
    <w:rsid w:val="007160F3"/>
    <w:rsid w:val="00716F0D"/>
    <w:rsid w:val="00720264"/>
    <w:rsid w:val="00720525"/>
    <w:rsid w:val="00721C29"/>
    <w:rsid w:val="0072328E"/>
    <w:rsid w:val="00724409"/>
    <w:rsid w:val="007244B9"/>
    <w:rsid w:val="0072458B"/>
    <w:rsid w:val="00725E51"/>
    <w:rsid w:val="00726156"/>
    <w:rsid w:val="0072721F"/>
    <w:rsid w:val="007277A7"/>
    <w:rsid w:val="0073120A"/>
    <w:rsid w:val="00733214"/>
    <w:rsid w:val="00733CAE"/>
    <w:rsid w:val="007341D7"/>
    <w:rsid w:val="00736325"/>
    <w:rsid w:val="00736790"/>
    <w:rsid w:val="00742D4B"/>
    <w:rsid w:val="007431A2"/>
    <w:rsid w:val="007439E8"/>
    <w:rsid w:val="00744840"/>
    <w:rsid w:val="00745A82"/>
    <w:rsid w:val="00745BB0"/>
    <w:rsid w:val="00746115"/>
    <w:rsid w:val="00750011"/>
    <w:rsid w:val="007500A6"/>
    <w:rsid w:val="00753114"/>
    <w:rsid w:val="007535A2"/>
    <w:rsid w:val="007546F6"/>
    <w:rsid w:val="00755AF4"/>
    <w:rsid w:val="00755E0B"/>
    <w:rsid w:val="007567CA"/>
    <w:rsid w:val="0075710D"/>
    <w:rsid w:val="00760E7D"/>
    <w:rsid w:val="007621EB"/>
    <w:rsid w:val="00762C33"/>
    <w:rsid w:val="00762E9A"/>
    <w:rsid w:val="00762FB1"/>
    <w:rsid w:val="007634F9"/>
    <w:rsid w:val="00763D31"/>
    <w:rsid w:val="00764613"/>
    <w:rsid w:val="0076492D"/>
    <w:rsid w:val="00766ABF"/>
    <w:rsid w:val="007670BE"/>
    <w:rsid w:val="00767749"/>
    <w:rsid w:val="007708FA"/>
    <w:rsid w:val="0077104A"/>
    <w:rsid w:val="0077131D"/>
    <w:rsid w:val="0077204B"/>
    <w:rsid w:val="00772F06"/>
    <w:rsid w:val="007734A1"/>
    <w:rsid w:val="00773EF6"/>
    <w:rsid w:val="00774455"/>
    <w:rsid w:val="00774627"/>
    <w:rsid w:val="00775A2D"/>
    <w:rsid w:val="00775F17"/>
    <w:rsid w:val="007767C3"/>
    <w:rsid w:val="00777068"/>
    <w:rsid w:val="00777DB7"/>
    <w:rsid w:val="007808F5"/>
    <w:rsid w:val="00781EEE"/>
    <w:rsid w:val="00782961"/>
    <w:rsid w:val="00783654"/>
    <w:rsid w:val="0078380F"/>
    <w:rsid w:val="00785CB6"/>
    <w:rsid w:val="00785D7F"/>
    <w:rsid w:val="00790EDE"/>
    <w:rsid w:val="0079118B"/>
    <w:rsid w:val="0079138E"/>
    <w:rsid w:val="007925C7"/>
    <w:rsid w:val="007929F7"/>
    <w:rsid w:val="00794E71"/>
    <w:rsid w:val="00795C0A"/>
    <w:rsid w:val="00796795"/>
    <w:rsid w:val="007A064E"/>
    <w:rsid w:val="007A0C5D"/>
    <w:rsid w:val="007A1863"/>
    <w:rsid w:val="007A23D9"/>
    <w:rsid w:val="007A2971"/>
    <w:rsid w:val="007A325B"/>
    <w:rsid w:val="007A3AB7"/>
    <w:rsid w:val="007A4008"/>
    <w:rsid w:val="007A45C2"/>
    <w:rsid w:val="007A4EE1"/>
    <w:rsid w:val="007A6DBE"/>
    <w:rsid w:val="007A7B2D"/>
    <w:rsid w:val="007B0FB2"/>
    <w:rsid w:val="007B110E"/>
    <w:rsid w:val="007B16F7"/>
    <w:rsid w:val="007B3F5E"/>
    <w:rsid w:val="007B508C"/>
    <w:rsid w:val="007B60D4"/>
    <w:rsid w:val="007B682C"/>
    <w:rsid w:val="007B7903"/>
    <w:rsid w:val="007B7D9D"/>
    <w:rsid w:val="007C1FD4"/>
    <w:rsid w:val="007C2C0B"/>
    <w:rsid w:val="007C2FC3"/>
    <w:rsid w:val="007C3B98"/>
    <w:rsid w:val="007C638C"/>
    <w:rsid w:val="007C6783"/>
    <w:rsid w:val="007C6E05"/>
    <w:rsid w:val="007C710A"/>
    <w:rsid w:val="007C7112"/>
    <w:rsid w:val="007C778E"/>
    <w:rsid w:val="007C78E3"/>
    <w:rsid w:val="007D0D21"/>
    <w:rsid w:val="007D1602"/>
    <w:rsid w:val="007D2424"/>
    <w:rsid w:val="007D2AF2"/>
    <w:rsid w:val="007D3041"/>
    <w:rsid w:val="007D40F8"/>
    <w:rsid w:val="007D50D2"/>
    <w:rsid w:val="007D7593"/>
    <w:rsid w:val="007E0655"/>
    <w:rsid w:val="007E0A7C"/>
    <w:rsid w:val="007E0CA6"/>
    <w:rsid w:val="007E1CAA"/>
    <w:rsid w:val="007E250D"/>
    <w:rsid w:val="007E2CC2"/>
    <w:rsid w:val="007E2E71"/>
    <w:rsid w:val="007E2ED5"/>
    <w:rsid w:val="007E55DD"/>
    <w:rsid w:val="007E6917"/>
    <w:rsid w:val="007F08EA"/>
    <w:rsid w:val="007F1871"/>
    <w:rsid w:val="007F52AA"/>
    <w:rsid w:val="007F5A6B"/>
    <w:rsid w:val="007F649C"/>
    <w:rsid w:val="007F6BA1"/>
    <w:rsid w:val="0080173E"/>
    <w:rsid w:val="00801AA5"/>
    <w:rsid w:val="00801D73"/>
    <w:rsid w:val="00802BF9"/>
    <w:rsid w:val="00803588"/>
    <w:rsid w:val="00803B53"/>
    <w:rsid w:val="00805756"/>
    <w:rsid w:val="008069CD"/>
    <w:rsid w:val="00807588"/>
    <w:rsid w:val="00807F30"/>
    <w:rsid w:val="00810BD4"/>
    <w:rsid w:val="00814CA0"/>
    <w:rsid w:val="00815762"/>
    <w:rsid w:val="00815CD7"/>
    <w:rsid w:val="0081647F"/>
    <w:rsid w:val="00816DF3"/>
    <w:rsid w:val="00821110"/>
    <w:rsid w:val="00821D3B"/>
    <w:rsid w:val="00822EB0"/>
    <w:rsid w:val="0082485C"/>
    <w:rsid w:val="008273FB"/>
    <w:rsid w:val="008276D5"/>
    <w:rsid w:val="00827EBC"/>
    <w:rsid w:val="0083053C"/>
    <w:rsid w:val="008316E0"/>
    <w:rsid w:val="0083405F"/>
    <w:rsid w:val="008342FE"/>
    <w:rsid w:val="0083530F"/>
    <w:rsid w:val="008357D1"/>
    <w:rsid w:val="00836406"/>
    <w:rsid w:val="00836425"/>
    <w:rsid w:val="00836DE1"/>
    <w:rsid w:val="00840829"/>
    <w:rsid w:val="008421D1"/>
    <w:rsid w:val="00842263"/>
    <w:rsid w:val="008423FA"/>
    <w:rsid w:val="00842495"/>
    <w:rsid w:val="00845006"/>
    <w:rsid w:val="008477EE"/>
    <w:rsid w:val="00850703"/>
    <w:rsid w:val="00851AFB"/>
    <w:rsid w:val="008522DC"/>
    <w:rsid w:val="0085303E"/>
    <w:rsid w:val="0085365F"/>
    <w:rsid w:val="00854172"/>
    <w:rsid w:val="008548FE"/>
    <w:rsid w:val="00855B10"/>
    <w:rsid w:val="00855DD2"/>
    <w:rsid w:val="00860EDD"/>
    <w:rsid w:val="008619AD"/>
    <w:rsid w:val="00863ADD"/>
    <w:rsid w:val="0086454D"/>
    <w:rsid w:val="008651E5"/>
    <w:rsid w:val="0086720D"/>
    <w:rsid w:val="0087016A"/>
    <w:rsid w:val="008726B7"/>
    <w:rsid w:val="008734E7"/>
    <w:rsid w:val="00874D95"/>
    <w:rsid w:val="008759EF"/>
    <w:rsid w:val="008806B4"/>
    <w:rsid w:val="008809C9"/>
    <w:rsid w:val="00880F64"/>
    <w:rsid w:val="008820BE"/>
    <w:rsid w:val="008826E6"/>
    <w:rsid w:val="00882FCC"/>
    <w:rsid w:val="008831B8"/>
    <w:rsid w:val="008846FD"/>
    <w:rsid w:val="00885404"/>
    <w:rsid w:val="0088574C"/>
    <w:rsid w:val="008859E1"/>
    <w:rsid w:val="008859E3"/>
    <w:rsid w:val="00887A5D"/>
    <w:rsid w:val="00890816"/>
    <w:rsid w:val="00890895"/>
    <w:rsid w:val="0089154C"/>
    <w:rsid w:val="0089174F"/>
    <w:rsid w:val="00892C70"/>
    <w:rsid w:val="0089426E"/>
    <w:rsid w:val="00896E61"/>
    <w:rsid w:val="008973D6"/>
    <w:rsid w:val="008A106B"/>
    <w:rsid w:val="008A4116"/>
    <w:rsid w:val="008A411C"/>
    <w:rsid w:val="008A69A3"/>
    <w:rsid w:val="008B1E5A"/>
    <w:rsid w:val="008B2747"/>
    <w:rsid w:val="008B2B80"/>
    <w:rsid w:val="008B4408"/>
    <w:rsid w:val="008B4870"/>
    <w:rsid w:val="008B48FE"/>
    <w:rsid w:val="008B51BB"/>
    <w:rsid w:val="008B52FB"/>
    <w:rsid w:val="008B7EAB"/>
    <w:rsid w:val="008C007D"/>
    <w:rsid w:val="008C0E98"/>
    <w:rsid w:val="008C2BE9"/>
    <w:rsid w:val="008C6EB3"/>
    <w:rsid w:val="008D0FFD"/>
    <w:rsid w:val="008D1147"/>
    <w:rsid w:val="008D13DB"/>
    <w:rsid w:val="008D290E"/>
    <w:rsid w:val="008D4D75"/>
    <w:rsid w:val="008D5B9D"/>
    <w:rsid w:val="008D64AC"/>
    <w:rsid w:val="008E01EC"/>
    <w:rsid w:val="008E1515"/>
    <w:rsid w:val="008E1722"/>
    <w:rsid w:val="008E2351"/>
    <w:rsid w:val="008E2C2D"/>
    <w:rsid w:val="008E472F"/>
    <w:rsid w:val="008E5DEE"/>
    <w:rsid w:val="008E5E61"/>
    <w:rsid w:val="008E6DF1"/>
    <w:rsid w:val="008F0BD8"/>
    <w:rsid w:val="008F1D1A"/>
    <w:rsid w:val="008F1E60"/>
    <w:rsid w:val="008F20AB"/>
    <w:rsid w:val="008F4070"/>
    <w:rsid w:val="008F5554"/>
    <w:rsid w:val="008F6227"/>
    <w:rsid w:val="008F656A"/>
    <w:rsid w:val="008F79C3"/>
    <w:rsid w:val="00902206"/>
    <w:rsid w:val="009037F1"/>
    <w:rsid w:val="00903D64"/>
    <w:rsid w:val="0090431C"/>
    <w:rsid w:val="00904891"/>
    <w:rsid w:val="009105DF"/>
    <w:rsid w:val="00911283"/>
    <w:rsid w:val="009112DC"/>
    <w:rsid w:val="0091145B"/>
    <w:rsid w:val="00913225"/>
    <w:rsid w:val="009132EA"/>
    <w:rsid w:val="00915BA0"/>
    <w:rsid w:val="009166FF"/>
    <w:rsid w:val="00916769"/>
    <w:rsid w:val="00917B57"/>
    <w:rsid w:val="00920794"/>
    <w:rsid w:val="0092123E"/>
    <w:rsid w:val="00921DDC"/>
    <w:rsid w:val="009238E1"/>
    <w:rsid w:val="009241E2"/>
    <w:rsid w:val="00924BD9"/>
    <w:rsid w:val="00925A45"/>
    <w:rsid w:val="00925ABF"/>
    <w:rsid w:val="00933451"/>
    <w:rsid w:val="00933E62"/>
    <w:rsid w:val="00934481"/>
    <w:rsid w:val="00934714"/>
    <w:rsid w:val="00934D2E"/>
    <w:rsid w:val="00936726"/>
    <w:rsid w:val="00940B4D"/>
    <w:rsid w:val="009421CA"/>
    <w:rsid w:val="00943306"/>
    <w:rsid w:val="009437CB"/>
    <w:rsid w:val="00945072"/>
    <w:rsid w:val="0094593C"/>
    <w:rsid w:val="0094612F"/>
    <w:rsid w:val="0094794A"/>
    <w:rsid w:val="009503E5"/>
    <w:rsid w:val="00951827"/>
    <w:rsid w:val="009522C8"/>
    <w:rsid w:val="00954565"/>
    <w:rsid w:val="009561B3"/>
    <w:rsid w:val="009614F6"/>
    <w:rsid w:val="00961CF0"/>
    <w:rsid w:val="009623EA"/>
    <w:rsid w:val="00962D06"/>
    <w:rsid w:val="009647FC"/>
    <w:rsid w:val="00964D87"/>
    <w:rsid w:val="0096557E"/>
    <w:rsid w:val="0096558D"/>
    <w:rsid w:val="0096574A"/>
    <w:rsid w:val="009659A9"/>
    <w:rsid w:val="00966295"/>
    <w:rsid w:val="0096682F"/>
    <w:rsid w:val="009669C7"/>
    <w:rsid w:val="00966A09"/>
    <w:rsid w:val="0097118F"/>
    <w:rsid w:val="00971962"/>
    <w:rsid w:val="00973756"/>
    <w:rsid w:val="00974963"/>
    <w:rsid w:val="009756ED"/>
    <w:rsid w:val="00976AFC"/>
    <w:rsid w:val="00977FB9"/>
    <w:rsid w:val="0098430C"/>
    <w:rsid w:val="00985402"/>
    <w:rsid w:val="0098571A"/>
    <w:rsid w:val="00986603"/>
    <w:rsid w:val="00986EBC"/>
    <w:rsid w:val="00986EC6"/>
    <w:rsid w:val="00990A77"/>
    <w:rsid w:val="009911E0"/>
    <w:rsid w:val="00991685"/>
    <w:rsid w:val="0099172E"/>
    <w:rsid w:val="009935B3"/>
    <w:rsid w:val="00993BB4"/>
    <w:rsid w:val="00994FCB"/>
    <w:rsid w:val="009A18DB"/>
    <w:rsid w:val="009A303C"/>
    <w:rsid w:val="009A50D8"/>
    <w:rsid w:val="009A7E29"/>
    <w:rsid w:val="009B12F4"/>
    <w:rsid w:val="009B14F2"/>
    <w:rsid w:val="009B1DE1"/>
    <w:rsid w:val="009B32DD"/>
    <w:rsid w:val="009B5271"/>
    <w:rsid w:val="009B56EF"/>
    <w:rsid w:val="009B58EC"/>
    <w:rsid w:val="009B6D89"/>
    <w:rsid w:val="009B7209"/>
    <w:rsid w:val="009B7656"/>
    <w:rsid w:val="009C0C53"/>
    <w:rsid w:val="009C1DC1"/>
    <w:rsid w:val="009C2F37"/>
    <w:rsid w:val="009C3F9B"/>
    <w:rsid w:val="009C4150"/>
    <w:rsid w:val="009C61F2"/>
    <w:rsid w:val="009C699A"/>
    <w:rsid w:val="009C6E8C"/>
    <w:rsid w:val="009C7A67"/>
    <w:rsid w:val="009D0F3C"/>
    <w:rsid w:val="009D153E"/>
    <w:rsid w:val="009D1DDE"/>
    <w:rsid w:val="009D3197"/>
    <w:rsid w:val="009D3650"/>
    <w:rsid w:val="009D6E3C"/>
    <w:rsid w:val="009D7593"/>
    <w:rsid w:val="009E1AB1"/>
    <w:rsid w:val="009E2368"/>
    <w:rsid w:val="009E415F"/>
    <w:rsid w:val="009E423D"/>
    <w:rsid w:val="009E4BEB"/>
    <w:rsid w:val="009E5854"/>
    <w:rsid w:val="009E6C2C"/>
    <w:rsid w:val="009E6F2E"/>
    <w:rsid w:val="009F01A6"/>
    <w:rsid w:val="009F0233"/>
    <w:rsid w:val="009F04F7"/>
    <w:rsid w:val="009F3797"/>
    <w:rsid w:val="009F5D29"/>
    <w:rsid w:val="009F640A"/>
    <w:rsid w:val="009F7D23"/>
    <w:rsid w:val="009F7E21"/>
    <w:rsid w:val="00A006F2"/>
    <w:rsid w:val="00A00B65"/>
    <w:rsid w:val="00A04383"/>
    <w:rsid w:val="00A05548"/>
    <w:rsid w:val="00A06DA3"/>
    <w:rsid w:val="00A071F0"/>
    <w:rsid w:val="00A074C5"/>
    <w:rsid w:val="00A109AE"/>
    <w:rsid w:val="00A11464"/>
    <w:rsid w:val="00A118DE"/>
    <w:rsid w:val="00A123E3"/>
    <w:rsid w:val="00A13F92"/>
    <w:rsid w:val="00A141BA"/>
    <w:rsid w:val="00A14A9A"/>
    <w:rsid w:val="00A14C36"/>
    <w:rsid w:val="00A1651C"/>
    <w:rsid w:val="00A16A1E"/>
    <w:rsid w:val="00A16C79"/>
    <w:rsid w:val="00A175D3"/>
    <w:rsid w:val="00A21691"/>
    <w:rsid w:val="00A216CD"/>
    <w:rsid w:val="00A21D3A"/>
    <w:rsid w:val="00A22514"/>
    <w:rsid w:val="00A251B5"/>
    <w:rsid w:val="00A25672"/>
    <w:rsid w:val="00A2672F"/>
    <w:rsid w:val="00A26EBE"/>
    <w:rsid w:val="00A33821"/>
    <w:rsid w:val="00A33A98"/>
    <w:rsid w:val="00A34E6B"/>
    <w:rsid w:val="00A350B9"/>
    <w:rsid w:val="00A3557B"/>
    <w:rsid w:val="00A36DA2"/>
    <w:rsid w:val="00A407CC"/>
    <w:rsid w:val="00A408EB"/>
    <w:rsid w:val="00A40F80"/>
    <w:rsid w:val="00A4272A"/>
    <w:rsid w:val="00A442D5"/>
    <w:rsid w:val="00A45B60"/>
    <w:rsid w:val="00A46540"/>
    <w:rsid w:val="00A47071"/>
    <w:rsid w:val="00A5071B"/>
    <w:rsid w:val="00A511F1"/>
    <w:rsid w:val="00A51E5D"/>
    <w:rsid w:val="00A52506"/>
    <w:rsid w:val="00A53B68"/>
    <w:rsid w:val="00A54399"/>
    <w:rsid w:val="00A55630"/>
    <w:rsid w:val="00A563B4"/>
    <w:rsid w:val="00A56C74"/>
    <w:rsid w:val="00A56EAD"/>
    <w:rsid w:val="00A603DC"/>
    <w:rsid w:val="00A60DE6"/>
    <w:rsid w:val="00A61C27"/>
    <w:rsid w:val="00A62F85"/>
    <w:rsid w:val="00A632C2"/>
    <w:rsid w:val="00A6362A"/>
    <w:rsid w:val="00A63934"/>
    <w:rsid w:val="00A63964"/>
    <w:rsid w:val="00A63BB6"/>
    <w:rsid w:val="00A64B37"/>
    <w:rsid w:val="00A678CD"/>
    <w:rsid w:val="00A7040A"/>
    <w:rsid w:val="00A71613"/>
    <w:rsid w:val="00A72DD3"/>
    <w:rsid w:val="00A74E45"/>
    <w:rsid w:val="00A7596B"/>
    <w:rsid w:val="00A7690D"/>
    <w:rsid w:val="00A7741A"/>
    <w:rsid w:val="00A779F4"/>
    <w:rsid w:val="00A77DDA"/>
    <w:rsid w:val="00A837D4"/>
    <w:rsid w:val="00A84324"/>
    <w:rsid w:val="00A84707"/>
    <w:rsid w:val="00A84AFC"/>
    <w:rsid w:val="00A8593D"/>
    <w:rsid w:val="00A85FB7"/>
    <w:rsid w:val="00A90F6A"/>
    <w:rsid w:val="00A9276D"/>
    <w:rsid w:val="00A939E8"/>
    <w:rsid w:val="00A93BF6"/>
    <w:rsid w:val="00A94983"/>
    <w:rsid w:val="00AA1C4C"/>
    <w:rsid w:val="00AA2414"/>
    <w:rsid w:val="00AA2E32"/>
    <w:rsid w:val="00AA3BFD"/>
    <w:rsid w:val="00AA4FA5"/>
    <w:rsid w:val="00AA5CB2"/>
    <w:rsid w:val="00AA6493"/>
    <w:rsid w:val="00AA6522"/>
    <w:rsid w:val="00AB38EF"/>
    <w:rsid w:val="00AB3DDE"/>
    <w:rsid w:val="00AB4C0B"/>
    <w:rsid w:val="00AB6207"/>
    <w:rsid w:val="00AC2BE4"/>
    <w:rsid w:val="00AC6333"/>
    <w:rsid w:val="00AC6572"/>
    <w:rsid w:val="00AD1E28"/>
    <w:rsid w:val="00AD1E95"/>
    <w:rsid w:val="00AD4AC8"/>
    <w:rsid w:val="00AD5099"/>
    <w:rsid w:val="00AD5527"/>
    <w:rsid w:val="00AD5938"/>
    <w:rsid w:val="00AD61FF"/>
    <w:rsid w:val="00AD6650"/>
    <w:rsid w:val="00AE0486"/>
    <w:rsid w:val="00AE158D"/>
    <w:rsid w:val="00AE161C"/>
    <w:rsid w:val="00AE1A21"/>
    <w:rsid w:val="00AE22BA"/>
    <w:rsid w:val="00AE3747"/>
    <w:rsid w:val="00AE47AD"/>
    <w:rsid w:val="00AE4B2E"/>
    <w:rsid w:val="00AE4D55"/>
    <w:rsid w:val="00AE5205"/>
    <w:rsid w:val="00AE52E8"/>
    <w:rsid w:val="00AE6352"/>
    <w:rsid w:val="00AE6808"/>
    <w:rsid w:val="00AE79D6"/>
    <w:rsid w:val="00AF07A6"/>
    <w:rsid w:val="00AF0C5C"/>
    <w:rsid w:val="00AF15D6"/>
    <w:rsid w:val="00AF2C00"/>
    <w:rsid w:val="00AF3ABD"/>
    <w:rsid w:val="00AF602A"/>
    <w:rsid w:val="00AF7872"/>
    <w:rsid w:val="00AF7B29"/>
    <w:rsid w:val="00B00D7F"/>
    <w:rsid w:val="00B01CB0"/>
    <w:rsid w:val="00B020D7"/>
    <w:rsid w:val="00B04910"/>
    <w:rsid w:val="00B04D83"/>
    <w:rsid w:val="00B068D6"/>
    <w:rsid w:val="00B06D90"/>
    <w:rsid w:val="00B07607"/>
    <w:rsid w:val="00B07DE9"/>
    <w:rsid w:val="00B105F7"/>
    <w:rsid w:val="00B13E82"/>
    <w:rsid w:val="00B177A2"/>
    <w:rsid w:val="00B17FC5"/>
    <w:rsid w:val="00B20218"/>
    <w:rsid w:val="00B21B9E"/>
    <w:rsid w:val="00B223F7"/>
    <w:rsid w:val="00B230BA"/>
    <w:rsid w:val="00B23F4C"/>
    <w:rsid w:val="00B2420E"/>
    <w:rsid w:val="00B245CE"/>
    <w:rsid w:val="00B2555E"/>
    <w:rsid w:val="00B260D1"/>
    <w:rsid w:val="00B3283C"/>
    <w:rsid w:val="00B3313B"/>
    <w:rsid w:val="00B331C0"/>
    <w:rsid w:val="00B33CEF"/>
    <w:rsid w:val="00B3407C"/>
    <w:rsid w:val="00B3472C"/>
    <w:rsid w:val="00B34A65"/>
    <w:rsid w:val="00B356E2"/>
    <w:rsid w:val="00B35851"/>
    <w:rsid w:val="00B35CED"/>
    <w:rsid w:val="00B37591"/>
    <w:rsid w:val="00B37B06"/>
    <w:rsid w:val="00B37F4F"/>
    <w:rsid w:val="00B40725"/>
    <w:rsid w:val="00B41274"/>
    <w:rsid w:val="00B41994"/>
    <w:rsid w:val="00B41B36"/>
    <w:rsid w:val="00B41D1A"/>
    <w:rsid w:val="00B43DDD"/>
    <w:rsid w:val="00B445DA"/>
    <w:rsid w:val="00B44BCF"/>
    <w:rsid w:val="00B45671"/>
    <w:rsid w:val="00B457B0"/>
    <w:rsid w:val="00B457F6"/>
    <w:rsid w:val="00B4600D"/>
    <w:rsid w:val="00B50114"/>
    <w:rsid w:val="00B507C3"/>
    <w:rsid w:val="00B50E30"/>
    <w:rsid w:val="00B50FE2"/>
    <w:rsid w:val="00B51166"/>
    <w:rsid w:val="00B51D8B"/>
    <w:rsid w:val="00B53179"/>
    <w:rsid w:val="00B556AE"/>
    <w:rsid w:val="00B55E40"/>
    <w:rsid w:val="00B6170E"/>
    <w:rsid w:val="00B63D23"/>
    <w:rsid w:val="00B6406E"/>
    <w:rsid w:val="00B7025F"/>
    <w:rsid w:val="00B72C4F"/>
    <w:rsid w:val="00B73C76"/>
    <w:rsid w:val="00B76268"/>
    <w:rsid w:val="00B76899"/>
    <w:rsid w:val="00B77E4F"/>
    <w:rsid w:val="00B80717"/>
    <w:rsid w:val="00B83072"/>
    <w:rsid w:val="00B83367"/>
    <w:rsid w:val="00B840E3"/>
    <w:rsid w:val="00B8483F"/>
    <w:rsid w:val="00B90F39"/>
    <w:rsid w:val="00B91B53"/>
    <w:rsid w:val="00B9379E"/>
    <w:rsid w:val="00B95A27"/>
    <w:rsid w:val="00B971F0"/>
    <w:rsid w:val="00B972AD"/>
    <w:rsid w:val="00B975E8"/>
    <w:rsid w:val="00BA031B"/>
    <w:rsid w:val="00BA03A6"/>
    <w:rsid w:val="00BA0872"/>
    <w:rsid w:val="00BA09A9"/>
    <w:rsid w:val="00BA3E66"/>
    <w:rsid w:val="00BA445B"/>
    <w:rsid w:val="00BA4FDA"/>
    <w:rsid w:val="00BA707B"/>
    <w:rsid w:val="00BA75ED"/>
    <w:rsid w:val="00BB0C5E"/>
    <w:rsid w:val="00BB2459"/>
    <w:rsid w:val="00BB3171"/>
    <w:rsid w:val="00BB31C6"/>
    <w:rsid w:val="00BB3AC1"/>
    <w:rsid w:val="00BB43D5"/>
    <w:rsid w:val="00BB7026"/>
    <w:rsid w:val="00BB78FE"/>
    <w:rsid w:val="00BC0FAC"/>
    <w:rsid w:val="00BC1B6A"/>
    <w:rsid w:val="00BC29BE"/>
    <w:rsid w:val="00BC2E76"/>
    <w:rsid w:val="00BC3197"/>
    <w:rsid w:val="00BC3524"/>
    <w:rsid w:val="00BC4F45"/>
    <w:rsid w:val="00BC641A"/>
    <w:rsid w:val="00BC6AD9"/>
    <w:rsid w:val="00BC7731"/>
    <w:rsid w:val="00BD0151"/>
    <w:rsid w:val="00BD07CD"/>
    <w:rsid w:val="00BD1B90"/>
    <w:rsid w:val="00BD1EF1"/>
    <w:rsid w:val="00BD2CF8"/>
    <w:rsid w:val="00BD60FE"/>
    <w:rsid w:val="00BD707C"/>
    <w:rsid w:val="00BD79B7"/>
    <w:rsid w:val="00BE0C23"/>
    <w:rsid w:val="00BE3245"/>
    <w:rsid w:val="00BE51CC"/>
    <w:rsid w:val="00BE66C7"/>
    <w:rsid w:val="00BE7582"/>
    <w:rsid w:val="00BF17AA"/>
    <w:rsid w:val="00BF1BF1"/>
    <w:rsid w:val="00BF23C0"/>
    <w:rsid w:val="00BF26BF"/>
    <w:rsid w:val="00BF2FC4"/>
    <w:rsid w:val="00BF3B9B"/>
    <w:rsid w:val="00BF4A93"/>
    <w:rsid w:val="00BF560D"/>
    <w:rsid w:val="00BF7E48"/>
    <w:rsid w:val="00C0010B"/>
    <w:rsid w:val="00C005A4"/>
    <w:rsid w:val="00C02A0B"/>
    <w:rsid w:val="00C02E4D"/>
    <w:rsid w:val="00C03CF5"/>
    <w:rsid w:val="00C04640"/>
    <w:rsid w:val="00C04919"/>
    <w:rsid w:val="00C04EEC"/>
    <w:rsid w:val="00C05C2D"/>
    <w:rsid w:val="00C06FE1"/>
    <w:rsid w:val="00C07333"/>
    <w:rsid w:val="00C10448"/>
    <w:rsid w:val="00C10AA1"/>
    <w:rsid w:val="00C10C7B"/>
    <w:rsid w:val="00C12694"/>
    <w:rsid w:val="00C12AF8"/>
    <w:rsid w:val="00C136D5"/>
    <w:rsid w:val="00C143B6"/>
    <w:rsid w:val="00C145A4"/>
    <w:rsid w:val="00C14A77"/>
    <w:rsid w:val="00C1507A"/>
    <w:rsid w:val="00C162E3"/>
    <w:rsid w:val="00C169CF"/>
    <w:rsid w:val="00C20864"/>
    <w:rsid w:val="00C21093"/>
    <w:rsid w:val="00C232B8"/>
    <w:rsid w:val="00C2349F"/>
    <w:rsid w:val="00C247ED"/>
    <w:rsid w:val="00C24BE4"/>
    <w:rsid w:val="00C24C46"/>
    <w:rsid w:val="00C250C7"/>
    <w:rsid w:val="00C25E2C"/>
    <w:rsid w:val="00C25E4B"/>
    <w:rsid w:val="00C25FB5"/>
    <w:rsid w:val="00C26F36"/>
    <w:rsid w:val="00C27CD0"/>
    <w:rsid w:val="00C31AA6"/>
    <w:rsid w:val="00C3280F"/>
    <w:rsid w:val="00C34AE5"/>
    <w:rsid w:val="00C3596A"/>
    <w:rsid w:val="00C359DF"/>
    <w:rsid w:val="00C42069"/>
    <w:rsid w:val="00C4253D"/>
    <w:rsid w:val="00C43848"/>
    <w:rsid w:val="00C43E89"/>
    <w:rsid w:val="00C4504B"/>
    <w:rsid w:val="00C4736D"/>
    <w:rsid w:val="00C476AD"/>
    <w:rsid w:val="00C53262"/>
    <w:rsid w:val="00C54066"/>
    <w:rsid w:val="00C54629"/>
    <w:rsid w:val="00C55421"/>
    <w:rsid w:val="00C56BBE"/>
    <w:rsid w:val="00C635E9"/>
    <w:rsid w:val="00C63B71"/>
    <w:rsid w:val="00C65322"/>
    <w:rsid w:val="00C65C3A"/>
    <w:rsid w:val="00C66210"/>
    <w:rsid w:val="00C67C43"/>
    <w:rsid w:val="00C67E4E"/>
    <w:rsid w:val="00C710C7"/>
    <w:rsid w:val="00C72E49"/>
    <w:rsid w:val="00C74ACD"/>
    <w:rsid w:val="00C74F30"/>
    <w:rsid w:val="00C76FCE"/>
    <w:rsid w:val="00C81458"/>
    <w:rsid w:val="00C81682"/>
    <w:rsid w:val="00C82C08"/>
    <w:rsid w:val="00C8316E"/>
    <w:rsid w:val="00C8466B"/>
    <w:rsid w:val="00C912EE"/>
    <w:rsid w:val="00C92B5D"/>
    <w:rsid w:val="00C92F79"/>
    <w:rsid w:val="00C93B24"/>
    <w:rsid w:val="00C93CF2"/>
    <w:rsid w:val="00C94B77"/>
    <w:rsid w:val="00C94EA8"/>
    <w:rsid w:val="00C96CFD"/>
    <w:rsid w:val="00C9716B"/>
    <w:rsid w:val="00CA0DF5"/>
    <w:rsid w:val="00CA189C"/>
    <w:rsid w:val="00CA18E6"/>
    <w:rsid w:val="00CA1A94"/>
    <w:rsid w:val="00CA2217"/>
    <w:rsid w:val="00CA320F"/>
    <w:rsid w:val="00CA34E2"/>
    <w:rsid w:val="00CA3DA5"/>
    <w:rsid w:val="00CA57A1"/>
    <w:rsid w:val="00CA5E6A"/>
    <w:rsid w:val="00CA660F"/>
    <w:rsid w:val="00CA6FFE"/>
    <w:rsid w:val="00CB0E27"/>
    <w:rsid w:val="00CB1955"/>
    <w:rsid w:val="00CB3E45"/>
    <w:rsid w:val="00CB4E16"/>
    <w:rsid w:val="00CB71A8"/>
    <w:rsid w:val="00CC0210"/>
    <w:rsid w:val="00CC0614"/>
    <w:rsid w:val="00CC2D86"/>
    <w:rsid w:val="00CC317B"/>
    <w:rsid w:val="00CC39D9"/>
    <w:rsid w:val="00CC3A96"/>
    <w:rsid w:val="00CC544F"/>
    <w:rsid w:val="00CC5941"/>
    <w:rsid w:val="00CC5FA0"/>
    <w:rsid w:val="00CD02BF"/>
    <w:rsid w:val="00CD15DD"/>
    <w:rsid w:val="00CD2E7A"/>
    <w:rsid w:val="00CD2F87"/>
    <w:rsid w:val="00CD3E47"/>
    <w:rsid w:val="00CD523A"/>
    <w:rsid w:val="00CD538D"/>
    <w:rsid w:val="00CD5E5A"/>
    <w:rsid w:val="00CD6F7F"/>
    <w:rsid w:val="00CD76B5"/>
    <w:rsid w:val="00CE1412"/>
    <w:rsid w:val="00CE1F49"/>
    <w:rsid w:val="00CE32C8"/>
    <w:rsid w:val="00CE3DC3"/>
    <w:rsid w:val="00CE4AAE"/>
    <w:rsid w:val="00CE52D2"/>
    <w:rsid w:val="00CE7DD2"/>
    <w:rsid w:val="00CE7E75"/>
    <w:rsid w:val="00CF06B0"/>
    <w:rsid w:val="00CF0A7F"/>
    <w:rsid w:val="00CF3B5D"/>
    <w:rsid w:val="00CF473D"/>
    <w:rsid w:val="00CF5583"/>
    <w:rsid w:val="00CF55D2"/>
    <w:rsid w:val="00CF77C4"/>
    <w:rsid w:val="00D00728"/>
    <w:rsid w:val="00D014F6"/>
    <w:rsid w:val="00D01C4E"/>
    <w:rsid w:val="00D03ADC"/>
    <w:rsid w:val="00D0459C"/>
    <w:rsid w:val="00D04BE9"/>
    <w:rsid w:val="00D05335"/>
    <w:rsid w:val="00D05811"/>
    <w:rsid w:val="00D06466"/>
    <w:rsid w:val="00D072CD"/>
    <w:rsid w:val="00D07CBB"/>
    <w:rsid w:val="00D14158"/>
    <w:rsid w:val="00D14E11"/>
    <w:rsid w:val="00D15DF6"/>
    <w:rsid w:val="00D16BA4"/>
    <w:rsid w:val="00D17DC8"/>
    <w:rsid w:val="00D200C6"/>
    <w:rsid w:val="00D20828"/>
    <w:rsid w:val="00D20CEC"/>
    <w:rsid w:val="00D20E53"/>
    <w:rsid w:val="00D2169E"/>
    <w:rsid w:val="00D2219A"/>
    <w:rsid w:val="00D22770"/>
    <w:rsid w:val="00D2351A"/>
    <w:rsid w:val="00D24464"/>
    <w:rsid w:val="00D26585"/>
    <w:rsid w:val="00D27FAD"/>
    <w:rsid w:val="00D30A2E"/>
    <w:rsid w:val="00D30B0D"/>
    <w:rsid w:val="00D31DCA"/>
    <w:rsid w:val="00D32EB7"/>
    <w:rsid w:val="00D33F1A"/>
    <w:rsid w:val="00D364A4"/>
    <w:rsid w:val="00D3668B"/>
    <w:rsid w:val="00D37112"/>
    <w:rsid w:val="00D371A7"/>
    <w:rsid w:val="00D374F7"/>
    <w:rsid w:val="00D40829"/>
    <w:rsid w:val="00D421FE"/>
    <w:rsid w:val="00D42DAB"/>
    <w:rsid w:val="00D4437D"/>
    <w:rsid w:val="00D44465"/>
    <w:rsid w:val="00D4487C"/>
    <w:rsid w:val="00D45014"/>
    <w:rsid w:val="00D45050"/>
    <w:rsid w:val="00D465AF"/>
    <w:rsid w:val="00D505D6"/>
    <w:rsid w:val="00D50A1F"/>
    <w:rsid w:val="00D51402"/>
    <w:rsid w:val="00D52357"/>
    <w:rsid w:val="00D5357C"/>
    <w:rsid w:val="00D54FA9"/>
    <w:rsid w:val="00D5587A"/>
    <w:rsid w:val="00D55B00"/>
    <w:rsid w:val="00D55D57"/>
    <w:rsid w:val="00D56ECD"/>
    <w:rsid w:val="00D604D3"/>
    <w:rsid w:val="00D6110E"/>
    <w:rsid w:val="00D6141C"/>
    <w:rsid w:val="00D61F02"/>
    <w:rsid w:val="00D63339"/>
    <w:rsid w:val="00D647AC"/>
    <w:rsid w:val="00D671C9"/>
    <w:rsid w:val="00D6722E"/>
    <w:rsid w:val="00D70920"/>
    <w:rsid w:val="00D71335"/>
    <w:rsid w:val="00D73B6B"/>
    <w:rsid w:val="00D74ACC"/>
    <w:rsid w:val="00D75B7E"/>
    <w:rsid w:val="00D762AE"/>
    <w:rsid w:val="00D76389"/>
    <w:rsid w:val="00D76AF3"/>
    <w:rsid w:val="00D807F8"/>
    <w:rsid w:val="00D80951"/>
    <w:rsid w:val="00D80F92"/>
    <w:rsid w:val="00D80F93"/>
    <w:rsid w:val="00D815F7"/>
    <w:rsid w:val="00D82D25"/>
    <w:rsid w:val="00D83A67"/>
    <w:rsid w:val="00D83CBE"/>
    <w:rsid w:val="00D84403"/>
    <w:rsid w:val="00D844A0"/>
    <w:rsid w:val="00D851C5"/>
    <w:rsid w:val="00D854DF"/>
    <w:rsid w:val="00D859A0"/>
    <w:rsid w:val="00D90431"/>
    <w:rsid w:val="00D904BD"/>
    <w:rsid w:val="00D91398"/>
    <w:rsid w:val="00D91595"/>
    <w:rsid w:val="00D92B29"/>
    <w:rsid w:val="00D935A1"/>
    <w:rsid w:val="00D9391A"/>
    <w:rsid w:val="00D94E7D"/>
    <w:rsid w:val="00D95999"/>
    <w:rsid w:val="00D96E6B"/>
    <w:rsid w:val="00D97D81"/>
    <w:rsid w:val="00DA008D"/>
    <w:rsid w:val="00DA04DC"/>
    <w:rsid w:val="00DA1D20"/>
    <w:rsid w:val="00DA2A7E"/>
    <w:rsid w:val="00DA428A"/>
    <w:rsid w:val="00DA51D0"/>
    <w:rsid w:val="00DA525D"/>
    <w:rsid w:val="00DA5E1A"/>
    <w:rsid w:val="00DA6080"/>
    <w:rsid w:val="00DA7BC2"/>
    <w:rsid w:val="00DA7EED"/>
    <w:rsid w:val="00DB0756"/>
    <w:rsid w:val="00DB108A"/>
    <w:rsid w:val="00DB2EB5"/>
    <w:rsid w:val="00DB3870"/>
    <w:rsid w:val="00DB4736"/>
    <w:rsid w:val="00DB47F8"/>
    <w:rsid w:val="00DC12DB"/>
    <w:rsid w:val="00DC1A06"/>
    <w:rsid w:val="00DC1D1B"/>
    <w:rsid w:val="00DC2073"/>
    <w:rsid w:val="00DC3342"/>
    <w:rsid w:val="00DC5646"/>
    <w:rsid w:val="00DC61EB"/>
    <w:rsid w:val="00DC7038"/>
    <w:rsid w:val="00DC7217"/>
    <w:rsid w:val="00DC75DB"/>
    <w:rsid w:val="00DC7A70"/>
    <w:rsid w:val="00DD12F9"/>
    <w:rsid w:val="00DD3433"/>
    <w:rsid w:val="00DD351D"/>
    <w:rsid w:val="00DD36EA"/>
    <w:rsid w:val="00DD67DD"/>
    <w:rsid w:val="00DE0389"/>
    <w:rsid w:val="00DE0C9A"/>
    <w:rsid w:val="00DE15FB"/>
    <w:rsid w:val="00DE16EF"/>
    <w:rsid w:val="00DE1CED"/>
    <w:rsid w:val="00DE30E5"/>
    <w:rsid w:val="00DE3D64"/>
    <w:rsid w:val="00DE6648"/>
    <w:rsid w:val="00DE6A2E"/>
    <w:rsid w:val="00DE7071"/>
    <w:rsid w:val="00DE70A7"/>
    <w:rsid w:val="00DE72AB"/>
    <w:rsid w:val="00DE72C5"/>
    <w:rsid w:val="00DF37E6"/>
    <w:rsid w:val="00DF4228"/>
    <w:rsid w:val="00DF48A4"/>
    <w:rsid w:val="00DF52D2"/>
    <w:rsid w:val="00DF617F"/>
    <w:rsid w:val="00DF7764"/>
    <w:rsid w:val="00E00C46"/>
    <w:rsid w:val="00E00E4D"/>
    <w:rsid w:val="00E0607A"/>
    <w:rsid w:val="00E068CF"/>
    <w:rsid w:val="00E07958"/>
    <w:rsid w:val="00E07F89"/>
    <w:rsid w:val="00E104EA"/>
    <w:rsid w:val="00E12EF0"/>
    <w:rsid w:val="00E15FCF"/>
    <w:rsid w:val="00E16EF9"/>
    <w:rsid w:val="00E20339"/>
    <w:rsid w:val="00E20EB1"/>
    <w:rsid w:val="00E21EC7"/>
    <w:rsid w:val="00E223DA"/>
    <w:rsid w:val="00E227B8"/>
    <w:rsid w:val="00E23D71"/>
    <w:rsid w:val="00E25FD5"/>
    <w:rsid w:val="00E30099"/>
    <w:rsid w:val="00E3031A"/>
    <w:rsid w:val="00E310B1"/>
    <w:rsid w:val="00E31AB8"/>
    <w:rsid w:val="00E33422"/>
    <w:rsid w:val="00E3372C"/>
    <w:rsid w:val="00E34C24"/>
    <w:rsid w:val="00E35975"/>
    <w:rsid w:val="00E3618F"/>
    <w:rsid w:val="00E37FD7"/>
    <w:rsid w:val="00E400BB"/>
    <w:rsid w:val="00E40AC8"/>
    <w:rsid w:val="00E412D5"/>
    <w:rsid w:val="00E41642"/>
    <w:rsid w:val="00E42897"/>
    <w:rsid w:val="00E4339B"/>
    <w:rsid w:val="00E4351A"/>
    <w:rsid w:val="00E44F25"/>
    <w:rsid w:val="00E45500"/>
    <w:rsid w:val="00E46498"/>
    <w:rsid w:val="00E46DCE"/>
    <w:rsid w:val="00E47DD0"/>
    <w:rsid w:val="00E508C0"/>
    <w:rsid w:val="00E51271"/>
    <w:rsid w:val="00E5289E"/>
    <w:rsid w:val="00E529DA"/>
    <w:rsid w:val="00E54BD2"/>
    <w:rsid w:val="00E54C68"/>
    <w:rsid w:val="00E55B1D"/>
    <w:rsid w:val="00E5614E"/>
    <w:rsid w:val="00E56E41"/>
    <w:rsid w:val="00E61337"/>
    <w:rsid w:val="00E619B8"/>
    <w:rsid w:val="00E62002"/>
    <w:rsid w:val="00E6237A"/>
    <w:rsid w:val="00E64324"/>
    <w:rsid w:val="00E6557D"/>
    <w:rsid w:val="00E656F1"/>
    <w:rsid w:val="00E662C5"/>
    <w:rsid w:val="00E672F6"/>
    <w:rsid w:val="00E678C3"/>
    <w:rsid w:val="00E7002C"/>
    <w:rsid w:val="00E72B0E"/>
    <w:rsid w:val="00E76532"/>
    <w:rsid w:val="00E76EB6"/>
    <w:rsid w:val="00E7780E"/>
    <w:rsid w:val="00E8014D"/>
    <w:rsid w:val="00E81189"/>
    <w:rsid w:val="00E81EAE"/>
    <w:rsid w:val="00E81F4B"/>
    <w:rsid w:val="00E84389"/>
    <w:rsid w:val="00E84C7E"/>
    <w:rsid w:val="00E862C6"/>
    <w:rsid w:val="00E86BE5"/>
    <w:rsid w:val="00E87647"/>
    <w:rsid w:val="00E91774"/>
    <w:rsid w:val="00E91E6F"/>
    <w:rsid w:val="00E92364"/>
    <w:rsid w:val="00E924A1"/>
    <w:rsid w:val="00E9272C"/>
    <w:rsid w:val="00E92830"/>
    <w:rsid w:val="00E92BFD"/>
    <w:rsid w:val="00E933AB"/>
    <w:rsid w:val="00E9579F"/>
    <w:rsid w:val="00E9785B"/>
    <w:rsid w:val="00E97E88"/>
    <w:rsid w:val="00EA08F7"/>
    <w:rsid w:val="00EA0F35"/>
    <w:rsid w:val="00EA11D5"/>
    <w:rsid w:val="00EA3989"/>
    <w:rsid w:val="00EA4793"/>
    <w:rsid w:val="00EA47D9"/>
    <w:rsid w:val="00EA4A90"/>
    <w:rsid w:val="00EA63D7"/>
    <w:rsid w:val="00EA7408"/>
    <w:rsid w:val="00EB2069"/>
    <w:rsid w:val="00EB3280"/>
    <w:rsid w:val="00EB38A1"/>
    <w:rsid w:val="00EB4524"/>
    <w:rsid w:val="00EB6FB8"/>
    <w:rsid w:val="00EB7989"/>
    <w:rsid w:val="00EC1664"/>
    <w:rsid w:val="00EC3345"/>
    <w:rsid w:val="00EC45CE"/>
    <w:rsid w:val="00EC7B98"/>
    <w:rsid w:val="00ED13CF"/>
    <w:rsid w:val="00ED15AD"/>
    <w:rsid w:val="00ED297F"/>
    <w:rsid w:val="00ED3902"/>
    <w:rsid w:val="00ED43F2"/>
    <w:rsid w:val="00ED494B"/>
    <w:rsid w:val="00ED4D85"/>
    <w:rsid w:val="00ED526A"/>
    <w:rsid w:val="00ED5A10"/>
    <w:rsid w:val="00ED6E9A"/>
    <w:rsid w:val="00EE0668"/>
    <w:rsid w:val="00EE22A3"/>
    <w:rsid w:val="00EE271B"/>
    <w:rsid w:val="00EE2D68"/>
    <w:rsid w:val="00EE308F"/>
    <w:rsid w:val="00EE4039"/>
    <w:rsid w:val="00EE4391"/>
    <w:rsid w:val="00EE44BF"/>
    <w:rsid w:val="00EE52BD"/>
    <w:rsid w:val="00EE6E63"/>
    <w:rsid w:val="00EF0B75"/>
    <w:rsid w:val="00EF1E5F"/>
    <w:rsid w:val="00EF1E83"/>
    <w:rsid w:val="00EF2E96"/>
    <w:rsid w:val="00EF35B6"/>
    <w:rsid w:val="00EF3E36"/>
    <w:rsid w:val="00EF410B"/>
    <w:rsid w:val="00EF446D"/>
    <w:rsid w:val="00EF4EEA"/>
    <w:rsid w:val="00EF6332"/>
    <w:rsid w:val="00EF6729"/>
    <w:rsid w:val="00F05863"/>
    <w:rsid w:val="00F05E33"/>
    <w:rsid w:val="00F070D0"/>
    <w:rsid w:val="00F074B1"/>
    <w:rsid w:val="00F07BCD"/>
    <w:rsid w:val="00F104BD"/>
    <w:rsid w:val="00F1082E"/>
    <w:rsid w:val="00F10AA0"/>
    <w:rsid w:val="00F13747"/>
    <w:rsid w:val="00F137D6"/>
    <w:rsid w:val="00F140EB"/>
    <w:rsid w:val="00F1439C"/>
    <w:rsid w:val="00F156B8"/>
    <w:rsid w:val="00F17933"/>
    <w:rsid w:val="00F17B00"/>
    <w:rsid w:val="00F20B6B"/>
    <w:rsid w:val="00F21E43"/>
    <w:rsid w:val="00F21EAE"/>
    <w:rsid w:val="00F23937"/>
    <w:rsid w:val="00F27A08"/>
    <w:rsid w:val="00F31019"/>
    <w:rsid w:val="00F31BB4"/>
    <w:rsid w:val="00F31BC7"/>
    <w:rsid w:val="00F32AF8"/>
    <w:rsid w:val="00F330C5"/>
    <w:rsid w:val="00F330D4"/>
    <w:rsid w:val="00F34075"/>
    <w:rsid w:val="00F34E02"/>
    <w:rsid w:val="00F363C6"/>
    <w:rsid w:val="00F3679B"/>
    <w:rsid w:val="00F41E02"/>
    <w:rsid w:val="00F4437C"/>
    <w:rsid w:val="00F451FD"/>
    <w:rsid w:val="00F50C08"/>
    <w:rsid w:val="00F50C99"/>
    <w:rsid w:val="00F53675"/>
    <w:rsid w:val="00F538E7"/>
    <w:rsid w:val="00F544B7"/>
    <w:rsid w:val="00F54E85"/>
    <w:rsid w:val="00F5568E"/>
    <w:rsid w:val="00F5753A"/>
    <w:rsid w:val="00F57DCD"/>
    <w:rsid w:val="00F604CB"/>
    <w:rsid w:val="00F62318"/>
    <w:rsid w:val="00F62474"/>
    <w:rsid w:val="00F63043"/>
    <w:rsid w:val="00F636DC"/>
    <w:rsid w:val="00F639F3"/>
    <w:rsid w:val="00F65DC9"/>
    <w:rsid w:val="00F6687A"/>
    <w:rsid w:val="00F66A5A"/>
    <w:rsid w:val="00F6798E"/>
    <w:rsid w:val="00F7016A"/>
    <w:rsid w:val="00F70DB2"/>
    <w:rsid w:val="00F71528"/>
    <w:rsid w:val="00F71D41"/>
    <w:rsid w:val="00F72E9B"/>
    <w:rsid w:val="00F74FC8"/>
    <w:rsid w:val="00F8147B"/>
    <w:rsid w:val="00F81E91"/>
    <w:rsid w:val="00F82496"/>
    <w:rsid w:val="00F8346C"/>
    <w:rsid w:val="00F87C2B"/>
    <w:rsid w:val="00F87E6E"/>
    <w:rsid w:val="00F932A7"/>
    <w:rsid w:val="00F937E3"/>
    <w:rsid w:val="00F94060"/>
    <w:rsid w:val="00F9417B"/>
    <w:rsid w:val="00F942CD"/>
    <w:rsid w:val="00F94CEA"/>
    <w:rsid w:val="00F94DE4"/>
    <w:rsid w:val="00F94EF1"/>
    <w:rsid w:val="00F94F7E"/>
    <w:rsid w:val="00F95194"/>
    <w:rsid w:val="00FA1753"/>
    <w:rsid w:val="00FA1E22"/>
    <w:rsid w:val="00FA2588"/>
    <w:rsid w:val="00FA2890"/>
    <w:rsid w:val="00FA28B3"/>
    <w:rsid w:val="00FA4047"/>
    <w:rsid w:val="00FA55C8"/>
    <w:rsid w:val="00FA6113"/>
    <w:rsid w:val="00FA753E"/>
    <w:rsid w:val="00FB1065"/>
    <w:rsid w:val="00FB24CE"/>
    <w:rsid w:val="00FB3F45"/>
    <w:rsid w:val="00FB4508"/>
    <w:rsid w:val="00FB5887"/>
    <w:rsid w:val="00FB73A8"/>
    <w:rsid w:val="00FC25C0"/>
    <w:rsid w:val="00FC2613"/>
    <w:rsid w:val="00FC3BA6"/>
    <w:rsid w:val="00FC44AA"/>
    <w:rsid w:val="00FC5DE9"/>
    <w:rsid w:val="00FD04D0"/>
    <w:rsid w:val="00FD08BA"/>
    <w:rsid w:val="00FD11D6"/>
    <w:rsid w:val="00FD1FC1"/>
    <w:rsid w:val="00FD26E4"/>
    <w:rsid w:val="00FD38AD"/>
    <w:rsid w:val="00FD44F7"/>
    <w:rsid w:val="00FD5555"/>
    <w:rsid w:val="00FD5F00"/>
    <w:rsid w:val="00FD72FC"/>
    <w:rsid w:val="00FD77AD"/>
    <w:rsid w:val="00FE0E02"/>
    <w:rsid w:val="00FE1144"/>
    <w:rsid w:val="00FE260C"/>
    <w:rsid w:val="00FE26CF"/>
    <w:rsid w:val="00FE3291"/>
    <w:rsid w:val="00FE5129"/>
    <w:rsid w:val="00FE6EA8"/>
    <w:rsid w:val="00FE7414"/>
    <w:rsid w:val="00FE7AAB"/>
    <w:rsid w:val="00FF0B48"/>
    <w:rsid w:val="00FF44A3"/>
    <w:rsid w:val="00FF4F3F"/>
    <w:rsid w:val="00FF5072"/>
    <w:rsid w:val="00FF5563"/>
    <w:rsid w:val="00FF5D42"/>
    <w:rsid w:val="00FF5D51"/>
    <w:rsid w:val="00FF7808"/>
    <w:rsid w:val="00FF793C"/>
    <w:rsid w:val="02B250DA"/>
    <w:rsid w:val="03970A41"/>
    <w:rsid w:val="08DD73A4"/>
    <w:rsid w:val="09210786"/>
    <w:rsid w:val="09F150BA"/>
    <w:rsid w:val="0BB53545"/>
    <w:rsid w:val="0E9D4E90"/>
    <w:rsid w:val="0F2F8C68"/>
    <w:rsid w:val="1328154C"/>
    <w:rsid w:val="139F52BA"/>
    <w:rsid w:val="13B2264B"/>
    <w:rsid w:val="146D79C6"/>
    <w:rsid w:val="16766474"/>
    <w:rsid w:val="1DD80D8F"/>
    <w:rsid w:val="1F3F8CBE"/>
    <w:rsid w:val="2074115B"/>
    <w:rsid w:val="20827A42"/>
    <w:rsid w:val="22E32F74"/>
    <w:rsid w:val="240A6D6E"/>
    <w:rsid w:val="241271C7"/>
    <w:rsid w:val="242E740A"/>
    <w:rsid w:val="25C7594C"/>
    <w:rsid w:val="27DB7970"/>
    <w:rsid w:val="28BA18FC"/>
    <w:rsid w:val="297653FA"/>
    <w:rsid w:val="2B8E7BE2"/>
    <w:rsid w:val="2CA62F2E"/>
    <w:rsid w:val="2DB57BEF"/>
    <w:rsid w:val="2F9F3A70"/>
    <w:rsid w:val="31527EED"/>
    <w:rsid w:val="3555547B"/>
    <w:rsid w:val="36200A61"/>
    <w:rsid w:val="36C344B8"/>
    <w:rsid w:val="37085D5E"/>
    <w:rsid w:val="375E0BAF"/>
    <w:rsid w:val="37BD6F93"/>
    <w:rsid w:val="38AA320E"/>
    <w:rsid w:val="3A8263D8"/>
    <w:rsid w:val="3AD774B7"/>
    <w:rsid w:val="3B5A0EDF"/>
    <w:rsid w:val="3ED41958"/>
    <w:rsid w:val="43BF748C"/>
    <w:rsid w:val="44193E1A"/>
    <w:rsid w:val="46896EAF"/>
    <w:rsid w:val="477E1AE8"/>
    <w:rsid w:val="48D22CBA"/>
    <w:rsid w:val="4A097F8F"/>
    <w:rsid w:val="4B7F0E9E"/>
    <w:rsid w:val="4DED180A"/>
    <w:rsid w:val="50A5550E"/>
    <w:rsid w:val="524B7790"/>
    <w:rsid w:val="54F974BE"/>
    <w:rsid w:val="57ED7804"/>
    <w:rsid w:val="57EFD92C"/>
    <w:rsid w:val="587641EB"/>
    <w:rsid w:val="598A78EB"/>
    <w:rsid w:val="5A032C9A"/>
    <w:rsid w:val="5A380F0B"/>
    <w:rsid w:val="5FE40CB2"/>
    <w:rsid w:val="5FF5EC4B"/>
    <w:rsid w:val="60884B3D"/>
    <w:rsid w:val="60977546"/>
    <w:rsid w:val="614E00BF"/>
    <w:rsid w:val="6499029E"/>
    <w:rsid w:val="650B63FE"/>
    <w:rsid w:val="65E43670"/>
    <w:rsid w:val="66AC290C"/>
    <w:rsid w:val="69B2727C"/>
    <w:rsid w:val="69CB1261"/>
    <w:rsid w:val="6B6F1AEA"/>
    <w:rsid w:val="6DD74B9D"/>
    <w:rsid w:val="6DFBCD08"/>
    <w:rsid w:val="6EEE2A32"/>
    <w:rsid w:val="6F671600"/>
    <w:rsid w:val="6FDD7827"/>
    <w:rsid w:val="71D4D2A0"/>
    <w:rsid w:val="720A1363"/>
    <w:rsid w:val="74BA691F"/>
    <w:rsid w:val="74D8B0F8"/>
    <w:rsid w:val="753938CD"/>
    <w:rsid w:val="75FDA540"/>
    <w:rsid w:val="75FF2F86"/>
    <w:rsid w:val="794859DE"/>
    <w:rsid w:val="7A010931"/>
    <w:rsid w:val="7BD427A0"/>
    <w:rsid w:val="7C804BBD"/>
    <w:rsid w:val="7D79C22C"/>
    <w:rsid w:val="7F3F3E67"/>
    <w:rsid w:val="7F6D1472"/>
    <w:rsid w:val="7F7E0C4C"/>
    <w:rsid w:val="7FAF10F5"/>
    <w:rsid w:val="7FBBF40B"/>
    <w:rsid w:val="7FD19487"/>
    <w:rsid w:val="BB679970"/>
    <w:rsid w:val="BFDBDDC5"/>
    <w:rsid w:val="C9BAD826"/>
    <w:rsid w:val="D7F158F3"/>
    <w:rsid w:val="DBDF0DDE"/>
    <w:rsid w:val="DDFFF139"/>
    <w:rsid w:val="E33D528A"/>
    <w:rsid w:val="E3A39137"/>
    <w:rsid w:val="ECF74C8D"/>
    <w:rsid w:val="EF7D5941"/>
    <w:rsid w:val="F43BF78F"/>
    <w:rsid w:val="F677018C"/>
    <w:rsid w:val="FBBFF20A"/>
    <w:rsid w:val="FBF7BC10"/>
    <w:rsid w:val="FDA376F8"/>
    <w:rsid w:val="FDDD1930"/>
    <w:rsid w:val="FDF7C689"/>
    <w:rsid w:val="FDFFAFE4"/>
    <w:rsid w:val="FEF61A32"/>
    <w:rsid w:val="FEFF1C33"/>
    <w:rsid w:val="FF7F289D"/>
    <w:rsid w:val="FF7F6D39"/>
    <w:rsid w:val="FFF69954"/>
    <w:rsid w:val="FFFC6546"/>
    <w:rsid w:val="FFFFF1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7"/>
    <w:unhideWhenUsed/>
    <w:qFormat/>
    <w:uiPriority w:val="99"/>
  </w:style>
  <w:style w:type="paragraph" w:styleId="3">
    <w:name w:val="Balloon Text"/>
    <w:basedOn w:val="1"/>
    <w:link w:val="15"/>
    <w:qFormat/>
    <w:uiPriority w:val="0"/>
    <w:rPr>
      <w:sz w:val="18"/>
      <w:szCs w:val="18"/>
    </w:rPr>
  </w:style>
  <w:style w:type="paragraph" w:styleId="4">
    <w:name w:val="footer"/>
    <w:basedOn w:val="1"/>
    <w:link w:val="14"/>
    <w:qFormat/>
    <w:uiPriority w:val="99"/>
    <w:pPr>
      <w:tabs>
        <w:tab w:val="center" w:pos="4153"/>
        <w:tab w:val="right" w:pos="8306"/>
      </w:tabs>
      <w:snapToGrid w:val="0"/>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0"/>
    <w:pPr>
      <w:spacing w:beforeAutospacing="1" w:afterAutospacing="1"/>
    </w:pPr>
    <w:rPr>
      <w:rFonts w:cs="Times New Roman"/>
    </w:rPr>
  </w:style>
  <w:style w:type="paragraph" w:styleId="7">
    <w:name w:val="annotation subject"/>
    <w:basedOn w:val="2"/>
    <w:next w:val="2"/>
    <w:link w:val="18"/>
    <w:semiHidden/>
    <w:unhideWhenUsed/>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uiPriority w:val="0"/>
    <w:rPr>
      <w:color w:val="0000FF" w:themeColor="hyperlink"/>
      <w:u w:val="single"/>
      <w14:textFill>
        <w14:solidFill>
          <w14:schemeClr w14:val="hlink"/>
        </w14:solidFill>
      </w14:textFill>
    </w:rPr>
  </w:style>
  <w:style w:type="character" w:styleId="12">
    <w:name w:val="annotation reference"/>
    <w:basedOn w:val="10"/>
    <w:semiHidden/>
    <w:unhideWhenUsed/>
    <w:qFormat/>
    <w:uiPriority w:val="0"/>
    <w:rPr>
      <w:sz w:val="21"/>
      <w:szCs w:val="21"/>
    </w:rPr>
  </w:style>
  <w:style w:type="character" w:customStyle="1" w:styleId="13">
    <w:name w:val="页眉 Char"/>
    <w:link w:val="5"/>
    <w:qFormat/>
    <w:uiPriority w:val="99"/>
    <w:rPr>
      <w:rFonts w:ascii="宋体" w:hAnsi="宋体" w:eastAsia="宋体" w:cs="宋体"/>
      <w:sz w:val="18"/>
      <w:szCs w:val="18"/>
    </w:rPr>
  </w:style>
  <w:style w:type="character" w:customStyle="1" w:styleId="14">
    <w:name w:val="页脚 Char"/>
    <w:link w:val="4"/>
    <w:qFormat/>
    <w:uiPriority w:val="99"/>
    <w:rPr>
      <w:rFonts w:ascii="宋体" w:hAnsi="宋体" w:eastAsia="宋体" w:cs="宋体"/>
      <w:sz w:val="18"/>
      <w:szCs w:val="18"/>
    </w:rPr>
  </w:style>
  <w:style w:type="character" w:customStyle="1" w:styleId="15">
    <w:name w:val="批注框文本 Char"/>
    <w:link w:val="3"/>
    <w:qFormat/>
    <w:uiPriority w:val="0"/>
    <w:rPr>
      <w:rFonts w:ascii="宋体" w:hAnsi="宋体" w:eastAsia="宋体" w:cs="宋体"/>
      <w:sz w:val="18"/>
      <w:szCs w:val="18"/>
    </w:rPr>
  </w:style>
  <w:style w:type="paragraph" w:customStyle="1" w:styleId="16">
    <w:name w:val="普通(网站)1"/>
    <w:basedOn w:val="1"/>
    <w:qFormat/>
    <w:uiPriority w:val="0"/>
    <w:pPr>
      <w:spacing w:before="100" w:beforeAutospacing="1" w:after="100" w:afterAutospacing="1"/>
    </w:pPr>
  </w:style>
  <w:style w:type="character" w:customStyle="1" w:styleId="17">
    <w:name w:val="批注文字 Char"/>
    <w:basedOn w:val="10"/>
    <w:link w:val="2"/>
    <w:qFormat/>
    <w:uiPriority w:val="99"/>
    <w:rPr>
      <w:rFonts w:ascii="宋体" w:hAnsi="宋体" w:cs="宋体"/>
      <w:sz w:val="24"/>
      <w:szCs w:val="24"/>
    </w:rPr>
  </w:style>
  <w:style w:type="character" w:customStyle="1" w:styleId="18">
    <w:name w:val="批注主题 Char"/>
    <w:basedOn w:val="17"/>
    <w:link w:val="7"/>
    <w:semiHidden/>
    <w:qFormat/>
    <w:uiPriority w:val="0"/>
    <w:rPr>
      <w:rFonts w:ascii="宋体" w:hAnsi="宋体" w:cs="宋体"/>
      <w:b/>
      <w:bCs/>
      <w:sz w:val="24"/>
      <w:szCs w:val="24"/>
    </w:rPr>
  </w:style>
  <w:style w:type="paragraph" w:styleId="19">
    <w:name w:val="List Paragraph"/>
    <w:basedOn w:val="1"/>
    <w:qFormat/>
    <w:uiPriority w:val="34"/>
    <w:pPr>
      <w:ind w:firstLine="420" w:firstLineChars="200"/>
    </w:pPr>
  </w:style>
  <w:style w:type="paragraph" w:customStyle="1" w:styleId="20">
    <w:name w:val="修订1"/>
    <w:hidden/>
    <w:semiHidden/>
    <w:qFormat/>
    <w:uiPriority w:val="99"/>
    <w:rPr>
      <w:rFonts w:ascii="宋体" w:hAnsi="宋体" w:eastAsia="宋体" w:cs="宋体"/>
      <w:sz w:val="24"/>
      <w:szCs w:val="24"/>
      <w:lang w:val="en-US" w:eastAsia="zh-CN" w:bidi="ar-SA"/>
    </w:rPr>
  </w:style>
  <w:style w:type="paragraph" w:customStyle="1" w:styleId="21">
    <w:name w:val="修订2"/>
    <w:hidden/>
    <w:semiHidden/>
    <w:qFormat/>
    <w:uiPriority w:val="99"/>
    <w:rPr>
      <w:rFonts w:ascii="宋体" w:hAnsi="宋体" w:eastAsia="宋体" w:cs="宋体"/>
      <w:sz w:val="24"/>
      <w:szCs w:val="24"/>
      <w:lang w:val="en-US" w:eastAsia="zh-CN" w:bidi="ar-SA"/>
    </w:rPr>
  </w:style>
  <w:style w:type="paragraph" w:customStyle="1" w:styleId="22">
    <w:name w:val="Char Char"/>
    <w:basedOn w:val="1"/>
    <w:qFormat/>
    <w:uiPriority w:val="0"/>
    <w:pPr>
      <w:widowControl w:val="0"/>
      <w:jc w:val="both"/>
    </w:pPr>
    <w:rPr>
      <w:rFonts w:ascii="Times New Roman" w:hAnsi="Times New Roman" w:cs="Times New Roman"/>
      <w:kern w:val="2"/>
      <w:sz w:val="21"/>
      <w:szCs w:val="20"/>
    </w:rPr>
  </w:style>
  <w:style w:type="paragraph" w:customStyle="1" w:styleId="23">
    <w:name w:val="正文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24">
    <w:name w:val="正文 New New New New New New New New New New New"/>
    <w:qFormat/>
    <w:uiPriority w:val="0"/>
    <w:pPr>
      <w:autoSpaceDE w:val="0"/>
      <w:autoSpaceDN w:val="0"/>
      <w:adjustRightInd w:val="0"/>
    </w:pPr>
    <w:rPr>
      <w:rFonts w:ascii="宋体" w:hAnsi="Times New Roman" w:eastAsia="宋体" w:cs="Times New Roman"/>
      <w:lang w:val="en-US" w:eastAsia="zh-CN" w:bidi="ar-SA"/>
    </w:rPr>
  </w:style>
  <w:style w:type="paragraph" w:customStyle="1" w:styleId="25">
    <w:name w:val="修订3"/>
    <w:hidden/>
    <w:semiHidden/>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citicbank</Company>
  <Pages>32</Pages>
  <Words>39678</Words>
  <Characters>43406</Characters>
  <Lines>247</Lines>
  <Paragraphs>69</Paragraphs>
  <TotalTime>2</TotalTime>
  <ScaleCrop>false</ScaleCrop>
  <LinksUpToDate>false</LinksUpToDate>
  <CharactersWithSpaces>43766</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2024-05-26T00:10:00Z</dcterms:created>
  <dc:creator>王晓明</dc:creator>
  <cp:lastModifiedBy>ynjr_zhangguoyou</cp:lastModifiedBy>
  <cp:lastPrinted>2025-10-28T07:40:00Z</cp:lastPrinted>
  <dcterms:modified xsi:type="dcterms:W3CDTF">2025-11-13T08:57:56Z</dcterms:modified>
  <dc:title>产品说明书</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8BF2B1701AE2498E5DCE0F67A2B84A9C_43</vt:lpwstr>
  </property>
</Properties>
</file>