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21D72" w14:textId="77777777" w:rsidR="00A47A16" w:rsidRDefault="00E74674">
      <w:pPr>
        <w:shd w:val="clear" w:color="auto" w:fill="FFFFFF"/>
        <w:spacing w:line="300" w:lineRule="exact"/>
        <w:jc w:val="center"/>
        <w:outlineLvl w:val="1"/>
        <w:rPr>
          <w:rFonts w:ascii="Times New Roman" w:eastAsia="黑体" w:hAnsi="Times New Roman" w:cs="Times New Roman"/>
          <w:sz w:val="22"/>
        </w:rPr>
      </w:pPr>
      <w:r>
        <w:rPr>
          <w:rFonts w:ascii="Times New Roman" w:eastAsia="黑体" w:hAnsi="Times New Roman" w:cs="Times New Roman" w:hint="eastAsia"/>
          <w:sz w:val="22"/>
        </w:rPr>
        <w:t>信银</w:t>
      </w:r>
      <w:proofErr w:type="gramStart"/>
      <w:r>
        <w:rPr>
          <w:rFonts w:ascii="Times New Roman" w:eastAsia="黑体" w:hAnsi="Times New Roman" w:cs="Times New Roman" w:hint="eastAsia"/>
          <w:sz w:val="22"/>
        </w:rPr>
        <w:t>理财理财</w:t>
      </w:r>
      <w:proofErr w:type="gramEnd"/>
      <w:r>
        <w:rPr>
          <w:rFonts w:ascii="Times New Roman" w:eastAsia="黑体" w:hAnsi="Times New Roman" w:cs="Times New Roman" w:hint="eastAsia"/>
          <w:sz w:val="22"/>
        </w:rPr>
        <w:t>产品投资协议书</w:t>
      </w:r>
    </w:p>
    <w:p w14:paraId="3AD0801F" w14:textId="77777777" w:rsidR="00A47A16" w:rsidRDefault="00A47A16">
      <w:pPr>
        <w:spacing w:line="300" w:lineRule="exact"/>
        <w:ind w:firstLine="480"/>
        <w:rPr>
          <w:rFonts w:ascii="Times New Roman" w:eastAsia="楷体_GB2312" w:hAnsi="Times New Roman" w:cs="Times New Roman"/>
          <w:sz w:val="20"/>
          <w:szCs w:val="20"/>
        </w:rPr>
      </w:pPr>
    </w:p>
    <w:p w14:paraId="6BCFF9B4" w14:textId="77777777" w:rsidR="00A47A16" w:rsidRDefault="00E74674">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甲方：投资者（投资者信息详见签署页）</w:t>
      </w:r>
    </w:p>
    <w:p w14:paraId="24AB636E" w14:textId="77777777" w:rsidR="00A47A16" w:rsidRDefault="00E74674">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乙方：</w:t>
      </w:r>
      <w:proofErr w:type="gramStart"/>
      <w:r>
        <w:rPr>
          <w:rFonts w:ascii="Times New Roman" w:eastAsia="楷体_GB2312" w:hAnsi="Times New Roman" w:cs="Times New Roman" w:hint="eastAsia"/>
          <w:b/>
          <w:sz w:val="20"/>
          <w:szCs w:val="20"/>
        </w:rPr>
        <w:t>信银理财</w:t>
      </w:r>
      <w:proofErr w:type="gramEnd"/>
      <w:r>
        <w:rPr>
          <w:rFonts w:ascii="Times New Roman" w:eastAsia="楷体_GB2312" w:hAnsi="Times New Roman" w:cs="Times New Roman" w:hint="eastAsia"/>
          <w:b/>
          <w:sz w:val="20"/>
          <w:szCs w:val="20"/>
        </w:rPr>
        <w:t>有限责任公司</w:t>
      </w:r>
    </w:p>
    <w:p w14:paraId="5E12424F" w14:textId="77777777" w:rsidR="00A47A16" w:rsidRDefault="00A47A16">
      <w:pPr>
        <w:spacing w:line="300" w:lineRule="exact"/>
        <w:ind w:firstLine="480"/>
        <w:rPr>
          <w:rFonts w:ascii="Times New Roman" w:eastAsia="楷体_GB2312" w:hAnsi="Times New Roman" w:cs="Times New Roman"/>
          <w:sz w:val="20"/>
          <w:szCs w:val="20"/>
        </w:rPr>
      </w:pPr>
    </w:p>
    <w:p w14:paraId="7D86B83F" w14:textId="77777777" w:rsidR="00A47A16" w:rsidRDefault="00E74674">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经甲方和乙方平等协商，就甲方认购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申购乙方发行的理财产品（以下简称</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理财产品</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），达成本协议如下：</w:t>
      </w:r>
    </w:p>
    <w:p w14:paraId="6B5CC627" w14:textId="77777777" w:rsidR="00A47A16" w:rsidRDefault="00A47A16">
      <w:pPr>
        <w:spacing w:line="300" w:lineRule="exact"/>
        <w:ind w:firstLine="480"/>
        <w:rPr>
          <w:rFonts w:ascii="Times New Roman" w:eastAsia="楷体_GB2312" w:hAnsi="Times New Roman" w:cs="Times New Roman"/>
          <w:b/>
          <w:bCs/>
          <w:sz w:val="20"/>
          <w:szCs w:val="20"/>
        </w:rPr>
      </w:pPr>
    </w:p>
    <w:p w14:paraId="34574A24" w14:textId="77777777" w:rsidR="00A47A16" w:rsidRDefault="00E74674">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一、适用范围</w:t>
      </w:r>
    </w:p>
    <w:p w14:paraId="13C4074B"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甲方在认购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申购乙方发行的理财产品之前应签署本协议。本协议生效后，甲方认购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申购乙方发行的理财产品的，均适用本协议。</w:t>
      </w:r>
    </w:p>
    <w:p w14:paraId="62589545"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本协议为规范甲乙双方在理财业务中权利与义务的法律文件，与甲方认购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申购乙方多支理财产品时，不同理财产品对应的《信银理财理财产品产品说明书》《信银理财理财产品风险揭示书》组成的理财产品合同互相独立。</w:t>
      </w:r>
    </w:p>
    <w:p w14:paraId="7B636DC7"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本协议不作为甲方认购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申购或持有理财产品的凭证。</w:t>
      </w:r>
    </w:p>
    <w:p w14:paraId="612ABF66" w14:textId="77777777" w:rsidR="00A47A16" w:rsidRDefault="00A47A16">
      <w:pPr>
        <w:spacing w:line="300" w:lineRule="exact"/>
        <w:ind w:firstLine="480"/>
        <w:rPr>
          <w:rFonts w:ascii="Times New Roman" w:eastAsia="楷体_GB2312" w:hAnsi="Times New Roman" w:cs="Times New Roman"/>
          <w:b/>
          <w:bCs/>
          <w:sz w:val="20"/>
          <w:szCs w:val="20"/>
        </w:rPr>
      </w:pPr>
    </w:p>
    <w:p w14:paraId="307752D8"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二、风险提示</w:t>
      </w:r>
    </w:p>
    <w:p w14:paraId="6CB20381"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本产品为</w:t>
      </w:r>
      <w:r>
        <w:rPr>
          <w:rFonts w:ascii="Times New Roman" w:eastAsia="楷体_GB2312" w:hAnsi="Times New Roman" w:cs="Times New Roman"/>
          <w:b/>
          <w:bCs/>
          <w:sz w:val="20"/>
          <w:szCs w:val="20"/>
        </w:rPr>
        <w:t>【固定收益类】</w:t>
      </w:r>
      <w:r>
        <w:rPr>
          <w:rFonts w:ascii="Times New Roman" w:eastAsia="楷体_GB2312" w:hAnsi="Times New Roman" w:cs="Times New Roman" w:hint="eastAsia"/>
          <w:b/>
          <w:bCs/>
          <w:sz w:val="20"/>
          <w:szCs w:val="20"/>
        </w:rPr>
        <w:t>产品</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具体投资对象</w:t>
      </w:r>
      <w:r>
        <w:rPr>
          <w:rFonts w:ascii="Times New Roman" w:eastAsia="楷体_GB2312" w:hAnsi="Times New Roman" w:cs="Times New Roman"/>
          <w:b/>
          <w:bCs/>
          <w:sz w:val="20"/>
          <w:szCs w:val="20"/>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A47A16" w14:paraId="575CC221" w14:textId="77777777">
        <w:tc>
          <w:tcPr>
            <w:tcW w:w="3537" w:type="pct"/>
            <w:vAlign w:val="center"/>
          </w:tcPr>
          <w:p w14:paraId="043D604E" w14:textId="77777777" w:rsidR="00A47A16" w:rsidRDefault="00E74674">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w="1463" w:type="pct"/>
            <w:vAlign w:val="center"/>
          </w:tcPr>
          <w:p w14:paraId="41A44E4D" w14:textId="77777777" w:rsidR="00A47A16" w:rsidRDefault="00E74674">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rsidR="00A47A16" w14:paraId="50AE232B" w14:textId="77777777">
        <w:tc>
          <w:tcPr>
            <w:tcW w:w="3537" w:type="pct"/>
            <w:vAlign w:val="center"/>
          </w:tcPr>
          <w:p w14:paraId="1C9043E2"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w="1463" w:type="pct"/>
            <w:vAlign w:val="center"/>
          </w:tcPr>
          <w:p w14:paraId="6588EB0C"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100%</w:t>
            </w:r>
            <w:r>
              <w:rPr>
                <w:rFonts w:ascii="楷体" w:eastAsia="楷体" w:hAnsi="楷体" w:hint="eastAsia"/>
                <w:sz w:val="20"/>
                <w:szCs w:val="20"/>
              </w:rPr>
              <w:t>】</w:t>
            </w:r>
          </w:p>
        </w:tc>
      </w:tr>
      <w:tr w:rsidR="00A47A16" w14:paraId="31E97EB4" w14:textId="77777777">
        <w:tc>
          <w:tcPr>
            <w:tcW w:w="3537" w:type="pct"/>
            <w:vAlign w:val="center"/>
          </w:tcPr>
          <w:p w14:paraId="43881378"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w="1463" w:type="pct"/>
            <w:vAlign w:val="center"/>
          </w:tcPr>
          <w:p w14:paraId="565FBD2E"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p>
        </w:tc>
      </w:tr>
      <w:tr w:rsidR="00A47A16" w14:paraId="18F63803" w14:textId="77777777">
        <w:tc>
          <w:tcPr>
            <w:tcW w:w="3537" w:type="pct"/>
            <w:vAlign w:val="center"/>
          </w:tcPr>
          <w:p w14:paraId="65AE95EE"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w="1463" w:type="pct"/>
            <w:vAlign w:val="center"/>
          </w:tcPr>
          <w:p w14:paraId="75BAC3CB"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A47A16" w14:paraId="56540EA2" w14:textId="77777777">
        <w:tc>
          <w:tcPr>
            <w:tcW w:w="3537" w:type="pct"/>
            <w:vAlign w:val="center"/>
          </w:tcPr>
          <w:p w14:paraId="38CF88E8"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w="1463" w:type="pct"/>
            <w:vAlign w:val="center"/>
          </w:tcPr>
          <w:p w14:paraId="0CC40081"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A47A16" w14:paraId="3514AE68" w14:textId="77777777">
        <w:trPr>
          <w:trHeight w:val="56"/>
        </w:trPr>
        <w:tc>
          <w:tcPr>
            <w:tcW w:w="3537" w:type="pct"/>
            <w:vAlign w:val="center"/>
          </w:tcPr>
          <w:p w14:paraId="71C23869"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w="1463" w:type="pct"/>
            <w:vAlign w:val="center"/>
          </w:tcPr>
          <w:p w14:paraId="42FB1300" w14:textId="77777777" w:rsidR="00A47A16" w:rsidRDefault="00E74674">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bl>
    <w:p w14:paraId="7573A997"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投资者投资本产品可能面临的特定风险主要包括（但不限于）</w:t>
      </w:r>
    </w:p>
    <w:p w14:paraId="713DEF94"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）投资债权类资产的风险</w:t>
      </w:r>
    </w:p>
    <w:p w14:paraId="701CE5FE"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）投资标准化债权类资产的风险</w:t>
      </w:r>
    </w:p>
    <w:p w14:paraId="1FB02A66"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4575EE6"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）投资非标准化债权类资产的风险</w:t>
      </w:r>
    </w:p>
    <w:p w14:paraId="66E08135"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本产品投资非标债权类资产时可能面临以下风险：由于融资主体</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其他义务人还款履约能力可能的变化导致的信用风险（包括但不限于：融资主体提前还款、延期还款或逾期还款的风险；增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未能履行增信义务（例如：保证担保、差额补足、远期回购、流动性</w:t>
      </w:r>
      <w:proofErr w:type="gramStart"/>
      <w:r>
        <w:rPr>
          <w:rFonts w:ascii="Times New Roman" w:eastAsia="楷体_GB2312" w:hAnsi="Times New Roman" w:cs="Times New Roman" w:hint="eastAsia"/>
          <w:b/>
          <w:bCs/>
          <w:sz w:val="20"/>
          <w:szCs w:val="20"/>
        </w:rPr>
        <w:t>支持等增信</w:t>
      </w:r>
      <w:proofErr w:type="gramEnd"/>
      <w:r>
        <w:rPr>
          <w:rFonts w:ascii="Times New Roman" w:eastAsia="楷体_GB2312" w:hAnsi="Times New Roman" w:cs="Times New Roman" w:hint="eastAsia"/>
          <w:b/>
          <w:bCs/>
          <w:sz w:val="20"/>
          <w:szCs w:val="20"/>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DC9BE6C"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）投资权益类资产的风险</w:t>
      </w:r>
    </w:p>
    <w:p w14:paraId="4F9B0BDA"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）投资普通股票可能面临的风险</w:t>
      </w:r>
    </w:p>
    <w:p w14:paraId="0A228324"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eastAsia="楷体_GB2312" w:hAnsi="Times New Roman" w:cs="Times New Roman" w:hint="eastAsia"/>
          <w:b/>
          <w:bCs/>
          <w:sz w:val="20"/>
          <w:szCs w:val="20"/>
        </w:rPr>
        <w:t xml:space="preserve"> </w:t>
      </w:r>
    </w:p>
    <w:p w14:paraId="690DA07E"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2</w:t>
      </w:r>
      <w:r>
        <w:rPr>
          <w:rFonts w:ascii="Times New Roman" w:eastAsia="楷体_GB2312" w:hAnsi="Times New Roman" w:cs="Times New Roman" w:hint="eastAsia"/>
          <w:b/>
          <w:bCs/>
          <w:sz w:val="20"/>
          <w:szCs w:val="20"/>
        </w:rPr>
        <w:t>）投资优先股可能面临的风险</w:t>
      </w:r>
    </w:p>
    <w:p w14:paraId="4AD2E640"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7D81558"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3</w:t>
      </w:r>
      <w:r>
        <w:rPr>
          <w:rFonts w:ascii="Times New Roman" w:eastAsia="楷体_GB2312" w:hAnsi="Times New Roman" w:cs="Times New Roman" w:hint="eastAsia"/>
          <w:b/>
          <w:bCs/>
          <w:sz w:val="20"/>
          <w:szCs w:val="20"/>
        </w:rPr>
        <w:t>）投资商品及金融衍生品类资产的风险</w:t>
      </w:r>
    </w:p>
    <w:p w14:paraId="57B7A09E"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本产品投资商品及金融衍生品类资产时可能面临以下风险：该衍生</w:t>
      </w:r>
      <w:proofErr w:type="gramStart"/>
      <w:r>
        <w:rPr>
          <w:rFonts w:ascii="Times New Roman" w:eastAsia="楷体_GB2312" w:hAnsi="Times New Roman" w:cs="Times New Roman" w:hint="eastAsia"/>
          <w:b/>
          <w:bCs/>
          <w:sz w:val="20"/>
          <w:szCs w:val="20"/>
        </w:rPr>
        <w:t>品资产</w:t>
      </w:r>
      <w:proofErr w:type="gramEnd"/>
      <w:r>
        <w:rPr>
          <w:rFonts w:ascii="Times New Roman" w:eastAsia="楷体_GB2312" w:hAnsi="Times New Roman" w:cs="Times New Roman" w:hint="eastAsia"/>
          <w:b/>
          <w:bCs/>
          <w:sz w:val="20"/>
          <w:szCs w:val="20"/>
        </w:rPr>
        <w:t>可能实行保证金交易制度，具有高杠杆性，高杠杆效应放大了价格波动风险；若本产品运作中出现基差（注：</w:t>
      </w:r>
      <w:proofErr w:type="gramStart"/>
      <w:r>
        <w:rPr>
          <w:rFonts w:ascii="Times New Roman" w:eastAsia="楷体_GB2312" w:hAnsi="Times New Roman" w:cs="Times New Roman" w:hint="eastAsia"/>
          <w:b/>
          <w:bCs/>
          <w:sz w:val="20"/>
          <w:szCs w:val="20"/>
        </w:rPr>
        <w:t>基差是</w:t>
      </w:r>
      <w:proofErr w:type="gramEnd"/>
      <w:r>
        <w:rPr>
          <w:rFonts w:ascii="Times New Roman" w:eastAsia="楷体_GB2312" w:hAnsi="Times New Roman" w:cs="Times New Roman" w:hint="eastAsia"/>
          <w:b/>
          <w:bCs/>
          <w:sz w:val="20"/>
          <w:szCs w:val="20"/>
        </w:rPr>
        <w:t>指现货价格与期货价格之间的差额）波动不确定性加大、</w:t>
      </w:r>
      <w:proofErr w:type="gramStart"/>
      <w:r>
        <w:rPr>
          <w:rFonts w:ascii="Times New Roman" w:eastAsia="楷体_GB2312" w:hAnsi="Times New Roman" w:cs="Times New Roman" w:hint="eastAsia"/>
          <w:b/>
          <w:bCs/>
          <w:sz w:val="20"/>
          <w:szCs w:val="20"/>
        </w:rPr>
        <w:t>基差向</w:t>
      </w:r>
      <w:proofErr w:type="gramEnd"/>
      <w:r>
        <w:rPr>
          <w:rFonts w:ascii="Times New Roman" w:eastAsia="楷体_GB2312" w:hAnsi="Times New Roman" w:cs="Times New Roman" w:hint="eastAsia"/>
          <w:b/>
          <w:bCs/>
          <w:sz w:val="20"/>
          <w:szCs w:val="20"/>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A99AA76" w14:textId="77777777" w:rsidR="00A47A16" w:rsidRDefault="00A47A16">
      <w:pPr>
        <w:spacing w:line="300" w:lineRule="exact"/>
        <w:ind w:firstLine="480"/>
        <w:rPr>
          <w:rFonts w:ascii="Times New Roman" w:eastAsia="楷体_GB2312" w:hAnsi="Times New Roman" w:cs="Times New Roman"/>
          <w:b/>
          <w:bCs/>
          <w:sz w:val="20"/>
          <w:szCs w:val="20"/>
        </w:rPr>
      </w:pPr>
    </w:p>
    <w:p w14:paraId="342D3B46" w14:textId="77777777" w:rsidR="00A47A16" w:rsidRDefault="00E74674">
      <w:pPr>
        <w:spacing w:line="300" w:lineRule="exact"/>
        <w:ind w:firstLine="480"/>
        <w:rPr>
          <w:rFonts w:ascii="Times New Roman" w:eastAsia="楷体_GB2312" w:hAnsi="Times New Roman" w:cs="Times New Roman"/>
          <w:b/>
          <w:bCs/>
          <w:i/>
          <w:szCs w:val="20"/>
          <w:u w:val="single"/>
        </w:rPr>
      </w:pPr>
      <w:r>
        <w:rPr>
          <w:rFonts w:ascii="Times New Roman" w:eastAsia="楷体_GB2312" w:hAnsi="Times New Roman" w:cs="Times New Roman" w:hint="eastAsia"/>
          <w:b/>
          <w:bCs/>
          <w:i/>
          <w:szCs w:val="20"/>
          <w:u w:val="single"/>
        </w:rPr>
        <w:t>注：以上特定风险仅为列举性质，未能详尽列明投资本产品可能面临的全部风险和可能导致投资者投资本金及收益损失的所有因素。</w:t>
      </w:r>
    </w:p>
    <w:p w14:paraId="4647AE11" w14:textId="77777777" w:rsidR="00A47A16" w:rsidRDefault="00A47A16">
      <w:pPr>
        <w:spacing w:line="300" w:lineRule="exact"/>
        <w:ind w:firstLine="480"/>
        <w:rPr>
          <w:rFonts w:ascii="Times New Roman" w:eastAsia="楷体_GB2312" w:hAnsi="Times New Roman" w:cs="Times New Roman"/>
          <w:b/>
          <w:bCs/>
          <w:sz w:val="20"/>
          <w:szCs w:val="20"/>
        </w:rPr>
      </w:pPr>
    </w:p>
    <w:p w14:paraId="46EDA083"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eastAsia="楷体_GB2312" w:hAnsi="Times New Roman" w:cs="Times New Roman"/>
          <w:b/>
          <w:bCs/>
          <w:sz w:val="20"/>
          <w:szCs w:val="20"/>
        </w:rPr>
        <w:t>投资对象</w:t>
      </w:r>
      <w:r>
        <w:rPr>
          <w:rFonts w:ascii="Times New Roman" w:eastAsia="楷体_GB2312" w:hAnsi="Times New Roman" w:cs="Times New Roman" w:hint="eastAsia"/>
          <w:b/>
          <w:bCs/>
          <w:sz w:val="20"/>
          <w:szCs w:val="20"/>
        </w:rPr>
        <w:t>的</w:t>
      </w:r>
      <w:r>
        <w:rPr>
          <w:rFonts w:ascii="Times New Roman" w:eastAsia="楷体_GB2312" w:hAnsi="Times New Roman" w:cs="Times New Roman"/>
          <w:b/>
          <w:bCs/>
          <w:sz w:val="20"/>
          <w:szCs w:val="20"/>
        </w:rPr>
        <w:t>投资比例及相应</w:t>
      </w:r>
      <w:r>
        <w:rPr>
          <w:rFonts w:ascii="Times New Roman" w:eastAsia="楷体_GB2312" w:hAnsi="Times New Roman" w:cs="Times New Roman" w:hint="eastAsia"/>
          <w:b/>
          <w:bCs/>
          <w:sz w:val="20"/>
          <w:szCs w:val="20"/>
        </w:rPr>
        <w:t>投资</w:t>
      </w:r>
      <w:r>
        <w:rPr>
          <w:rFonts w:ascii="Times New Roman" w:eastAsia="楷体_GB2312" w:hAnsi="Times New Roman" w:cs="Times New Roman"/>
          <w:b/>
          <w:bCs/>
          <w:sz w:val="20"/>
          <w:szCs w:val="20"/>
        </w:rPr>
        <w:t>风险</w:t>
      </w:r>
      <w:r>
        <w:rPr>
          <w:rFonts w:ascii="Times New Roman" w:eastAsia="楷体_GB2312" w:hAnsi="Times New Roman" w:cs="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申购的理财产品的《信银理财理财产品产品说明书》和《信银理财理财产品风险揭示书》中的相应条款。</w:t>
      </w:r>
    </w:p>
    <w:p w14:paraId="4D14D90A" w14:textId="77777777" w:rsidR="00A47A16" w:rsidRDefault="00A47A16">
      <w:pPr>
        <w:spacing w:line="300" w:lineRule="exact"/>
        <w:ind w:firstLine="480"/>
        <w:rPr>
          <w:rFonts w:ascii="Times New Roman" w:eastAsia="楷体_GB2312" w:hAnsi="Times New Roman" w:cs="Times New Roman"/>
          <w:b/>
          <w:bCs/>
          <w:sz w:val="20"/>
          <w:szCs w:val="20"/>
        </w:rPr>
      </w:pPr>
    </w:p>
    <w:p w14:paraId="25338F5E"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三、投资条款</w:t>
      </w:r>
    </w:p>
    <w:p w14:paraId="460FD174" w14:textId="77777777" w:rsidR="00A47A16" w:rsidRDefault="00E74674">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Cs/>
          <w:sz w:val="20"/>
          <w:szCs w:val="20"/>
        </w:rPr>
        <w:t>甲方认购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申购理财产品的具体认购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申购条件、流程、金额、份额、费用以及其他投资条款，由甲方实际认购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申购的理财产品的《信银理财理财产品产品说明书》具体约定。</w:t>
      </w:r>
    </w:p>
    <w:p w14:paraId="33D72089" w14:textId="77777777" w:rsidR="00A47A16" w:rsidRDefault="00A47A16">
      <w:pPr>
        <w:spacing w:line="300" w:lineRule="exact"/>
        <w:ind w:firstLine="480"/>
        <w:rPr>
          <w:rFonts w:ascii="Times New Roman" w:eastAsia="楷体_GB2312" w:hAnsi="Times New Roman" w:cs="Times New Roman"/>
          <w:b/>
          <w:bCs/>
          <w:sz w:val="20"/>
          <w:szCs w:val="20"/>
        </w:rPr>
      </w:pPr>
    </w:p>
    <w:p w14:paraId="67E333D8" w14:textId="77777777" w:rsidR="00A47A16" w:rsidRDefault="00E74674">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四、甲方的权利与义务</w:t>
      </w:r>
    </w:p>
    <w:p w14:paraId="1248C41B"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0C980319"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EBB8DE7"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（二）甲方保证以真实身份投资本理财产品，保证提供给产品管理人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代销机构的信息和资料均真实、准确、完整、合法。如甲方的信息和</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或资料发生变更，应当及时书面告知产品管理人或代销机构；</w:t>
      </w:r>
    </w:p>
    <w:p w14:paraId="3C3FBD1F"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（三）甲方声明熟悉理财产品类型特征及不同销售渠道的法律法规规定；</w:t>
      </w:r>
    </w:p>
    <w:p w14:paraId="74471ECF"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（四）甲方承诺：如委托他人购买本产品，代理人须出具具有法律效力的授权委托书；</w:t>
      </w:r>
    </w:p>
    <w:p w14:paraId="6775CF27"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（五）甲方保证理财投资资金来源和用途合法，保证可向产品管理人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代销机构提供合法筹集的证明文件；</w:t>
      </w:r>
    </w:p>
    <w:p w14:paraId="2D98F0FF"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（六）甲方不得利用理财业务及理财产品销售文件项下理财产品从事违法活动；</w:t>
      </w:r>
    </w:p>
    <w:p w14:paraId="5F623AB4"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代销机构开展投资者身份识</w:t>
      </w:r>
      <w:r>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567303F3"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Pr>
          <w:rFonts w:ascii="Times New Roman" w:eastAsia="楷体_GB2312" w:hAnsi="Times New Roman" w:cs="Times New Roman" w:hint="eastAsia"/>
          <w:sz w:val="20"/>
          <w:szCs w:val="20"/>
        </w:rPr>
        <w:t>涉恐及反洗</w:t>
      </w:r>
      <w:proofErr w:type="gramEnd"/>
      <w:r>
        <w:rPr>
          <w:rFonts w:ascii="Times New Roman" w:eastAsia="楷体_GB2312" w:hAnsi="Times New Roman" w:cs="Times New Roman" w:hint="eastAsia"/>
          <w:sz w:val="20"/>
          <w:szCs w:val="20"/>
        </w:rPr>
        <w:t>钱相关风险名单内的企业或个人；</w:t>
      </w:r>
      <w:proofErr w:type="gramStart"/>
      <w:r>
        <w:rPr>
          <w:rFonts w:ascii="Times New Roman" w:eastAsia="楷体_GB2312" w:hAnsi="Times New Roman" w:cs="Times New Roman" w:hint="eastAsia"/>
          <w:sz w:val="20"/>
          <w:szCs w:val="20"/>
        </w:rPr>
        <w:t>不</w:t>
      </w:r>
      <w:proofErr w:type="gramEnd"/>
      <w:r>
        <w:rPr>
          <w:rFonts w:ascii="Times New Roman" w:eastAsia="楷体_GB2312" w:hAnsi="Times New Roman" w:cs="Times New Roman" w:hint="eastAsia"/>
          <w:sz w:val="20"/>
          <w:szCs w:val="20"/>
        </w:rPr>
        <w:t>位于被联合国、欧盟或美国等制裁的国家和地区；</w:t>
      </w:r>
    </w:p>
    <w:p w14:paraId="156B6516"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F0801AF" w14:textId="77777777" w:rsidR="00A47A16" w:rsidRDefault="00A47A16">
      <w:pPr>
        <w:spacing w:line="300" w:lineRule="exact"/>
        <w:ind w:firstLine="480"/>
        <w:rPr>
          <w:rFonts w:ascii="Times New Roman" w:eastAsia="楷体_GB2312" w:hAnsi="Times New Roman" w:cs="Times New Roman"/>
          <w:b/>
          <w:bCs/>
          <w:sz w:val="20"/>
          <w:szCs w:val="20"/>
        </w:rPr>
      </w:pPr>
    </w:p>
    <w:p w14:paraId="5411AE5E" w14:textId="77777777" w:rsidR="00A47A16" w:rsidRDefault="00E74674">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五、乙方的权利与义务</w:t>
      </w:r>
    </w:p>
    <w:p w14:paraId="455B40E3"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8D51E27"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（二）乙方具有完全适当的资格和能力订立与履行理财产品合同。</w:t>
      </w:r>
    </w:p>
    <w:p w14:paraId="51356F37" w14:textId="77777777" w:rsidR="00A47A16" w:rsidRDefault="00A47A16">
      <w:pPr>
        <w:spacing w:line="300" w:lineRule="exact"/>
        <w:ind w:firstLine="480"/>
        <w:rPr>
          <w:rFonts w:ascii="Times New Roman" w:eastAsia="楷体_GB2312" w:hAnsi="Times New Roman" w:cs="Times New Roman"/>
          <w:b/>
          <w:bCs/>
          <w:sz w:val="20"/>
          <w:szCs w:val="20"/>
        </w:rPr>
      </w:pPr>
    </w:p>
    <w:p w14:paraId="02F2A845" w14:textId="77777777" w:rsidR="00A47A16" w:rsidRDefault="00E74674">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六、违约责任</w:t>
      </w:r>
    </w:p>
    <w:p w14:paraId="322E1A56" w14:textId="77777777" w:rsidR="00A47A16" w:rsidRDefault="00E74674">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双方因违反本协议约定而给对方造成损失的，违约方应赔偿因此给对方造成的直接损失。</w:t>
      </w:r>
    </w:p>
    <w:p w14:paraId="09F86641" w14:textId="77777777" w:rsidR="00A47A16" w:rsidRDefault="00A47A16">
      <w:pPr>
        <w:spacing w:line="300" w:lineRule="exact"/>
        <w:ind w:firstLine="480"/>
        <w:rPr>
          <w:rFonts w:ascii="Times New Roman" w:eastAsia="楷体_GB2312" w:hAnsi="Times New Roman" w:cs="Times New Roman"/>
          <w:b/>
          <w:bCs/>
          <w:sz w:val="20"/>
          <w:szCs w:val="20"/>
        </w:rPr>
      </w:pPr>
    </w:p>
    <w:p w14:paraId="2DB522B9" w14:textId="77777777" w:rsidR="00A47A16" w:rsidRDefault="00E74674">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七、免责内容</w:t>
      </w:r>
    </w:p>
    <w:p w14:paraId="1901D6A5" w14:textId="77777777" w:rsidR="00A47A16" w:rsidRDefault="00E74674">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因法律法规或监管政策变化、自然灾害、意外事故、战争、系统故障、通讯故障等信银理财客观不能预见、不能避免、不能克服的不可抗力事件或意外事件，</w:t>
      </w:r>
      <w:proofErr w:type="gramStart"/>
      <w:r>
        <w:rPr>
          <w:rFonts w:ascii="Times New Roman" w:eastAsia="楷体_GB2312" w:hAnsi="Times New Roman" w:cs="Times New Roman" w:hint="eastAsia"/>
          <w:b/>
          <w:bCs/>
          <w:sz w:val="20"/>
          <w:szCs w:val="20"/>
        </w:rPr>
        <w:t>导致信银</w:t>
      </w:r>
      <w:proofErr w:type="gramEnd"/>
      <w:r>
        <w:rPr>
          <w:rFonts w:ascii="Times New Roman" w:eastAsia="楷体_GB2312" w:hAnsi="Times New Roman" w:cs="Times New Roman" w:hint="eastAsia"/>
          <w:b/>
          <w:bCs/>
          <w:sz w:val="20"/>
          <w:szCs w:val="20"/>
        </w:rPr>
        <w:t>理财无法或延后履行本协议及《信银理财理财产品产品说明书》有关义务的，</w:t>
      </w:r>
      <w:proofErr w:type="gramStart"/>
      <w:r>
        <w:rPr>
          <w:rFonts w:ascii="Times New Roman" w:eastAsia="楷体_GB2312" w:hAnsi="Times New Roman" w:cs="Times New Roman" w:hint="eastAsia"/>
          <w:b/>
          <w:bCs/>
          <w:sz w:val="20"/>
          <w:szCs w:val="20"/>
        </w:rPr>
        <w:t>信银理财</w:t>
      </w:r>
      <w:proofErr w:type="gramEnd"/>
      <w:r>
        <w:rPr>
          <w:rFonts w:ascii="Times New Roman" w:eastAsia="楷体_GB2312" w:hAnsi="Times New Roman" w:cs="Times New Roman" w:hint="eastAsia"/>
          <w:b/>
          <w:bCs/>
          <w:sz w:val="20"/>
          <w:szCs w:val="20"/>
        </w:rPr>
        <w:t>不承担责任，但</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故意或重大过失造成的系统故障、通讯故障的除外。前述约定</w:t>
      </w:r>
      <w:proofErr w:type="gramStart"/>
      <w:r>
        <w:rPr>
          <w:rFonts w:ascii="Times New Roman" w:eastAsia="楷体_GB2312" w:hAnsi="Times New Roman" w:cs="Times New Roman" w:hint="eastAsia"/>
          <w:b/>
          <w:bCs/>
          <w:sz w:val="20"/>
          <w:szCs w:val="20"/>
        </w:rPr>
        <w:t>不</w:t>
      </w:r>
      <w:proofErr w:type="gramEnd"/>
      <w:r>
        <w:rPr>
          <w:rFonts w:ascii="Times New Roman" w:eastAsia="楷体_GB2312" w:hAnsi="Times New Roman" w:cs="Times New Roman" w:hint="eastAsia"/>
          <w:b/>
          <w:bCs/>
          <w:sz w:val="20"/>
          <w:szCs w:val="20"/>
        </w:rPr>
        <w:t>免除</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过错导致依法应由产品管理人承担的责任。乙方应在条件允许的情况下，采取必要的补救措施以减少不可抗力造成的损失</w:t>
      </w:r>
      <w:r>
        <w:rPr>
          <w:rFonts w:ascii="Times New Roman" w:eastAsia="楷体_GB2312" w:hAnsi="Times New Roman" w:cs="Times New Roman"/>
          <w:b/>
          <w:bCs/>
          <w:sz w:val="20"/>
          <w:szCs w:val="20"/>
        </w:rPr>
        <w:t>。</w:t>
      </w:r>
    </w:p>
    <w:p w14:paraId="197773DA" w14:textId="77777777" w:rsidR="00A47A16" w:rsidRDefault="00A47A16">
      <w:pPr>
        <w:spacing w:line="300" w:lineRule="exact"/>
        <w:ind w:firstLine="480"/>
        <w:rPr>
          <w:rFonts w:ascii="Times New Roman" w:eastAsia="楷体_GB2312" w:hAnsi="Times New Roman" w:cs="Times New Roman"/>
          <w:b/>
          <w:bCs/>
          <w:sz w:val="20"/>
          <w:szCs w:val="20"/>
        </w:rPr>
      </w:pPr>
    </w:p>
    <w:p w14:paraId="76943DB2" w14:textId="77777777" w:rsidR="00A47A16" w:rsidRDefault="00E74674">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八、争议解决</w:t>
      </w:r>
    </w:p>
    <w:p w14:paraId="300FD9FD" w14:textId="77777777" w:rsidR="00A47A16" w:rsidRDefault="00E74674">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（一）本协议及其他理财产品合同适用中华人民共和国法律（为履行理财产品合同之目的，不包括中国香港特别行政区、澳门特别行政区及台湾地区法律）。</w:t>
      </w:r>
    </w:p>
    <w:p w14:paraId="6B2A905B" w14:textId="77777777" w:rsidR="00A47A16" w:rsidRDefault="00E74674">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rPr>
        <w:t>理财产品合同引起的或与本协议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5AF0DDE8" w14:textId="77777777" w:rsidR="00A47A16" w:rsidRDefault="00E74674">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（三）在协商或仲裁期间，对于本协议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理财产品合同不涉及争议部分的条款，双方仍须履行。</w:t>
      </w:r>
    </w:p>
    <w:p w14:paraId="16A43A6E" w14:textId="77777777" w:rsidR="00A47A16" w:rsidRDefault="00A47A16">
      <w:pPr>
        <w:spacing w:line="300" w:lineRule="exact"/>
        <w:ind w:firstLine="480"/>
        <w:rPr>
          <w:rFonts w:ascii="Times New Roman" w:eastAsia="楷体_GB2312" w:hAnsi="Times New Roman" w:cs="Times New Roman"/>
          <w:b/>
          <w:sz w:val="20"/>
          <w:szCs w:val="20"/>
        </w:rPr>
      </w:pPr>
    </w:p>
    <w:p w14:paraId="657DE804" w14:textId="77777777" w:rsidR="00A47A16" w:rsidRDefault="00E74674">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九、附则</w:t>
      </w:r>
    </w:p>
    <w:p w14:paraId="2A3AE062" w14:textId="77777777" w:rsidR="00A47A16" w:rsidRDefault="00E74674">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Pr>
          <w:rFonts w:ascii="Times New Roman" w:eastAsia="楷体_GB2312" w:hAnsi="Times New Roman" w:cs="Times New Roman" w:hint="eastAsia"/>
          <w:b/>
          <w:sz w:val="20"/>
          <w:szCs w:val="20"/>
        </w:rPr>
        <w:t>勾选且</w:t>
      </w:r>
      <w:proofErr w:type="gramEnd"/>
      <w:r>
        <w:rPr>
          <w:rFonts w:ascii="Times New Roman" w:eastAsia="楷体_GB2312" w:hAnsi="Times New Roman" w:cs="Times New Roman" w:hint="eastAsia"/>
          <w:b/>
          <w:sz w:val="20"/>
          <w:szCs w:val="20"/>
        </w:rPr>
        <w:t>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申购份额经乙方确认后生效。甲方知悉并确认，乙方对于甲方认购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2FBEDDE7" w14:textId="77777777" w:rsidR="00A47A16" w:rsidRDefault="00E74674">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4853B9A3" w14:textId="77777777" w:rsidR="00A47A16" w:rsidRDefault="00E74674">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lastRenderedPageBreak/>
        <w:t>（三）如果由于任何原因使本协议下的任何条款或者内容成为无效或者依法被撤销，本协议其他条款或内容的合法性，有效性和</w:t>
      </w:r>
      <w:proofErr w:type="gramStart"/>
      <w:r>
        <w:rPr>
          <w:rFonts w:ascii="Times New Roman" w:eastAsia="楷体_GB2312" w:hAnsi="Times New Roman" w:cs="Times New Roman" w:hint="eastAsia"/>
          <w:b/>
          <w:sz w:val="20"/>
          <w:szCs w:val="20"/>
        </w:rPr>
        <w:t>可</w:t>
      </w:r>
      <w:proofErr w:type="gramEnd"/>
      <w:r>
        <w:rPr>
          <w:rFonts w:ascii="Times New Roman" w:eastAsia="楷体_GB2312" w:hAnsi="Times New Roman" w:cs="Times New Roman" w:hint="eastAsia"/>
          <w:b/>
          <w:sz w:val="20"/>
          <w:szCs w:val="20"/>
        </w:rPr>
        <w:t>执行性不受影响。</w:t>
      </w:r>
    </w:p>
    <w:p w14:paraId="4F05906F" w14:textId="77777777" w:rsidR="00A47A16" w:rsidRDefault="00A47A16">
      <w:pPr>
        <w:spacing w:line="300" w:lineRule="exact"/>
        <w:rPr>
          <w:rFonts w:ascii="Times New Roman" w:eastAsia="楷体_GB2312" w:hAnsi="Times New Roman" w:cs="Times New Roman"/>
          <w:sz w:val="20"/>
          <w:szCs w:val="20"/>
        </w:rPr>
      </w:pPr>
    </w:p>
    <w:p w14:paraId="2382D395" w14:textId="77777777" w:rsidR="00A47A16" w:rsidRDefault="00A47A16">
      <w:pPr>
        <w:spacing w:line="300" w:lineRule="exact"/>
        <w:rPr>
          <w:rFonts w:ascii="Times New Roman" w:eastAsia="楷体_GB2312" w:hAnsi="Times New Roman" w:cs="Times New Roman"/>
          <w:sz w:val="20"/>
          <w:szCs w:val="20"/>
        </w:rPr>
      </w:pPr>
    </w:p>
    <w:p w14:paraId="6CFBCC20" w14:textId="77777777" w:rsidR="00A47A16" w:rsidRDefault="00E74674">
      <w:pPr>
        <w:spacing w:line="300" w:lineRule="exact"/>
        <w:rPr>
          <w:rFonts w:ascii="Times New Roman" w:eastAsia="楷体_GB2312" w:hAnsi="Times New Roman" w:cs="Times New Roman"/>
          <w:sz w:val="20"/>
          <w:szCs w:val="20"/>
        </w:rPr>
      </w:pPr>
      <w:r>
        <w:rPr>
          <w:rFonts w:ascii="Times New Roman" w:eastAsia="楷体_GB2312" w:hAnsi="Times New Roman" w:cs="Times New Roman"/>
          <w:b/>
          <w:sz w:val="20"/>
          <w:szCs w:val="20"/>
        </w:rPr>
        <w:t>甲方</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个人投资者（签字）</w:t>
      </w:r>
      <w:r>
        <w:rPr>
          <w:rFonts w:ascii="Times New Roman" w:eastAsia="楷体_GB2312" w:hAnsi="Times New Roman" w:cs="Times New Roman"/>
          <w:sz w:val="20"/>
          <w:szCs w:val="20"/>
        </w:rPr>
        <w:t xml:space="preserve">:               </w:t>
      </w:r>
    </w:p>
    <w:p w14:paraId="12D2CF07"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35624555"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3C5D0C7F" w14:textId="77777777" w:rsidR="00A47A16" w:rsidRDefault="00E74674">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机构投资者（公章）</w:t>
      </w:r>
      <w:r>
        <w:rPr>
          <w:rFonts w:ascii="Times New Roman" w:eastAsia="楷体_GB2312" w:hAnsi="Times New Roman" w:cs="Times New Roman"/>
          <w:sz w:val="20"/>
          <w:szCs w:val="20"/>
        </w:rPr>
        <w:t xml:space="preserve">:               </w:t>
      </w:r>
    </w:p>
    <w:p w14:paraId="58B52C84" w14:textId="77777777" w:rsidR="00A47A16" w:rsidRDefault="00E74674">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法定代表人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负责人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授权代表（签字</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盖章）：</w:t>
      </w:r>
    </w:p>
    <w:p w14:paraId="3979AFA0"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160AB0A3"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0C5367A4" w14:textId="77777777" w:rsidR="00A47A16" w:rsidRDefault="00E74674">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证件类别（个人投资者）：</w:t>
      </w:r>
      <w:r>
        <w:rPr>
          <w:rFonts w:ascii="Times New Roman" w:eastAsia="楷体_GB2312" w:hAnsi="Times New Roman" w:cs="Times New Roman"/>
          <w:sz w:val="20"/>
          <w:szCs w:val="20"/>
        </w:rPr>
        <w:t xml:space="preserve">             </w:t>
      </w:r>
    </w:p>
    <w:p w14:paraId="76BBC23C"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33272020"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1C1778D3" w14:textId="77777777" w:rsidR="00A47A16" w:rsidRDefault="00E74674">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证件号（个人投资者）：</w:t>
      </w:r>
      <w:r>
        <w:rPr>
          <w:rFonts w:ascii="Times New Roman" w:eastAsia="楷体_GB2312" w:hAnsi="Times New Roman" w:cs="Times New Roman"/>
          <w:sz w:val="20"/>
          <w:szCs w:val="20"/>
        </w:rPr>
        <w:t xml:space="preserve">                </w:t>
      </w:r>
    </w:p>
    <w:p w14:paraId="4B830866" w14:textId="77777777" w:rsidR="00A47A16" w:rsidRDefault="00A47A16">
      <w:pPr>
        <w:spacing w:line="300" w:lineRule="exact"/>
        <w:ind w:firstLineChars="300" w:firstLine="600"/>
        <w:rPr>
          <w:rFonts w:ascii="Times New Roman" w:eastAsia="楷体_GB2312" w:hAnsi="Times New Roman" w:cs="Times New Roman"/>
          <w:sz w:val="20"/>
          <w:szCs w:val="20"/>
        </w:rPr>
      </w:pPr>
    </w:p>
    <w:p w14:paraId="7CE61169" w14:textId="77777777" w:rsidR="00A47A16" w:rsidRDefault="00A47A16">
      <w:pPr>
        <w:spacing w:line="300" w:lineRule="exact"/>
        <w:rPr>
          <w:rFonts w:ascii="Times New Roman" w:eastAsia="楷体_GB2312" w:hAnsi="Times New Roman" w:cs="Times New Roman"/>
          <w:sz w:val="20"/>
          <w:szCs w:val="20"/>
        </w:rPr>
      </w:pPr>
    </w:p>
    <w:p w14:paraId="2136D99D" w14:textId="77777777" w:rsidR="00A47A16" w:rsidRDefault="00A47A16"/>
    <w:p w14:paraId="1500EA1D" w14:textId="77777777" w:rsidR="00A47A16" w:rsidRDefault="00A47A16">
      <w:pPr>
        <w:rPr>
          <w:rFonts w:ascii="黑体" w:eastAsia="黑体" w:hAnsi="楷体_GB2312" w:cs="黑体"/>
          <w:b/>
          <w:bCs/>
          <w:color w:val="000000" w:themeColor="text1"/>
        </w:rPr>
      </w:pPr>
    </w:p>
    <w:p w14:paraId="6B1209D9" w14:textId="77777777" w:rsidR="00A47A16" w:rsidRDefault="00E74674">
      <w:pPr>
        <w:rPr>
          <w:rFonts w:ascii="黑体" w:eastAsia="黑体" w:hAnsi="楷体_GB2312" w:cs="黑体"/>
          <w:b/>
          <w:bCs/>
          <w:color w:val="000000" w:themeColor="text1"/>
        </w:rPr>
        <w:sectPr w:rsidR="00A47A16">
          <w:headerReference w:type="default" r:id="rId8"/>
          <w:footerReference w:type="default" r:id="rId9"/>
          <w:pgSz w:w="11906" w:h="16838"/>
          <w:pgMar w:top="1440" w:right="1800" w:bottom="1440" w:left="1800" w:header="851" w:footer="992" w:gutter="0"/>
          <w:cols w:space="720"/>
          <w:docGrid w:linePitch="312"/>
        </w:sectPr>
      </w:pPr>
      <w:r>
        <w:rPr>
          <w:rFonts w:ascii="黑体" w:eastAsia="黑体" w:hAnsi="楷体_GB2312" w:cs="黑体"/>
          <w:b/>
          <w:bCs/>
          <w:color w:val="000000" w:themeColor="text1"/>
        </w:rPr>
        <w:br w:type="page"/>
      </w:r>
    </w:p>
    <w:p w14:paraId="0DD04E8C" w14:textId="77777777" w:rsidR="00A47A16" w:rsidRDefault="00E74674">
      <w:pPr>
        <w:spacing w:line="300" w:lineRule="exact"/>
        <w:ind w:leftChars="-342" w:left="-821" w:rightChars="-330" w:right="-792"/>
        <w:jc w:val="center"/>
        <w:rPr>
          <w:rFonts w:ascii="黑体" w:eastAsia="黑体" w:hAnsi="楷体_GB2312" w:cs="黑体"/>
          <w:b/>
          <w:bCs/>
          <w:color w:val="000000" w:themeColor="text1"/>
        </w:rPr>
      </w:pPr>
      <w:r>
        <w:rPr>
          <w:rFonts w:ascii="黑体" w:eastAsia="黑体" w:hAnsi="楷体_GB2312" w:cs="黑体" w:hint="eastAsia"/>
          <w:b/>
          <w:bCs/>
          <w:color w:val="000000" w:themeColor="text1"/>
        </w:rPr>
        <w:lastRenderedPageBreak/>
        <w:t>信银</w:t>
      </w:r>
      <w:proofErr w:type="gramStart"/>
      <w:r>
        <w:rPr>
          <w:rFonts w:ascii="黑体" w:eastAsia="黑体" w:hAnsi="楷体_GB2312" w:cs="黑体" w:hint="eastAsia"/>
          <w:b/>
          <w:bCs/>
          <w:color w:val="000000" w:themeColor="text1"/>
        </w:rPr>
        <w:t>理财理财</w:t>
      </w:r>
      <w:proofErr w:type="gramEnd"/>
      <w:r>
        <w:rPr>
          <w:rFonts w:ascii="黑体" w:eastAsia="黑体" w:hAnsi="楷体_GB2312" w:cs="黑体" w:hint="eastAsia"/>
          <w:b/>
          <w:bCs/>
          <w:color w:val="000000" w:themeColor="text1"/>
        </w:rPr>
        <w:t>产品风险揭示书</w:t>
      </w:r>
    </w:p>
    <w:p w14:paraId="0B61FC9F" w14:textId="77777777" w:rsidR="00A47A16" w:rsidRDefault="00E74674">
      <w:pPr>
        <w:spacing w:line="300" w:lineRule="exact"/>
        <w:ind w:leftChars="-342" w:left="-821" w:rightChars="-330" w:right="-792"/>
        <w:jc w:val="center"/>
        <w:rPr>
          <w:rFonts w:ascii="楷体_GB2312" w:eastAsia="楷体_GB2312"/>
          <w:color w:val="000000" w:themeColor="text1"/>
        </w:rPr>
      </w:pPr>
      <w:r>
        <w:rPr>
          <w:rFonts w:ascii="黑体" w:eastAsia="黑体"/>
          <w:b/>
          <w:bCs/>
          <w:color w:val="000000" w:themeColor="text1"/>
        </w:rPr>
        <w:t> </w:t>
      </w:r>
    </w:p>
    <w:p w14:paraId="4925163C" w14:textId="77777777" w:rsidR="00A47A16" w:rsidRDefault="00E74674">
      <w:pPr>
        <w:jc w:val="both"/>
        <w:rPr>
          <w:rFonts w:ascii="楷体_GB2312" w:eastAsia="楷体_GB2312"/>
          <w:color w:val="000000" w:themeColor="text1"/>
        </w:rPr>
      </w:pPr>
      <w:r>
        <w:rPr>
          <w:rFonts w:ascii="楷体_GB2312" w:eastAsia="楷体_GB2312" w:hAnsi="Arial" w:cs="楷体_GB2312" w:hint="eastAsia"/>
          <w:color w:val="000000" w:themeColor="text1"/>
        </w:rPr>
        <w:t>尊敬的客户：</w:t>
      </w:r>
      <w:r>
        <w:rPr>
          <w:rFonts w:ascii="楷体_GB2312" w:eastAsia="楷体_GB2312" w:hAnsi="Arial" w:cs="楷体_GB2312"/>
          <w:color w:val="000000" w:themeColor="text1"/>
        </w:rPr>
        <w:t xml:space="preserve"> </w:t>
      </w:r>
    </w:p>
    <w:p w14:paraId="2ED2D7A9" w14:textId="77777777" w:rsidR="00A47A16" w:rsidRDefault="00E74674">
      <w:pPr>
        <w:ind w:firstLineChars="200" w:firstLine="482"/>
        <w:jc w:val="both"/>
        <w:rPr>
          <w:b/>
          <w:color w:val="000000" w:themeColor="text1"/>
        </w:rPr>
      </w:pPr>
      <w:r>
        <w:rPr>
          <w:rFonts w:ascii="楷体_GB2312" w:eastAsia="楷体_GB2312" w:hAnsi="Arial" w:cs="楷体_GB2312" w:hint="eastAsia"/>
          <w:b/>
          <w:color w:val="000000" w:themeColor="text1"/>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F4004D0" w14:textId="77777777" w:rsidR="00A47A16" w:rsidRDefault="00E74674">
      <w:pPr>
        <w:ind w:firstLineChars="200" w:firstLine="482"/>
        <w:jc w:val="both"/>
        <w:rPr>
          <w:b/>
          <w:color w:val="000000" w:themeColor="text1"/>
        </w:rPr>
      </w:pPr>
      <w:r>
        <w:rPr>
          <w:rFonts w:ascii="楷体_GB2312" w:eastAsia="楷体_GB2312" w:hAnsi="Arial" w:cs="楷体_GB2312" w:hint="eastAsia"/>
          <w:b/>
          <w:color w:val="000000" w:themeColor="text1"/>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ascii="楷体_GB2312" w:eastAsia="楷体_GB2312" w:hAnsi="Arial" w:cs="楷体_GB2312" w:hint="eastAsia"/>
          <w:b/>
          <w:bCs/>
          <w:color w:val="000000" w:themeColor="text1"/>
        </w:rPr>
        <w:t>。</w:t>
      </w:r>
    </w:p>
    <w:p w14:paraId="46055F40" w14:textId="77777777" w:rsidR="00A47A16" w:rsidRDefault="00E74674">
      <w:pPr>
        <w:ind w:firstLineChars="200" w:firstLine="480"/>
        <w:jc w:val="both"/>
        <w:rPr>
          <w:rFonts w:ascii="楷体_GB2312" w:eastAsia="楷体_GB2312" w:hAnsi="Arial" w:cs="楷体_GB2312"/>
          <w:color w:val="000000" w:themeColor="text1"/>
        </w:rPr>
      </w:pPr>
      <w:r>
        <w:rPr>
          <w:rFonts w:ascii="Arial" w:eastAsia="楷体_GB2312" w:hAnsi="Arial" w:cs="楷体_GB2312" w:hint="eastAsia"/>
          <w:color w:val="000000" w:themeColor="text1"/>
        </w:rPr>
        <w:t>本理财产品名称为</w:t>
      </w:r>
      <w:r>
        <w:rPr>
          <w:rFonts w:ascii="楷体_GB2312" w:eastAsia="楷体_GB2312" w:hAnsi="楷体_GB2312" w:cs="楷体_GB2312" w:hint="eastAsia"/>
          <w:b/>
          <w:bCs/>
          <w:color w:val="000000" w:themeColor="text1"/>
        </w:rPr>
        <w:t>【信银理财日盈象天天利155号现金管理型理财产品</w:t>
      </w:r>
      <w:r>
        <w:rPr>
          <w:rFonts w:ascii="楷体_GB2312" w:eastAsia="楷体_GB2312" w:hAnsi="楷体_GB2312" w:cs="楷体_GB2312"/>
          <w:b/>
          <w:bCs/>
          <w:color w:val="000000" w:themeColor="text1"/>
        </w:rPr>
        <w:t>】</w:t>
      </w:r>
      <w:r>
        <w:rPr>
          <w:rFonts w:ascii="楷体_GB2312" w:eastAsia="楷体_GB2312" w:hAnsi="Arial" w:cs="楷体_GB2312" w:hint="eastAsia"/>
          <w:color w:val="000000" w:themeColor="text1"/>
        </w:rPr>
        <w:t>，产品代码为【</w:t>
      </w:r>
      <w:r>
        <w:rPr>
          <w:rFonts w:ascii="楷体_GB2312" w:eastAsia="楷体_GB2312" w:hAnsi="Arial" w:cs="楷体_GB2312"/>
          <w:color w:val="000000" w:themeColor="text1"/>
        </w:rPr>
        <w:t>AM244095</w:t>
      </w:r>
      <w:r>
        <w:rPr>
          <w:rFonts w:ascii="楷体_GB2312" w:eastAsia="楷体_GB2312" w:hAnsi="Arial" w:cs="楷体_GB2312" w:hint="eastAsia"/>
          <w:color w:val="000000" w:themeColor="text1"/>
        </w:rPr>
        <w:t>】，类型为公募、固定收益类、开放式产品，产品无固定期限，风险评级为【</w:t>
      </w:r>
      <w:r>
        <w:rPr>
          <w:rFonts w:ascii="楷体_GB2312" w:eastAsia="楷体_GB2312" w:hAnsi="Arial" w:cs="楷体_GB2312"/>
          <w:color w:val="000000" w:themeColor="text1"/>
        </w:rPr>
        <w:t>PR1</w:t>
      </w:r>
      <w:r>
        <w:rPr>
          <w:rFonts w:ascii="楷体_GB2312" w:eastAsia="楷体_GB2312" w:hAnsi="Arial" w:cs="楷体_GB2312" w:hint="eastAsia"/>
          <w:color w:val="000000" w:themeColor="text1"/>
        </w:rPr>
        <w:t>】，适合购买客户为风险承受能力为【谨慎型】及以上的客户。</w:t>
      </w:r>
      <w:r>
        <w:rPr>
          <w:rFonts w:ascii="楷体_GB2312" w:eastAsia="楷体_GB2312" w:hAnsi="Arial" w:hint="eastAsia"/>
          <w:color w:val="000000" w:themeColor="text1"/>
        </w:rPr>
        <w:t>固定收益类产品仅是按照投资性质分类，并非</w:t>
      </w:r>
      <w:proofErr w:type="gramStart"/>
      <w:r>
        <w:rPr>
          <w:rFonts w:ascii="楷体_GB2312" w:eastAsia="楷体_GB2312" w:hAnsi="Arial" w:hint="eastAsia"/>
          <w:color w:val="000000" w:themeColor="text1"/>
        </w:rPr>
        <w:t>指收益</w:t>
      </w:r>
      <w:proofErr w:type="gramEnd"/>
      <w:r>
        <w:rPr>
          <w:rFonts w:ascii="楷体_GB2312" w:eastAsia="楷体_GB2312" w:hAnsi="Arial" w:hint="eastAsia"/>
          <w:color w:val="000000" w:themeColor="text1"/>
        </w:rPr>
        <w:t>固定或保本。</w:t>
      </w:r>
    </w:p>
    <w:p w14:paraId="57240339" w14:textId="77777777" w:rsidR="00A47A16" w:rsidRDefault="00E74674">
      <w:pPr>
        <w:ind w:firstLineChars="200" w:firstLine="480"/>
        <w:jc w:val="both"/>
        <w:rPr>
          <w:rFonts w:ascii="楷体_GB2312" w:eastAsia="楷体_GB2312" w:hAnsi="Arial"/>
          <w:color w:val="000000" w:themeColor="text1"/>
        </w:rPr>
      </w:pPr>
      <w:r>
        <w:rPr>
          <w:rFonts w:ascii="黑体" w:eastAsia="黑体" w:hAnsi="Times New Roman" w:cs="黑体" w:hint="eastAsia"/>
          <w:color w:val="000000" w:themeColor="text1"/>
        </w:rPr>
        <w:t>重要提示</w:t>
      </w:r>
      <w:r>
        <w:rPr>
          <w:rFonts w:ascii="楷体_GB2312" w:eastAsia="楷体_GB2312" w:hAnsi="Arial" w:cs="楷体_GB2312" w:hint="eastAsia"/>
          <w:color w:val="000000" w:themeColor="text1"/>
        </w:rPr>
        <w:t>：</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作为本理财产品管理人承诺以诚实守信、勤勉尽职的原则管理和运用理财产品资金，但</w:t>
      </w:r>
      <w:r>
        <w:rPr>
          <w:rFonts w:ascii="楷体_GB2312" w:eastAsia="楷体_GB2312" w:hAnsi="Arial" w:cs="楷体_GB2312" w:hint="eastAsia"/>
          <w:b/>
          <w:color w:val="000000" w:themeColor="text1"/>
        </w:rPr>
        <w:t>不保证本金和收益，您可能因市场变动而损失全部本金且无法取得任何收益</w:t>
      </w:r>
      <w:r>
        <w:rPr>
          <w:rFonts w:ascii="楷体_GB2312" w:eastAsia="楷体_GB2312" w:hAnsi="Arial" w:cs="楷体_GB2312" w:hint="eastAsia"/>
          <w:color w:val="000000" w:themeColor="text1"/>
        </w:rPr>
        <w:t>。</w:t>
      </w:r>
      <w:r>
        <w:rPr>
          <w:rFonts w:ascii="楷体" w:eastAsia="楷体" w:hAnsi="楷体" w:hint="eastAsia"/>
          <w:b/>
        </w:rPr>
        <w:t>理财产品过往业绩不代表其未来表现，不等于理财产品实际收益，投资须谨慎。</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提醒您理财产品投资风险由买者自负，您应充分认识投资风险，谨慎投资！</w:t>
      </w:r>
      <w:r>
        <w:rPr>
          <w:rFonts w:ascii="楷体_GB2312" w:eastAsia="楷体_GB2312" w:hAnsi="Arial"/>
          <w:color w:val="000000" w:themeColor="text1"/>
        </w:rPr>
        <w:t> </w:t>
      </w:r>
    </w:p>
    <w:p w14:paraId="1B9C8DE8" w14:textId="77777777" w:rsidR="00A47A16" w:rsidRDefault="00A47A16">
      <w:pPr>
        <w:ind w:firstLineChars="200" w:firstLine="480"/>
        <w:jc w:val="both"/>
        <w:rPr>
          <w:rFonts w:ascii="楷体_GB2312" w:eastAsia="楷体_GB2312" w:hAnsi="Arial"/>
          <w:color w:val="000000" w:themeColor="text1"/>
        </w:rPr>
      </w:pPr>
    </w:p>
    <w:p w14:paraId="5FFCBBD8" w14:textId="77777777" w:rsidR="00A47A16" w:rsidRDefault="00E74674">
      <w:pPr>
        <w:ind w:firstLineChars="200" w:firstLine="482"/>
        <w:jc w:val="both"/>
        <w:rPr>
          <w:rFonts w:ascii="楷体_GB2312" w:eastAsia="楷体_GB2312" w:hAnsi="楷体_GB2312" w:cs="楷体_GB2312"/>
          <w:b/>
          <w:bCs/>
          <w:color w:val="000000" w:themeColor="text1"/>
        </w:rPr>
      </w:pPr>
      <w:r>
        <w:rPr>
          <w:rFonts w:ascii="楷体_GB2312" w:eastAsia="楷体_GB2312" w:hAnsi="楷体_GB2312" w:cs="楷体_GB2312" w:hint="eastAsia"/>
          <w:b/>
          <w:bCs/>
          <w:color w:val="000000" w:themeColor="text1"/>
        </w:rPr>
        <w:t>【示例】：若投资者购买本理财产品，假设理财产品本金为</w:t>
      </w:r>
      <w:r>
        <w:rPr>
          <w:rFonts w:ascii="楷体_GB2312" w:eastAsia="楷体_GB2312" w:hAnsi="楷体_GB2312" w:cs="楷体_GB2312"/>
          <w:b/>
          <w:bCs/>
          <w:color w:val="000000" w:themeColor="text1"/>
        </w:rPr>
        <w:t>1.00亿元，在最不利情况下，理财本金及收益全部损失。</w:t>
      </w:r>
    </w:p>
    <w:p w14:paraId="7DBF4101" w14:textId="77777777" w:rsidR="00A47A16" w:rsidRDefault="00A47A16">
      <w:pPr>
        <w:ind w:firstLineChars="200" w:firstLine="482"/>
        <w:jc w:val="both"/>
        <w:rPr>
          <w:rFonts w:ascii="楷体_GB2312" w:eastAsia="楷体_GB2312" w:hAnsi="楷体_GB2312" w:cs="楷体_GB2312"/>
          <w:b/>
          <w:bCs/>
          <w:color w:val="000000" w:themeColor="text1"/>
        </w:rPr>
      </w:pPr>
    </w:p>
    <w:p w14:paraId="2D2DC704" w14:textId="77777777" w:rsidR="00A47A16" w:rsidRDefault="00E74674">
      <w:pPr>
        <w:ind w:firstLineChars="200" w:firstLine="482"/>
        <w:jc w:val="both"/>
        <w:rPr>
          <w:rFonts w:ascii="黑体" w:eastAsia="黑体" w:hAnsi="黑体"/>
          <w:b/>
          <w:color w:val="000000" w:themeColor="text1"/>
        </w:rPr>
      </w:pPr>
      <w:r>
        <w:rPr>
          <w:rFonts w:ascii="黑体" w:eastAsia="黑体" w:hAnsi="黑体" w:hint="eastAsia"/>
          <w:b/>
          <w:color w:val="000000" w:themeColor="text1"/>
        </w:rPr>
        <w:t>理财非存款</w:t>
      </w:r>
      <w:r>
        <w:rPr>
          <w:rFonts w:ascii="黑体" w:eastAsia="黑体" w:hAnsi="黑体"/>
          <w:b/>
          <w:color w:val="000000" w:themeColor="text1"/>
        </w:rPr>
        <w:t>、产品</w:t>
      </w:r>
      <w:r>
        <w:rPr>
          <w:rFonts w:ascii="黑体" w:eastAsia="黑体" w:hAnsi="黑体" w:hint="eastAsia"/>
          <w:b/>
          <w:color w:val="000000" w:themeColor="text1"/>
        </w:rPr>
        <w:t>有</w:t>
      </w:r>
      <w:r>
        <w:rPr>
          <w:rFonts w:ascii="黑体" w:eastAsia="黑体" w:hAnsi="黑体"/>
          <w:b/>
          <w:color w:val="000000" w:themeColor="text1"/>
        </w:rPr>
        <w:t>风险、投资须谨慎</w:t>
      </w:r>
      <w:r>
        <w:rPr>
          <w:rFonts w:ascii="黑体" w:eastAsia="黑体" w:hAnsi="黑体" w:hint="eastAsia"/>
          <w:b/>
          <w:color w:val="000000" w:themeColor="text1"/>
        </w:rPr>
        <w:t>！</w:t>
      </w:r>
    </w:p>
    <w:p w14:paraId="50389D79" w14:textId="77777777" w:rsidR="00A47A16" w:rsidRDefault="00A47A16">
      <w:pPr>
        <w:ind w:firstLineChars="200" w:firstLine="482"/>
        <w:jc w:val="both"/>
        <w:rPr>
          <w:rFonts w:ascii="黑体" w:eastAsia="黑体" w:hAnsi="黑体"/>
          <w:b/>
          <w:color w:val="000000" w:themeColor="text1"/>
        </w:rPr>
      </w:pPr>
    </w:p>
    <w:p w14:paraId="26FE0D91" w14:textId="77777777" w:rsidR="00A47A16" w:rsidRDefault="00E74674">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如影响</w:t>
      </w:r>
      <w:proofErr w:type="gramStart"/>
      <w:r>
        <w:rPr>
          <w:rFonts w:ascii="楷体_GB2312" w:eastAsia="楷体_GB2312" w:hAnsi="Arial" w:cs="楷体_GB2312" w:hint="eastAsia"/>
          <w:color w:val="000000" w:themeColor="text1"/>
        </w:rPr>
        <w:t>您风险</w:t>
      </w:r>
      <w:proofErr w:type="gramEnd"/>
      <w:r>
        <w:rPr>
          <w:rFonts w:ascii="楷体_GB2312" w:eastAsia="楷体_GB2312" w:hAnsi="Arial" w:cs="楷体_GB2312" w:hint="eastAsia"/>
          <w:color w:val="000000" w:themeColor="text1"/>
        </w:rPr>
        <w:t>承受能力的因素发生变化，请及时</w:t>
      </w:r>
      <w:proofErr w:type="gramStart"/>
      <w:r>
        <w:rPr>
          <w:rFonts w:ascii="楷体_GB2312" w:eastAsia="楷体_GB2312" w:hAnsi="Arial" w:cs="楷体_GB2312" w:hint="eastAsia"/>
          <w:color w:val="000000" w:themeColor="text1"/>
        </w:rPr>
        <w:t>告知信银</w:t>
      </w:r>
      <w:proofErr w:type="gramEnd"/>
      <w:r>
        <w:rPr>
          <w:rFonts w:ascii="楷体_GB2312" w:eastAsia="楷体_GB2312" w:hAnsi="Arial" w:cs="楷体_GB2312" w:hint="eastAsia"/>
          <w:color w:val="000000" w:themeColor="text1"/>
        </w:rPr>
        <w:t>理财或代销机构并重新进行风险承受能力评估。</w:t>
      </w:r>
      <w:r>
        <w:rPr>
          <w:rFonts w:ascii="楷体_GB2312" w:eastAsia="楷体_GB2312" w:hAnsi="Arial" w:cs="楷体_GB2312"/>
          <w:color w:val="000000" w:themeColor="text1"/>
        </w:rPr>
        <w:t xml:space="preserve"> </w:t>
      </w:r>
    </w:p>
    <w:p w14:paraId="7B5B28A6" w14:textId="77777777" w:rsidR="00A47A16" w:rsidRDefault="00E74674">
      <w:pPr>
        <w:jc w:val="right"/>
        <w:rPr>
          <w:rFonts w:ascii="楷体_GB2312" w:eastAsia="楷体_GB2312"/>
          <w:color w:val="000000" w:themeColor="text1"/>
        </w:rPr>
      </w:pPr>
      <w:r>
        <w:rPr>
          <w:rFonts w:ascii="楷体_GB2312" w:eastAsia="楷体_GB2312" w:hAnsi="Arial" w:cs="楷体_GB2312" w:hint="eastAsia"/>
          <w:color w:val="000000" w:themeColor="text1"/>
        </w:rPr>
        <w:t>风险揭示方：</w:t>
      </w:r>
      <w:r>
        <w:rPr>
          <w:rFonts w:ascii="楷体_GB2312" w:eastAsia="楷体_GB2312" w:hAnsi="Arial" w:cs="楷体_GB2312"/>
          <w:color w:val="000000" w:themeColor="text1"/>
        </w:rPr>
        <w:t xml:space="preserve"> </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有限责任公司</w:t>
      </w:r>
    </w:p>
    <w:p w14:paraId="73335240" w14:textId="77777777" w:rsidR="00A47A16" w:rsidRDefault="00A47A16">
      <w:pPr>
        <w:jc w:val="right"/>
        <w:rPr>
          <w:rFonts w:ascii="楷体_GB2312" w:eastAsia="楷体_GB2312"/>
          <w:color w:val="000000" w:themeColor="text1"/>
        </w:rPr>
      </w:pPr>
    </w:p>
    <w:p w14:paraId="12E75B76" w14:textId="77777777" w:rsidR="00A47A16" w:rsidRDefault="00A47A16">
      <w:pPr>
        <w:jc w:val="center"/>
        <w:rPr>
          <w:rFonts w:ascii="楷体_GB2312" w:eastAsia="楷体_GB2312" w:hAnsi="Arial" w:cs="楷体_GB2312"/>
          <w:b/>
          <w:bCs/>
          <w:color w:val="000000" w:themeColor="text1"/>
          <w:u w:val="single"/>
        </w:rPr>
      </w:pPr>
    </w:p>
    <w:p w14:paraId="1F4F47D8" w14:textId="77777777" w:rsidR="00A47A16" w:rsidRDefault="00A47A16">
      <w:pPr>
        <w:snapToGrid w:val="0"/>
        <w:ind w:right="440"/>
        <w:rPr>
          <w:rFonts w:ascii="黑体" w:eastAsia="黑体" w:hAnsi="Times New Roman" w:cs="Arial"/>
          <w:color w:val="000000" w:themeColor="text1"/>
        </w:rPr>
      </w:pPr>
    </w:p>
    <w:p w14:paraId="50AC7B3C" w14:textId="77777777" w:rsidR="00A47A16" w:rsidRDefault="00A47A16">
      <w:pPr>
        <w:jc w:val="center"/>
        <w:rPr>
          <w:rFonts w:ascii="楷体_GB2312" w:eastAsia="楷体_GB2312" w:hAnsi="Arial" w:cs="楷体_GB2312"/>
          <w:b/>
          <w:bCs/>
          <w:color w:val="000000" w:themeColor="text1"/>
          <w:u w:val="single"/>
        </w:rPr>
      </w:pPr>
    </w:p>
    <w:p w14:paraId="04007D93" w14:textId="77777777" w:rsidR="00A47A16" w:rsidRDefault="00A47A16">
      <w:pPr>
        <w:jc w:val="center"/>
        <w:rPr>
          <w:rFonts w:ascii="楷体_GB2312" w:eastAsia="楷体_GB2312" w:hAnsi="Arial" w:cs="楷体_GB2312"/>
          <w:b/>
          <w:bCs/>
          <w:color w:val="000000" w:themeColor="text1"/>
          <w:u w:val="single"/>
        </w:rPr>
      </w:pPr>
    </w:p>
    <w:p w14:paraId="21DE1C8A" w14:textId="77777777" w:rsidR="00A47A16" w:rsidRDefault="00E74674">
      <w:pPr>
        <w:jc w:val="center"/>
        <w:rPr>
          <w:rFonts w:ascii="楷体_GB2312" w:eastAsia="楷体_GB2312"/>
          <w:color w:val="000000" w:themeColor="text1"/>
        </w:rPr>
      </w:pPr>
      <w:r>
        <w:rPr>
          <w:rFonts w:ascii="楷体_GB2312" w:eastAsia="楷体_GB2312" w:hAnsi="Arial" w:cs="楷体_GB2312" w:hint="eastAsia"/>
          <w:b/>
          <w:bCs/>
          <w:color w:val="000000" w:themeColor="text1"/>
          <w:u w:val="single"/>
        </w:rPr>
        <w:t>客</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户</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确</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认</w:t>
      </w:r>
      <w:r>
        <w:rPr>
          <w:rFonts w:ascii="楷体_GB2312" w:eastAsia="楷体_GB2312" w:hAnsi="Arial" w:cs="楷体_GB2312"/>
          <w:b/>
          <w:bCs/>
          <w:color w:val="000000" w:themeColor="text1"/>
          <w:u w:val="single"/>
        </w:rPr>
        <w:t xml:space="preserve"> </w:t>
      </w:r>
      <w:r>
        <w:rPr>
          <w:rFonts w:ascii="楷体_GB2312" w:eastAsia="楷体_GB2312" w:hAnsi="Arial" w:cs="楷体_GB2312" w:hint="eastAsia"/>
          <w:b/>
          <w:bCs/>
          <w:color w:val="000000" w:themeColor="text1"/>
          <w:u w:val="single"/>
        </w:rPr>
        <w:t>栏</w:t>
      </w:r>
    </w:p>
    <w:p w14:paraId="60F98D15" w14:textId="77777777" w:rsidR="00A47A16" w:rsidRDefault="00E74674">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本人/本单位确认，本人/本单位购买该理财产品为本人/本单位真实的意思表示</w:t>
      </w:r>
      <w:r>
        <w:rPr>
          <w:rFonts w:ascii="楷体_GB2312" w:eastAsia="楷体_GB2312" w:hAnsi="Arial" w:cs="楷体_GB2312"/>
          <w:color w:val="000000" w:themeColor="text1"/>
        </w:rPr>
        <w:t>,</w:t>
      </w:r>
      <w:r>
        <w:rPr>
          <w:rFonts w:ascii="楷体_GB2312" w:eastAsia="楷体_GB2312" w:hAnsi="Arial" w:cs="楷体_GB2312" w:hint="eastAsia"/>
          <w:color w:val="000000" w:themeColor="text1"/>
        </w:rPr>
        <w:t>并认为该理财产品完全适合本人/本单位的投资目标、投资预期以及风险承受能力，本人/本单位自愿承担由此带来的一切后果。本人/本单位</w:t>
      </w:r>
      <w:proofErr w:type="gramStart"/>
      <w:r>
        <w:rPr>
          <w:rFonts w:ascii="楷体_GB2312" w:eastAsia="楷体_GB2312" w:hAnsi="Arial" w:cs="楷体_GB2312" w:hint="eastAsia"/>
          <w:color w:val="000000" w:themeColor="text1"/>
        </w:rPr>
        <w:t>确认信银</w:t>
      </w:r>
      <w:proofErr w:type="gramEnd"/>
      <w:r>
        <w:rPr>
          <w:rFonts w:ascii="楷体_GB2312" w:eastAsia="楷体_GB2312" w:hAnsi="Arial" w:cs="楷体_GB2312" w:hint="eastAsia"/>
          <w:color w:val="000000" w:themeColor="text1"/>
        </w:rPr>
        <w:t>理财/代销机构相关业务人员对于理财产品销售文件中限制或排除本人/本单位权利、增加或加重本人/本单位义务或责任以及有关免除或减轻信银理财责任</w:t>
      </w:r>
      <w:proofErr w:type="gramStart"/>
      <w:r>
        <w:rPr>
          <w:rFonts w:ascii="楷体_GB2312" w:eastAsia="楷体_GB2312" w:hAnsi="Arial" w:cs="楷体_GB2312" w:hint="eastAsia"/>
          <w:color w:val="000000" w:themeColor="text1"/>
        </w:rPr>
        <w:t>或信银理财</w:t>
      </w:r>
      <w:proofErr w:type="gramEnd"/>
      <w:r>
        <w:rPr>
          <w:rFonts w:ascii="楷体_GB2312" w:eastAsia="楷体_GB2312" w:hAnsi="Arial" w:cs="楷体_GB2312" w:hint="eastAsia"/>
          <w:color w:val="000000" w:themeColor="text1"/>
        </w:rPr>
        <w:t>单方面拥有某些权利的条款已向本人/本单位予以说明，本人/本单位已完全理解并自愿接受。</w:t>
      </w:r>
      <w:r>
        <w:rPr>
          <w:rFonts w:ascii="楷体_GB2312" w:eastAsia="楷体_GB2312" w:hAnsi="Arial" w:cs="楷体_GB2312"/>
          <w:color w:val="000000" w:themeColor="text1"/>
        </w:rPr>
        <w:t xml:space="preserve"> </w:t>
      </w:r>
    </w:p>
    <w:p w14:paraId="6952FD7D" w14:textId="77777777" w:rsidR="00A47A16" w:rsidRDefault="00E74674">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lastRenderedPageBreak/>
        <w:t>本人/本单位确认，将向本理财产品销售机构真实提供信息，自主</w:t>
      </w:r>
      <w:proofErr w:type="gramStart"/>
      <w:r>
        <w:rPr>
          <w:rFonts w:ascii="楷体_GB2312" w:eastAsia="楷体_GB2312" w:hAnsi="Arial" w:cs="楷体_GB2312" w:hint="eastAsia"/>
          <w:b/>
          <w:bCs/>
          <w:color w:val="000000" w:themeColor="text1"/>
        </w:rPr>
        <w:t>作出</w:t>
      </w:r>
      <w:proofErr w:type="gramEnd"/>
      <w:r>
        <w:rPr>
          <w:rFonts w:ascii="楷体_GB2312" w:eastAsia="楷体_GB2312" w:hAnsi="Arial" w:cs="楷体_GB2312" w:hint="eastAsia"/>
          <w:b/>
          <w:bCs/>
          <w:color w:val="000000" w:themeColor="text1"/>
        </w:rPr>
        <w:t>认（申）购/赎回等决定，独立对销售文件进行签字/盖章确认，自主承担投资风险。本人/本单位拒绝向销售机构提供或者未按照要求提供信息的，销售机构有权告知本人/本单位相应的后果和责任，并有权拒绝向本人/本单位提供销售服务。</w:t>
      </w:r>
    </w:p>
    <w:p w14:paraId="60A64C3F" w14:textId="77777777" w:rsidR="00A47A16" w:rsidRDefault="00E74674">
      <w:pPr>
        <w:pStyle w:val="ab"/>
        <w:ind w:firstLineChars="0" w:firstLine="480"/>
        <w:jc w:val="both"/>
        <w:rPr>
          <w:rFonts w:ascii="楷体_GB2312" w:eastAsia="楷体_GB2312"/>
          <w:color w:val="000000" w:themeColor="text1"/>
        </w:rPr>
      </w:pPr>
      <w:r>
        <w:rPr>
          <w:rFonts w:ascii="楷体_GB2312" w:eastAsia="楷体_GB2312" w:hint="eastAsia"/>
          <w:color w:val="000000" w:themeColor="text1"/>
        </w:rPr>
        <w:t>本人</w:t>
      </w:r>
      <w:r>
        <w:rPr>
          <w:rFonts w:ascii="楷体_GB2312" w:eastAsia="楷体_GB2312" w:hAnsi="Arial" w:cs="楷体_GB2312" w:hint="eastAsia"/>
          <w:color w:val="000000" w:themeColor="text1"/>
        </w:rPr>
        <w:t>/本单位</w:t>
      </w:r>
      <w:r>
        <w:rPr>
          <w:rFonts w:ascii="楷体_GB2312" w:eastAsia="楷体_GB2312" w:hint="eastAsia"/>
          <w:color w:val="000000" w:themeColor="text1"/>
        </w:rPr>
        <w:t>确认</w:t>
      </w:r>
      <w:r>
        <w:rPr>
          <w:rFonts w:ascii="楷体_GB2312" w:eastAsia="楷体_GB2312"/>
          <w:color w:val="000000" w:themeColor="text1"/>
        </w:rPr>
        <w:t>，</w:t>
      </w:r>
      <w:r>
        <w:rPr>
          <w:rFonts w:ascii="楷体_GB2312" w:eastAsia="楷体_GB2312" w:hint="eastAsia"/>
          <w:color w:val="000000" w:themeColor="text1"/>
        </w:rPr>
        <w:t>投资</w:t>
      </w:r>
      <w:r>
        <w:rPr>
          <w:rFonts w:ascii="楷体_GB2312" w:eastAsia="楷体_GB2312"/>
          <w:color w:val="000000" w:themeColor="text1"/>
        </w:rPr>
        <w:t>本理财产品的</w:t>
      </w:r>
      <w:r>
        <w:rPr>
          <w:rFonts w:ascii="楷体_GB2312" w:eastAsia="楷体_GB2312" w:hint="eastAsia"/>
          <w:color w:val="000000" w:themeColor="text1"/>
        </w:rPr>
        <w:t>资金非贷款</w:t>
      </w:r>
      <w:r>
        <w:rPr>
          <w:rFonts w:ascii="楷体_GB2312" w:eastAsia="楷体_GB2312"/>
          <w:color w:val="000000" w:themeColor="text1"/>
        </w:rPr>
        <w:t>、发行债券等募集的非自有资金。</w:t>
      </w:r>
    </w:p>
    <w:p w14:paraId="66C8031F" w14:textId="77777777" w:rsidR="00A47A16" w:rsidRDefault="00E74674">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本人/本单位确认已阅知客户权益须知，完全清楚理财产品购买流程、风险评估、产品评级含义、信息披露方式及渠道、</w:t>
      </w:r>
      <w:proofErr w:type="gramStart"/>
      <w:r>
        <w:rPr>
          <w:rFonts w:ascii="楷体_GB2312" w:eastAsia="楷体_GB2312" w:hAnsi="Arial" w:cs="楷体_GB2312" w:hint="eastAsia"/>
          <w:color w:val="000000" w:themeColor="text1"/>
        </w:rPr>
        <w:t>信银理财</w:t>
      </w:r>
      <w:proofErr w:type="gramEnd"/>
      <w:r>
        <w:rPr>
          <w:rFonts w:ascii="楷体_GB2312" w:eastAsia="楷体_GB2312" w:hAnsi="Arial" w:cs="楷体_GB2312" w:hint="eastAsia"/>
          <w:color w:val="000000" w:themeColor="text1"/>
        </w:rPr>
        <w:t>及代销机构联系方式及投诉程序等内容。</w:t>
      </w:r>
    </w:p>
    <w:p w14:paraId="150D3449" w14:textId="77777777" w:rsidR="00A47A16" w:rsidRDefault="00A47A16">
      <w:pPr>
        <w:ind w:firstLineChars="200" w:firstLine="480"/>
        <w:jc w:val="both"/>
        <w:rPr>
          <w:color w:val="000000" w:themeColor="text1"/>
        </w:rPr>
      </w:pPr>
    </w:p>
    <w:p w14:paraId="222CAE3B" w14:textId="77777777" w:rsidR="00A47A16" w:rsidRDefault="00E74674">
      <w:pPr>
        <w:ind w:firstLineChars="200" w:firstLine="480"/>
        <w:jc w:val="both"/>
        <w:rPr>
          <w:rFonts w:ascii="楷体_GB2312" w:eastAsia="楷体_GB2312" w:hAnsi="Arial" w:cs="楷体_GB2312"/>
          <w:color w:val="000000" w:themeColor="text1"/>
        </w:rPr>
      </w:pPr>
      <w:r>
        <w:rPr>
          <w:rFonts w:ascii="楷体_GB2312" w:eastAsia="楷体_GB2312" w:hAnsi="Arial" w:cs="楷体_GB2312" w:hint="eastAsia"/>
          <w:color w:val="000000" w:themeColor="text1"/>
        </w:rPr>
        <w:t>本人/本单位确认如下：</w:t>
      </w:r>
      <w:r>
        <w:rPr>
          <w:rFonts w:ascii="楷体_GB2312" w:eastAsia="楷体_GB2312" w:hAnsi="Arial" w:cs="楷体_GB2312"/>
          <w:color w:val="000000" w:themeColor="text1"/>
        </w:rPr>
        <w:t xml:space="preserve"> </w:t>
      </w:r>
    </w:p>
    <w:p w14:paraId="0664AE8A" w14:textId="77777777" w:rsidR="00A47A16" w:rsidRDefault="00A47A16">
      <w:pPr>
        <w:jc w:val="both"/>
        <w:rPr>
          <w:rFonts w:ascii="楷体_GB2312" w:eastAsia="楷体_GB2312" w:hAnsi="Arial" w:cs="楷体_GB2312"/>
          <w:color w:val="000000" w:themeColor="text1"/>
        </w:rPr>
      </w:pPr>
    </w:p>
    <w:p w14:paraId="05C20C51" w14:textId="77777777" w:rsidR="00A47A16" w:rsidRDefault="00E74674">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本理财产品可能</w:t>
      </w:r>
      <w:proofErr w:type="gramStart"/>
      <w:r>
        <w:rPr>
          <w:rFonts w:ascii="楷体_GB2312" w:eastAsia="楷体_GB2312" w:hAnsi="Arial" w:cs="楷体_GB2312" w:hint="eastAsia"/>
          <w:b/>
          <w:bCs/>
          <w:color w:val="000000" w:themeColor="text1"/>
        </w:rPr>
        <w:t>委托信银</w:t>
      </w:r>
      <w:proofErr w:type="gramEnd"/>
      <w:r>
        <w:rPr>
          <w:rFonts w:ascii="楷体_GB2312" w:eastAsia="楷体_GB2312" w:hAnsi="Arial" w:cs="楷体_GB2312" w:hint="eastAsia"/>
          <w:b/>
          <w:bCs/>
          <w:color w:val="000000" w:themeColor="text1"/>
        </w:rPr>
        <w:t>理财的关联方【中信银行股份有限公司、中信百信银行股份有限公司】销售，【中信银行股份有限公司】</w:t>
      </w:r>
      <w:proofErr w:type="gramStart"/>
      <w:r>
        <w:rPr>
          <w:rFonts w:ascii="楷体_GB2312" w:eastAsia="楷体_GB2312" w:hAnsi="Arial" w:cs="楷体_GB2312" w:hint="eastAsia"/>
          <w:b/>
          <w:bCs/>
          <w:color w:val="000000" w:themeColor="text1"/>
        </w:rPr>
        <w:t>系信银</w:t>
      </w:r>
      <w:proofErr w:type="gramEnd"/>
      <w:r>
        <w:rPr>
          <w:rFonts w:ascii="楷体_GB2312" w:eastAsia="楷体_GB2312" w:hAnsi="Arial" w:cs="楷体_GB2312" w:hint="eastAsia"/>
          <w:b/>
          <w:bCs/>
          <w:color w:val="000000" w:themeColor="text1"/>
        </w:rPr>
        <w:t>理财的【唯一股东】，【中信百信银行股份有限公司】系中信银行股份有限公司控股子公司，</w:t>
      </w:r>
      <w:proofErr w:type="gramStart"/>
      <w:r>
        <w:rPr>
          <w:rFonts w:ascii="楷体_GB2312" w:eastAsia="楷体_GB2312" w:hAnsi="Arial" w:cs="楷体_GB2312" w:hint="eastAsia"/>
          <w:b/>
          <w:bCs/>
          <w:color w:val="000000" w:themeColor="text1"/>
        </w:rPr>
        <w:t>与信银理财</w:t>
      </w:r>
      <w:proofErr w:type="gramEnd"/>
      <w:r>
        <w:rPr>
          <w:rFonts w:ascii="楷体_GB2312" w:eastAsia="楷体_GB2312" w:hAnsi="Arial" w:cs="楷体_GB2312" w:hint="eastAsia"/>
          <w:b/>
          <w:bCs/>
          <w:color w:val="000000" w:themeColor="text1"/>
        </w:rPr>
        <w:t>具有关联关系。</w:t>
      </w:r>
      <w:proofErr w:type="gramStart"/>
      <w:r>
        <w:rPr>
          <w:rFonts w:ascii="楷体_GB2312" w:eastAsia="楷体_GB2312" w:hAnsi="Arial" w:cs="楷体_GB2312" w:hint="eastAsia"/>
          <w:b/>
          <w:bCs/>
          <w:color w:val="000000" w:themeColor="text1"/>
        </w:rPr>
        <w:t>信银理财</w:t>
      </w:r>
      <w:proofErr w:type="gramEnd"/>
      <w:r>
        <w:rPr>
          <w:rFonts w:ascii="楷体_GB2312" w:eastAsia="楷体_GB2312" w:hAnsi="Arial" w:cs="楷体_GB2312" w:hint="eastAsia"/>
          <w:b/>
          <w:bCs/>
          <w:color w:val="000000" w:themeColor="text1"/>
        </w:rPr>
        <w:t>委托【中信银行股份有限公司、中信百信银行股份有限公司】销售本理财产品的，存在关联交易风险，请投资者仔细阅读</w:t>
      </w:r>
      <w:r>
        <w:rPr>
          <w:rFonts w:ascii="楷体_GB2312" w:eastAsia="楷体_GB2312" w:hAnsi="Arial" w:cs="楷体_GB2312" w:hint="eastAsia"/>
          <w:b/>
          <w:color w:val="000000" w:themeColor="text1"/>
        </w:rPr>
        <w:t>理财产品说明书中相应风险揭示部分</w:t>
      </w:r>
      <w:r>
        <w:rPr>
          <w:rFonts w:ascii="楷体_GB2312" w:eastAsia="楷体_GB2312" w:hAnsi="Arial" w:cs="楷体_GB2312" w:hint="eastAsia"/>
          <w:b/>
          <w:bCs/>
          <w:color w:val="000000" w:themeColor="text1"/>
        </w:rPr>
        <w:t>。</w:t>
      </w:r>
    </w:p>
    <w:p w14:paraId="16BFA6C0" w14:textId="77777777" w:rsidR="00A47A16" w:rsidRDefault="00E74674">
      <w:pPr>
        <w:ind w:firstLineChars="200" w:firstLine="482"/>
        <w:jc w:val="both"/>
        <w:rPr>
          <w:rFonts w:ascii="楷体_GB2312" w:eastAsia="楷体_GB2312" w:hAnsi="Arial" w:cs="楷体_GB2312"/>
          <w:b/>
          <w:bCs/>
          <w:color w:val="000000" w:themeColor="text1"/>
        </w:rPr>
      </w:pPr>
      <w:r>
        <w:rPr>
          <w:rFonts w:ascii="楷体_GB2312" w:eastAsia="楷体_GB2312" w:hAnsi="Arial" w:cs="楷体_GB2312" w:hint="eastAsia"/>
          <w:b/>
          <w:bCs/>
          <w:color w:val="000000" w:themeColor="text1"/>
        </w:rPr>
        <w:t>本人/本单位确认，已知悉上述关联交易，愿意承担相应投资风险。</w:t>
      </w:r>
    </w:p>
    <w:p w14:paraId="3D6D8A06" w14:textId="77777777" w:rsidR="00A47A16" w:rsidRDefault="00A47A16">
      <w:pPr>
        <w:ind w:firstLineChars="200" w:firstLine="480"/>
        <w:jc w:val="both"/>
        <w:rPr>
          <w:rFonts w:ascii="楷体_GB2312" w:eastAsia="楷体_GB2312"/>
          <w:color w:val="000000" w:themeColor="text1"/>
        </w:rPr>
      </w:pPr>
    </w:p>
    <w:p w14:paraId="2724CB7A" w14:textId="77777777" w:rsidR="00A47A16" w:rsidRDefault="00E74674">
      <w:pPr>
        <w:ind w:firstLineChars="200" w:firstLine="480"/>
        <w:jc w:val="both"/>
        <w:rPr>
          <w:rFonts w:ascii="楷体_GB2312" w:eastAsia="楷体_GB2312"/>
          <w:color w:val="000000" w:themeColor="text1"/>
        </w:rPr>
      </w:pPr>
      <w:r>
        <w:rPr>
          <w:rFonts w:ascii="楷体_GB2312" w:eastAsia="楷体_GB2312" w:hAnsi="Arial" w:cs="楷体_GB2312" w:hint="eastAsia"/>
          <w:color w:val="000000" w:themeColor="text1"/>
        </w:rPr>
        <w:t>本人/本单位风险承受能力评级为（由个人客户本人/机构客户授权经办人填写）：</w:t>
      </w:r>
      <w:r>
        <w:rPr>
          <w:rFonts w:ascii="楷体_GB2312" w:eastAsia="楷体_GB2312" w:hAnsi="Arial"/>
          <w:color w:val="000000" w:themeColor="text1"/>
        </w:rPr>
        <w:t> </w:t>
      </w:r>
      <w:r>
        <w:rPr>
          <w:rFonts w:ascii="Arial" w:hAnsi="Arial" w:cs="Arial"/>
          <w:color w:val="000000" w:themeColor="text1"/>
          <w:sz w:val="18"/>
          <w:szCs w:val="18"/>
        </w:rPr>
        <w:t> </w:t>
      </w:r>
    </w:p>
    <w:p w14:paraId="499ECA15" w14:textId="77777777" w:rsidR="00A47A16" w:rsidRDefault="00E74674">
      <w:pPr>
        <w:snapToGrid w:val="0"/>
        <w:jc w:val="both"/>
        <w:rPr>
          <w:rFonts w:ascii="楷体_GB2312" w:eastAsia="楷体_GB2312"/>
          <w:color w:val="000000" w:themeColor="text1"/>
        </w:rPr>
      </w:pPr>
      <w:r>
        <w:rPr>
          <w:rFonts w:ascii="楷体_GB2312" w:eastAsia="楷体_GB2312" w:cs="楷体_GB2312" w:hint="eastAsia"/>
          <w:color w:val="000000" w:themeColor="text1"/>
        </w:rPr>
        <w:t>（</w:t>
      </w:r>
      <w:r>
        <w:rPr>
          <w:rFonts w:ascii="楷体_GB2312" w:eastAsia="楷体_GB2312" w:hAnsi="Arial" w:cs="楷体_GB2312" w:hint="eastAsia"/>
          <w:color w:val="000000" w:themeColor="text1"/>
        </w:rPr>
        <w:t>个人客户本人/机构客户授权经办人需全文抄录以下文字以完成确认</w:t>
      </w:r>
      <w:r>
        <w:rPr>
          <w:rFonts w:ascii="楷体_GB2312" w:eastAsia="楷体_GB2312" w:cs="楷体_GB2312" w:hint="eastAsia"/>
          <w:color w:val="000000" w:themeColor="text1"/>
        </w:rPr>
        <w:t>：</w:t>
      </w:r>
      <w:r>
        <w:rPr>
          <w:rFonts w:ascii="楷体_GB2312" w:eastAsia="楷体_GB2312" w:cs="楷体_GB2312" w:hint="eastAsia"/>
          <w:b/>
          <w:bCs/>
          <w:color w:val="000000" w:themeColor="text1"/>
        </w:rPr>
        <w:t>本人</w:t>
      </w:r>
      <w:r>
        <w:rPr>
          <w:rFonts w:ascii="楷体_GB2312" w:eastAsia="楷体_GB2312" w:hAnsi="Arial" w:cs="楷体_GB2312" w:hint="eastAsia"/>
          <w:b/>
          <w:bCs/>
          <w:color w:val="000000" w:themeColor="text1"/>
        </w:rPr>
        <w:t>/本单位</w:t>
      </w:r>
      <w:r>
        <w:rPr>
          <w:rFonts w:ascii="楷体_GB2312" w:eastAsia="楷体_GB2312" w:cs="楷体_GB2312" w:hint="eastAsia"/>
          <w:b/>
          <w:bCs/>
          <w:color w:val="000000" w:themeColor="text1"/>
        </w:rPr>
        <w:t>已经阅读风险揭示，愿意承担投资风险</w:t>
      </w:r>
      <w:r>
        <w:rPr>
          <w:rFonts w:ascii="楷体_GB2312" w:eastAsia="楷体_GB2312" w:cs="楷体_GB2312" w:hint="eastAsia"/>
          <w:color w:val="000000" w:themeColor="text1"/>
        </w:rPr>
        <w:t>。）</w:t>
      </w:r>
      <w:r>
        <w:rPr>
          <w:rFonts w:ascii="楷体_GB2312" w:eastAsia="楷体_GB2312" w:cs="楷体_GB2312"/>
          <w:color w:val="000000" w:themeColor="text1"/>
        </w:rPr>
        <w:t xml:space="preserve"> </w:t>
      </w:r>
    </w:p>
    <w:p w14:paraId="6BBB5B65" w14:textId="77777777" w:rsidR="00A47A16" w:rsidRDefault="00E74674">
      <w:pPr>
        <w:snapToGrid w:val="0"/>
        <w:rPr>
          <w:rFonts w:ascii="楷体_GB2312" w:eastAsia="楷体_GB2312"/>
          <w:color w:val="000000" w:themeColor="text1"/>
        </w:rPr>
      </w:pPr>
      <w:r>
        <w:rPr>
          <w:rFonts w:ascii="楷体_GB2312" w:eastAsia="楷体_GB2312"/>
          <w:color w:val="000000" w:themeColor="text1"/>
          <w:u w:val="single"/>
        </w:rPr>
        <w:t>                                 </w:t>
      </w:r>
    </w:p>
    <w:p w14:paraId="0DAE34BF" w14:textId="77777777" w:rsidR="00A47A16" w:rsidRDefault="00E74674">
      <w:pPr>
        <w:snapToGrid w:val="0"/>
        <w:ind w:right="440"/>
        <w:rPr>
          <w:rFonts w:ascii="楷体_GB2312" w:eastAsia="楷体_GB2312" w:cs="楷体_GB2312"/>
          <w:color w:val="000000" w:themeColor="text1"/>
        </w:rPr>
      </w:pPr>
      <w:r>
        <w:rPr>
          <w:rFonts w:ascii="黑体" w:eastAsia="黑体" w:hAnsi="Times New Roman" w:cs="Arial" w:hint="eastAsia"/>
          <w:color w:val="000000" w:themeColor="text1"/>
        </w:rPr>
        <w:t>个人客户（签字）：</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机构客户（盖章）：</w:t>
      </w:r>
    </w:p>
    <w:p w14:paraId="6F2A2B05" w14:textId="77777777" w:rsidR="00A47A16" w:rsidRDefault="00E74674">
      <w:pPr>
        <w:snapToGrid w:val="0"/>
        <w:ind w:right="440"/>
        <w:rPr>
          <w:color w:val="000000" w:themeColor="text1"/>
        </w:rPr>
      </w:pPr>
      <w:r>
        <w:rPr>
          <w:rFonts w:ascii="黑体" w:eastAsia="黑体" w:hAnsi="Times New Roman" w:cs="Arial" w:hint="eastAsia"/>
          <w:color w:val="000000" w:themeColor="text1"/>
        </w:rPr>
        <w:t xml:space="preserve">                               法定代表人或负责人（签字或签章）：</w:t>
      </w:r>
    </w:p>
    <w:p w14:paraId="3FC16264" w14:textId="77777777" w:rsidR="00A47A16" w:rsidRDefault="00E74674">
      <w:pPr>
        <w:snapToGrid w:val="0"/>
        <w:ind w:right="440"/>
        <w:rPr>
          <w:color w:val="000000" w:themeColor="text1"/>
        </w:rPr>
      </w:pPr>
      <w:r>
        <w:rPr>
          <w:color w:val="000000" w:themeColor="text1"/>
        </w:rPr>
        <w:t> </w:t>
      </w:r>
    </w:p>
    <w:p w14:paraId="78E86EAA" w14:textId="77777777" w:rsidR="00A47A16" w:rsidRDefault="00E74674">
      <w:pPr>
        <w:snapToGrid w:val="0"/>
        <w:ind w:right="440"/>
        <w:rPr>
          <w:rFonts w:ascii="黑体" w:eastAsia="黑体" w:hAnsi="Times New Roman" w:cs="Arial"/>
          <w:color w:val="000000" w:themeColor="text1"/>
        </w:rPr>
      </w:pPr>
      <w:r>
        <w:rPr>
          <w:rFonts w:ascii="黑体" w:eastAsia="黑体" w:hAnsi="Times New Roman" w:cs="Arial" w:hint="eastAsia"/>
          <w:color w:val="000000" w:themeColor="text1"/>
        </w:rPr>
        <w:t>日期：年</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月</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日期：年</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月</w:t>
      </w:r>
      <w:r>
        <w:rPr>
          <w:rFonts w:ascii="黑体" w:eastAsia="黑体" w:hAnsi="Times New Roman" w:cs="Arial"/>
          <w:color w:val="000000" w:themeColor="text1"/>
        </w:rPr>
        <w:t xml:space="preserve"> </w:t>
      </w:r>
      <w:r>
        <w:rPr>
          <w:rFonts w:ascii="黑体" w:eastAsia="黑体" w:hAnsi="Times New Roman" w:cs="Arial" w:hint="eastAsia"/>
          <w:color w:val="000000" w:themeColor="text1"/>
        </w:rPr>
        <w:t>日</w:t>
      </w:r>
    </w:p>
    <w:p w14:paraId="07EA75E2" w14:textId="77777777" w:rsidR="00A47A16" w:rsidRDefault="00A47A16">
      <w:pPr>
        <w:snapToGrid w:val="0"/>
        <w:ind w:right="440"/>
        <w:rPr>
          <w:color w:val="000000" w:themeColor="text1"/>
        </w:rPr>
      </w:pPr>
    </w:p>
    <w:p w14:paraId="48B917F9" w14:textId="77777777" w:rsidR="00A47A16" w:rsidRDefault="00A47A16">
      <w:pPr>
        <w:spacing w:line="300" w:lineRule="exact"/>
        <w:ind w:rightChars="-330" w:right="-792"/>
        <w:jc w:val="center"/>
        <w:rPr>
          <w:rFonts w:ascii="黑体" w:eastAsia="黑体"/>
          <w:b/>
          <w:bCs/>
          <w:color w:val="000000" w:themeColor="text1"/>
        </w:rPr>
      </w:pPr>
    </w:p>
    <w:p w14:paraId="4A11F545" w14:textId="77777777" w:rsidR="00A47A16" w:rsidRDefault="00E74674">
      <w:pPr>
        <w:rPr>
          <w:rFonts w:ascii="黑体" w:eastAsia="黑体" w:cs="黑体"/>
          <w:b/>
          <w:bCs/>
          <w:color w:val="000000" w:themeColor="text1"/>
        </w:rPr>
        <w:sectPr w:rsidR="00A47A16">
          <w:headerReference w:type="default" r:id="rId10"/>
          <w:footerReference w:type="default" r:id="rId11"/>
          <w:type w:val="continuous"/>
          <w:pgSz w:w="11906" w:h="16838"/>
          <w:pgMar w:top="1440" w:right="1800" w:bottom="1440" w:left="1800" w:header="851" w:footer="992" w:gutter="0"/>
          <w:pgNumType w:start="1"/>
          <w:cols w:space="720"/>
          <w:docGrid w:linePitch="312"/>
        </w:sectPr>
      </w:pPr>
      <w:r>
        <w:rPr>
          <w:rFonts w:ascii="黑体" w:eastAsia="黑体" w:cs="黑体"/>
          <w:b/>
          <w:bCs/>
          <w:color w:val="000000" w:themeColor="text1"/>
        </w:rPr>
        <w:br w:type="page"/>
      </w:r>
    </w:p>
    <w:p w14:paraId="56152F34" w14:textId="77777777" w:rsidR="00A47A16" w:rsidRDefault="00E74674">
      <w:pPr>
        <w:spacing w:line="300" w:lineRule="exact"/>
        <w:jc w:val="both"/>
        <w:rPr>
          <w:color w:val="000000" w:themeColor="text1"/>
        </w:rPr>
      </w:pPr>
      <w:r>
        <w:rPr>
          <w:rFonts w:ascii="黑体" w:eastAsia="黑体" w:cs="黑体" w:hint="eastAsia"/>
          <w:b/>
          <w:bCs/>
          <w:color w:val="000000" w:themeColor="text1"/>
        </w:rPr>
        <w:lastRenderedPageBreak/>
        <w:t>理财产品登记编码</w:t>
      </w:r>
      <w:r>
        <w:rPr>
          <w:rFonts w:ascii="黑体" w:eastAsia="黑体" w:cs="黑体"/>
          <w:b/>
          <w:bCs/>
          <w:color w:val="000000" w:themeColor="text1"/>
        </w:rPr>
        <w:t>:</w:t>
      </w:r>
      <w:r>
        <w:rPr>
          <w:color w:val="000000" w:themeColor="text1"/>
        </w:rPr>
        <w:t xml:space="preserve"> </w:t>
      </w:r>
      <w:r>
        <w:rPr>
          <w:rFonts w:hint="eastAsia"/>
          <w:color w:val="000000" w:themeColor="text1"/>
        </w:rPr>
        <w:t>【</w:t>
      </w:r>
      <w:r>
        <w:rPr>
          <w:color w:val="000000" w:themeColor="text1"/>
        </w:rPr>
        <w:t>Z7002624000445】</w:t>
      </w:r>
    </w:p>
    <w:p w14:paraId="73532C42" w14:textId="77777777" w:rsidR="00A47A16" w:rsidRDefault="00E74674">
      <w:pPr>
        <w:spacing w:line="300" w:lineRule="exact"/>
        <w:jc w:val="both"/>
        <w:rPr>
          <w:rFonts w:ascii="黑体" w:eastAsia="黑体" w:hAnsi="黑体"/>
          <w:color w:val="000000"/>
          <w:sz w:val="21"/>
          <w:szCs w:val="21"/>
        </w:rPr>
      </w:pPr>
      <w:r>
        <w:rPr>
          <w:rFonts w:ascii="黑体" w:eastAsia="黑体" w:hAnsi="黑体" w:hint="eastAsia"/>
          <w:color w:val="000000"/>
          <w:sz w:val="21"/>
          <w:szCs w:val="21"/>
        </w:rPr>
        <w:t>理财产品</w:t>
      </w:r>
      <w:r>
        <w:rPr>
          <w:rFonts w:ascii="黑体" w:eastAsia="黑体" w:hAnsi="黑体"/>
          <w:color w:val="000000"/>
          <w:sz w:val="21"/>
          <w:szCs w:val="21"/>
        </w:rPr>
        <w:t>登记编码为本产品在</w:t>
      </w:r>
      <w:r>
        <w:rPr>
          <w:rFonts w:ascii="黑体" w:eastAsia="黑体" w:hAnsi="黑体" w:hint="eastAsia"/>
          <w:color w:val="000000"/>
          <w:sz w:val="21"/>
          <w:szCs w:val="21"/>
        </w:rPr>
        <w:t>全国银行业理财信息登记系统</w:t>
      </w:r>
      <w:r>
        <w:rPr>
          <w:rFonts w:ascii="黑体" w:eastAsia="黑体" w:hAnsi="黑体"/>
          <w:color w:val="000000"/>
          <w:sz w:val="21"/>
          <w:szCs w:val="21"/>
        </w:rPr>
        <w:t>取得的理财产品登记编码，</w:t>
      </w:r>
      <w:r>
        <w:rPr>
          <w:rFonts w:ascii="黑体" w:eastAsia="黑体" w:hAnsi="黑体" w:hint="eastAsia"/>
          <w:color w:val="000000"/>
          <w:sz w:val="21"/>
          <w:szCs w:val="21"/>
        </w:rPr>
        <w:t>投资者</w:t>
      </w:r>
      <w:r>
        <w:rPr>
          <w:rFonts w:ascii="黑体" w:eastAsia="黑体" w:hAnsi="黑体"/>
          <w:color w:val="000000"/>
          <w:sz w:val="21"/>
          <w:szCs w:val="21"/>
        </w:rPr>
        <w:t>可以</w:t>
      </w:r>
      <w:r>
        <w:rPr>
          <w:rFonts w:ascii="黑体" w:eastAsia="黑体" w:hAnsi="黑体" w:hint="eastAsia"/>
          <w:color w:val="000000"/>
          <w:sz w:val="21"/>
          <w:szCs w:val="21"/>
        </w:rPr>
        <w:t>依据</w:t>
      </w:r>
      <w:r>
        <w:rPr>
          <w:rFonts w:ascii="黑体" w:eastAsia="黑体" w:hAnsi="黑体"/>
          <w:color w:val="000000"/>
          <w:sz w:val="21"/>
          <w:szCs w:val="21"/>
        </w:rPr>
        <w:t>该理财产品登记编码在</w:t>
      </w:r>
      <w:r>
        <w:rPr>
          <w:rFonts w:ascii="黑体" w:eastAsia="黑体" w:hAnsi="黑体" w:hint="eastAsia"/>
          <w:color w:val="000000"/>
          <w:sz w:val="21"/>
          <w:szCs w:val="21"/>
        </w:rPr>
        <w:t>金融产品查询平台（</w:t>
      </w:r>
      <w:r>
        <w:rPr>
          <w:rFonts w:ascii="黑体" w:eastAsia="黑体" w:hAnsi="黑体"/>
          <w:color w:val="000000"/>
          <w:sz w:val="21"/>
          <w:szCs w:val="21"/>
        </w:rPr>
        <w:t>www.jrcpcx.cn）或中国理财网（www.chinawealth.com.cn）</w:t>
      </w:r>
      <w:r>
        <w:rPr>
          <w:rFonts w:ascii="黑体" w:eastAsia="黑体" w:hAnsi="黑体" w:hint="eastAsia"/>
          <w:color w:val="000000"/>
          <w:sz w:val="21"/>
          <w:szCs w:val="21"/>
        </w:rPr>
        <w:t>上查询</w:t>
      </w:r>
      <w:r>
        <w:rPr>
          <w:rFonts w:ascii="黑体" w:eastAsia="黑体" w:hAnsi="黑体"/>
          <w:color w:val="000000"/>
          <w:sz w:val="21"/>
          <w:szCs w:val="21"/>
        </w:rPr>
        <w:t>本产品相关信息。</w:t>
      </w:r>
    </w:p>
    <w:p w14:paraId="73B0AFDB" w14:textId="77777777" w:rsidR="00A47A16" w:rsidRDefault="00A47A16">
      <w:pPr>
        <w:spacing w:line="300" w:lineRule="exact"/>
        <w:jc w:val="both"/>
        <w:rPr>
          <w:rFonts w:ascii="黑体" w:eastAsia="黑体" w:hAnsi="黑体"/>
          <w:color w:val="000000"/>
          <w:sz w:val="21"/>
          <w:szCs w:val="21"/>
        </w:rPr>
      </w:pPr>
    </w:p>
    <w:p w14:paraId="696B217B" w14:textId="77777777" w:rsidR="00A47A16" w:rsidRDefault="00E74674">
      <w:pPr>
        <w:spacing w:line="300" w:lineRule="exact"/>
        <w:jc w:val="both"/>
        <w:rPr>
          <w:b/>
          <w:color w:val="000000"/>
          <w:sz w:val="28"/>
          <w:szCs w:val="28"/>
        </w:rPr>
      </w:pPr>
      <w:r>
        <w:rPr>
          <w:rFonts w:ascii="黑体" w:eastAsia="黑体" w:hAnsi="黑体"/>
          <w:b/>
          <w:color w:val="000000"/>
          <w:sz w:val="28"/>
          <w:szCs w:val="28"/>
        </w:rPr>
        <w:t>郑重</w:t>
      </w:r>
      <w:r>
        <w:rPr>
          <w:rFonts w:ascii="黑体" w:eastAsia="黑体" w:hAnsi="黑体" w:hint="eastAsia"/>
          <w:b/>
          <w:color w:val="000000"/>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sz w:val="28"/>
          <w:szCs w:val="28"/>
        </w:rPr>
        <w:t>您判断</w:t>
      </w:r>
      <w:proofErr w:type="gramEnd"/>
      <w:r>
        <w:rPr>
          <w:rFonts w:ascii="黑体" w:eastAsia="黑体" w:hAnsi="黑体" w:hint="eastAsia"/>
          <w:b/>
          <w:color w:val="000000"/>
          <w:sz w:val="28"/>
          <w:szCs w:val="28"/>
        </w:rPr>
        <w:t>理财产品是否合法合</w:t>
      </w:r>
      <w:proofErr w:type="gramStart"/>
      <w:r>
        <w:rPr>
          <w:rFonts w:ascii="黑体" w:eastAsia="黑体" w:hAnsi="黑体" w:hint="eastAsia"/>
          <w:b/>
          <w:color w:val="000000"/>
          <w:sz w:val="28"/>
          <w:szCs w:val="28"/>
        </w:rPr>
        <w:t>规</w:t>
      </w:r>
      <w:proofErr w:type="gramEnd"/>
      <w:r>
        <w:rPr>
          <w:rFonts w:ascii="黑体" w:eastAsia="黑体" w:hAnsi="黑体" w:hint="eastAsia"/>
          <w:b/>
          <w:color w:val="000000"/>
          <w:sz w:val="28"/>
          <w:szCs w:val="28"/>
        </w:rPr>
        <w:t>、是否真实可靠的重要依据。如您购买的理财产品未公示登记编码，或通过其公示的登记编码无法在金融产品查询平台（</w:t>
      </w:r>
      <w:r>
        <w:rPr>
          <w:rFonts w:ascii="黑体" w:eastAsia="黑体" w:hAnsi="黑体"/>
          <w:b/>
          <w:color w:val="000000"/>
          <w:sz w:val="28"/>
          <w:szCs w:val="28"/>
        </w:rPr>
        <w:t>www.jrcpcx.cn）或</w:t>
      </w:r>
      <w:r>
        <w:rPr>
          <w:rFonts w:ascii="黑体" w:eastAsia="黑体" w:hAnsi="黑体" w:hint="eastAsia"/>
          <w:b/>
          <w:color w:val="000000"/>
          <w:sz w:val="28"/>
          <w:szCs w:val="28"/>
        </w:rPr>
        <w:t>中国理财网（</w:t>
      </w:r>
      <w:r>
        <w:rPr>
          <w:rFonts w:ascii="黑体" w:eastAsia="黑体" w:hAnsi="黑体"/>
          <w:b/>
          <w:color w:val="000000"/>
          <w:sz w:val="28"/>
          <w:szCs w:val="28"/>
        </w:rPr>
        <w:t>www.chinawealth.com.cn）上查询到产品相关信息，</w:t>
      </w:r>
      <w:r>
        <w:rPr>
          <w:rFonts w:ascii="黑体" w:eastAsia="黑体" w:hAnsi="黑体" w:hint="eastAsia"/>
          <w:b/>
          <w:color w:val="000000"/>
          <w:sz w:val="28"/>
          <w:szCs w:val="28"/>
        </w:rPr>
        <w:t>则该</w:t>
      </w:r>
      <w:r>
        <w:rPr>
          <w:rFonts w:ascii="黑体" w:eastAsia="黑体" w:hAnsi="黑体"/>
          <w:b/>
          <w:color w:val="000000"/>
          <w:sz w:val="28"/>
          <w:szCs w:val="28"/>
        </w:rPr>
        <w:t>产品</w:t>
      </w:r>
      <w:proofErr w:type="gramStart"/>
      <w:r>
        <w:rPr>
          <w:rFonts w:ascii="黑体" w:eastAsia="黑体" w:hAnsi="黑体"/>
          <w:b/>
          <w:color w:val="000000"/>
          <w:sz w:val="28"/>
          <w:szCs w:val="28"/>
        </w:rPr>
        <w:t>非</w:t>
      </w:r>
      <w:r>
        <w:rPr>
          <w:rFonts w:ascii="黑体" w:eastAsia="黑体" w:hAnsi="黑体" w:hint="eastAsia"/>
          <w:b/>
          <w:color w:val="000000"/>
          <w:sz w:val="28"/>
          <w:szCs w:val="28"/>
        </w:rPr>
        <w:t>信银</w:t>
      </w:r>
      <w:r>
        <w:rPr>
          <w:rFonts w:ascii="黑体" w:eastAsia="黑体" w:hAnsi="黑体"/>
          <w:b/>
          <w:color w:val="000000"/>
          <w:sz w:val="28"/>
          <w:szCs w:val="28"/>
        </w:rPr>
        <w:t>理财</w:t>
      </w:r>
      <w:proofErr w:type="gramEnd"/>
      <w:r>
        <w:rPr>
          <w:rFonts w:ascii="黑体" w:eastAsia="黑体" w:hAnsi="黑体"/>
          <w:b/>
          <w:color w:val="000000"/>
          <w:sz w:val="28"/>
          <w:szCs w:val="28"/>
        </w:rPr>
        <w:t>发行产品。</w:t>
      </w:r>
    </w:p>
    <w:p w14:paraId="39F867CF" w14:textId="77777777" w:rsidR="00A47A16" w:rsidRDefault="00A47A16">
      <w:pPr>
        <w:spacing w:line="300" w:lineRule="exact"/>
        <w:ind w:rightChars="-330" w:right="-792"/>
        <w:rPr>
          <w:color w:val="000000" w:themeColor="text1"/>
        </w:rPr>
      </w:pPr>
    </w:p>
    <w:p w14:paraId="19F8132D" w14:textId="77777777" w:rsidR="00A47A16" w:rsidRDefault="00A47A16">
      <w:pPr>
        <w:spacing w:line="300" w:lineRule="exact"/>
        <w:ind w:rightChars="-330" w:right="-792"/>
        <w:rPr>
          <w:rFonts w:ascii="楷体" w:eastAsia="楷体" w:hAnsi="楷体" w:cs="黑体"/>
          <w:b/>
          <w:bCs/>
          <w:color w:val="000000" w:themeColor="text1"/>
          <w:sz w:val="21"/>
          <w:szCs w:val="21"/>
        </w:rPr>
      </w:pPr>
    </w:p>
    <w:p w14:paraId="5D047405" w14:textId="77777777" w:rsidR="00A47A16" w:rsidRDefault="00E74674">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429517EA" w14:textId="77777777" w:rsidR="00A47A16" w:rsidRDefault="00E74674">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【信银理财日盈象天天利155号现金管理型理财产品】</w:t>
      </w:r>
      <w:r>
        <w:rPr>
          <w:rFonts w:ascii="黑体" w:eastAsia="黑体" w:hAnsi="Times New Roman" w:cs="黑体"/>
          <w:b/>
          <w:bCs/>
          <w:color w:val="000000" w:themeColor="text1"/>
          <w:sz w:val="20"/>
          <w:szCs w:val="20"/>
        </w:rPr>
        <w:t xml:space="preserve">  </w:t>
      </w:r>
    </w:p>
    <w:p w14:paraId="29AB039D" w14:textId="77777777" w:rsidR="00A47A16" w:rsidRDefault="00E74674">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w:t>
      </w:r>
      <w:r>
        <w:rPr>
          <w:rFonts w:ascii="黑体" w:eastAsia="黑体" w:hAnsi="Times New Roman" w:cs="黑体"/>
          <w:b/>
          <w:bCs/>
          <w:color w:val="000000" w:themeColor="text1"/>
          <w:sz w:val="20"/>
          <w:szCs w:val="20"/>
        </w:rPr>
        <w:t>AM244095</w:t>
      </w:r>
      <w:r>
        <w:rPr>
          <w:rFonts w:ascii="黑体" w:eastAsia="黑体" w:hAnsi="Times New Roman" w:cs="黑体" w:hint="eastAsia"/>
          <w:b/>
          <w:bCs/>
          <w:color w:val="000000" w:themeColor="text1"/>
          <w:sz w:val="20"/>
          <w:szCs w:val="20"/>
        </w:rPr>
        <w:t>】）</w:t>
      </w:r>
    </w:p>
    <w:p w14:paraId="47080362" w14:textId="77777777" w:rsidR="00A47A16" w:rsidRDefault="00A47A16">
      <w:pPr>
        <w:spacing w:line="300" w:lineRule="exact"/>
        <w:ind w:rightChars="-330" w:right="-792"/>
        <w:rPr>
          <w:color w:val="000000" w:themeColor="text1"/>
        </w:rPr>
      </w:pPr>
    </w:p>
    <w:p w14:paraId="19769CED" w14:textId="77777777" w:rsidR="00A47A16" w:rsidRDefault="00E74674">
      <w:pPr>
        <w:spacing w:line="300" w:lineRule="exact"/>
        <w:jc w:val="both"/>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7CA54774" w14:textId="77777777" w:rsidR="00A47A16" w:rsidRDefault="00E74674">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w:t>
      </w:r>
      <w:r>
        <w:rPr>
          <w:rFonts w:ascii="黑体" w:eastAsia="黑体" w:hAnsi="Times New Roman" w:cs="黑体"/>
          <w:b/>
          <w:color w:val="000000" w:themeColor="text1"/>
          <w:sz w:val="20"/>
          <w:szCs w:val="20"/>
        </w:rPr>
        <w:t>.</w:t>
      </w:r>
      <w:r>
        <w:rPr>
          <w:rFonts w:ascii="黑体" w:eastAsia="黑体" w:hAnsi="Times New Roman" w:cs="黑体" w:hint="eastAsia"/>
          <w:b/>
          <w:color w:val="000000" w:themeColor="text1"/>
          <w:sz w:val="20"/>
          <w:szCs w:val="20"/>
        </w:rPr>
        <w:t>本理财产品的首个赎回开放日为【</w:t>
      </w:r>
      <w:r>
        <w:rPr>
          <w:rFonts w:ascii="黑体" w:eastAsia="黑体" w:hAnsi="Times New Roman" w:cs="黑体"/>
          <w:b/>
          <w:color w:val="000000" w:themeColor="text1"/>
          <w:sz w:val="20"/>
          <w:szCs w:val="20"/>
        </w:rPr>
        <w:t>2024】年【9】月【6】日，之后按【日】为周期进行开放，开放日为【每个工作日】（</w:t>
      </w:r>
      <w:proofErr w:type="gramStart"/>
      <w:r>
        <w:rPr>
          <w:rFonts w:ascii="黑体" w:eastAsia="黑体" w:hAnsi="Times New Roman" w:cs="黑体"/>
          <w:b/>
          <w:color w:val="000000" w:themeColor="text1"/>
          <w:sz w:val="20"/>
          <w:szCs w:val="20"/>
        </w:rPr>
        <w:t>如遇非工作日</w:t>
      </w:r>
      <w:proofErr w:type="gramEnd"/>
      <w:r>
        <w:rPr>
          <w:rFonts w:ascii="黑体" w:eastAsia="黑体" w:hAnsi="Times New Roman" w:cs="黑体"/>
          <w:b/>
          <w:color w:val="000000" w:themeColor="text1"/>
          <w:sz w:val="20"/>
          <w:szCs w:val="20"/>
        </w:rPr>
        <w:t>则顺延至下一工作日）</w:t>
      </w:r>
      <w:r>
        <w:rPr>
          <w:rFonts w:ascii="黑体" w:eastAsia="黑体" w:hAnsi="Times New Roman" w:cs="黑体" w:hint="eastAsia"/>
          <w:b/>
          <w:color w:val="000000" w:themeColor="text1"/>
          <w:sz w:val="20"/>
          <w:szCs w:val="20"/>
        </w:rPr>
        <w:t>。</w:t>
      </w:r>
    </w:p>
    <w:p w14:paraId="766EDDCD"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本</w:t>
      </w:r>
      <w:r>
        <w:rPr>
          <w:rFonts w:ascii="黑体" w:eastAsia="黑体" w:hAnsi="Times New Roman" w:cs="黑体" w:hint="eastAsia"/>
          <w:color w:val="000000" w:themeColor="text1"/>
          <w:sz w:val="20"/>
          <w:szCs w:val="20"/>
        </w:rPr>
        <w:t>理财产品的《信银理财理财</w:t>
      </w:r>
      <w:r>
        <w:rPr>
          <w:rFonts w:ascii="黑体" w:eastAsia="黑体" w:hAnsi="Times New Roman" w:cs="黑体"/>
          <w:color w:val="000000" w:themeColor="text1"/>
          <w:sz w:val="20"/>
          <w:szCs w:val="20"/>
        </w:rPr>
        <w:t>产品说明书</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w:t>
      </w:r>
      <w:r>
        <w:rPr>
          <w:rFonts w:ascii="黑体" w:eastAsia="黑体" w:hAnsi="Times New Roman" w:cs="黑体" w:hint="eastAsia"/>
          <w:color w:val="000000" w:themeColor="text1"/>
          <w:sz w:val="20"/>
          <w:szCs w:val="20"/>
        </w:rPr>
        <w:t>信银</w:t>
      </w:r>
      <w:r>
        <w:rPr>
          <w:rFonts w:ascii="黑体" w:eastAsia="黑体" w:hAnsi="Times New Roman" w:cs="黑体"/>
          <w:color w:val="000000" w:themeColor="text1"/>
          <w:sz w:val="20"/>
          <w:szCs w:val="20"/>
        </w:rPr>
        <w:t>理财理财产品风险揭示书》</w:t>
      </w:r>
      <w:r>
        <w:rPr>
          <w:rFonts w:ascii="黑体" w:eastAsia="黑体" w:hAnsi="Times New Roman" w:cs="黑体" w:hint="eastAsia"/>
          <w:color w:val="000000" w:themeColor="text1"/>
          <w:sz w:val="20"/>
          <w:szCs w:val="20"/>
        </w:rPr>
        <w:t>、《信银理财理财产品投资协议书》</w:t>
      </w:r>
      <w:r>
        <w:rPr>
          <w:rFonts w:ascii="黑体" w:eastAsia="黑体" w:hAnsi="Times New Roman" w:cs="黑体"/>
          <w:color w:val="000000" w:themeColor="text1"/>
          <w:sz w:val="20"/>
          <w:szCs w:val="20"/>
        </w:rPr>
        <w:t>与《信银理财理财产品销售总协议》（含附件：客户权益须知专页）（或合作销售机构向投资者提供的理财产品销售协议文本）</w:t>
      </w:r>
      <w:r>
        <w:rPr>
          <w:rFonts w:ascii="黑体" w:eastAsia="黑体" w:hAnsi="Times New Roman" w:cs="黑体" w:hint="eastAsia"/>
          <w:color w:val="000000" w:themeColor="text1"/>
          <w:sz w:val="20"/>
          <w:szCs w:val="20"/>
        </w:rPr>
        <w:t>等文件及其不时有效修订与补充</w:t>
      </w:r>
      <w:r>
        <w:rPr>
          <w:rFonts w:ascii="黑体" w:eastAsia="黑体" w:hAnsi="Times New Roman" w:cs="黑体"/>
          <w:color w:val="000000" w:themeColor="text1"/>
          <w:sz w:val="20"/>
          <w:szCs w:val="20"/>
        </w:rPr>
        <w:t>共同构成</w:t>
      </w:r>
      <w:r>
        <w:rPr>
          <w:rFonts w:ascii="黑体" w:eastAsia="黑体" w:hAnsi="Times New Roman" w:cs="黑体" w:hint="eastAsia"/>
          <w:color w:val="000000" w:themeColor="text1"/>
          <w:sz w:val="20"/>
          <w:szCs w:val="20"/>
        </w:rPr>
        <w:t>理财产品销售文件</w:t>
      </w:r>
      <w:r>
        <w:rPr>
          <w:rFonts w:ascii="黑体" w:eastAsia="黑体" w:hAnsi="Times New Roman" w:cs="黑体"/>
          <w:color w:val="000000" w:themeColor="text1"/>
          <w:sz w:val="20"/>
          <w:szCs w:val="20"/>
        </w:rPr>
        <w:t>。</w:t>
      </w:r>
    </w:p>
    <w:p w14:paraId="163FFA09"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2F67E8C9"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或代销机构各营业场所或营业网点咨询。</w:t>
      </w:r>
    </w:p>
    <w:p w14:paraId="405A45BB"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6231E130" w14:textId="77777777" w:rsidR="00A47A16" w:rsidRDefault="00E74674">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2E98C881" w14:textId="77777777" w:rsidR="00A47A16" w:rsidRDefault="00E74674">
      <w:pPr>
        <w:snapToGrid w:val="0"/>
        <w:ind w:firstLineChars="200" w:firstLine="400"/>
        <w:jc w:val="both"/>
        <w:rPr>
          <w:color w:val="000000" w:themeColor="text1"/>
        </w:rPr>
      </w:pPr>
      <w:r>
        <w:rPr>
          <w:rFonts w:ascii="黑体" w:eastAsia="黑体" w:hAnsi="Times New Roman"/>
          <w:color w:val="000000" w:themeColor="text1"/>
          <w:sz w:val="20"/>
          <w:szCs w:val="20"/>
        </w:rPr>
        <w:t> </w:t>
      </w:r>
    </w:p>
    <w:p w14:paraId="3650BD14" w14:textId="77777777" w:rsidR="00A47A16" w:rsidRDefault="00E74674">
      <w:pPr>
        <w:snapToGrid w:val="0"/>
        <w:jc w:val="both"/>
        <w:rPr>
          <w:b/>
          <w:color w:val="000000" w:themeColor="text1"/>
        </w:rPr>
      </w:pPr>
      <w:r>
        <w:rPr>
          <w:rFonts w:ascii="黑体" w:eastAsia="黑体" w:hAnsi="Times New Roman" w:cs="黑体" w:hint="eastAsia"/>
          <w:b/>
          <w:bCs/>
          <w:color w:val="000000" w:themeColor="text1"/>
          <w:sz w:val="20"/>
          <w:szCs w:val="20"/>
        </w:rPr>
        <w:t>风险提示：</w:t>
      </w:r>
    </w:p>
    <w:p w14:paraId="5272754B"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BE6E7C6"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34564B75"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14:paraId="38959DE7"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35F58B00"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27E2528C"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0858CA4"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0E7149DF"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2B2B9EC5"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4376AC3B" w14:textId="77777777" w:rsidR="00A47A16" w:rsidRDefault="00E74674">
      <w:pPr>
        <w:snapToGrid w:val="0"/>
        <w:ind w:firstLine="42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12005845"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32471281"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6B9DA49F"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69C9BA8" w14:textId="77777777" w:rsidR="00A47A16" w:rsidRDefault="00E74674">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610C4084" w14:textId="77777777" w:rsidR="00A47A16" w:rsidRDefault="00E74674">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153296" w14:textId="77777777" w:rsidR="00A47A16" w:rsidRDefault="00E74674">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E13E28B" w14:textId="77777777" w:rsidR="00A47A16" w:rsidRDefault="00A47A16">
      <w:pPr>
        <w:snapToGrid w:val="0"/>
        <w:jc w:val="both"/>
        <w:rPr>
          <w:rFonts w:ascii="黑体" w:eastAsia="黑体" w:hAnsi="Times New Roman" w:cs="黑体"/>
          <w:b/>
          <w:bCs/>
          <w:color w:val="000000" w:themeColor="text1"/>
          <w:sz w:val="20"/>
          <w:szCs w:val="20"/>
        </w:rPr>
      </w:pPr>
    </w:p>
    <w:p w14:paraId="4BE6B920" w14:textId="77777777" w:rsidR="00A47A16" w:rsidRDefault="00E74674">
      <w:pPr>
        <w:snapToGrid w:val="0"/>
        <w:jc w:val="both"/>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D58D72A" w14:textId="77777777" w:rsidR="00A47A16" w:rsidRDefault="00E74674">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04435E99"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w:t>
      </w:r>
      <w:r>
        <w:rPr>
          <w:rFonts w:ascii="黑体" w:eastAsia="黑体" w:hAnsi="黑体" w:hint="eastAsia"/>
          <w:color w:val="000000" w:themeColor="text1"/>
          <w:sz w:val="20"/>
          <w:szCs w:val="20"/>
        </w:rPr>
        <w:t>．</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2790BC45"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2</w:t>
      </w:r>
      <w:r>
        <w:rPr>
          <w:rFonts w:ascii="黑体" w:eastAsia="黑体" w:hAnsi="黑体" w:hint="eastAsia"/>
          <w:color w:val="000000" w:themeColor="text1"/>
          <w:sz w:val="20"/>
          <w:szCs w:val="20"/>
        </w:rPr>
        <w:t>．理财业务：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76936EBE"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3</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110C5A66"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4</w:t>
      </w:r>
      <w:r>
        <w:rPr>
          <w:rFonts w:ascii="黑体" w:eastAsia="黑体" w:hAnsi="黑体" w:hint="eastAsia"/>
          <w:color w:val="000000" w:themeColor="text1"/>
          <w:sz w:val="20"/>
          <w:szCs w:val="20"/>
        </w:rPr>
        <w:t>．投资者</w:t>
      </w:r>
      <w:r>
        <w:rPr>
          <w:rFonts w:ascii="黑体" w:eastAsia="黑体" w:hAnsi="黑体"/>
          <w:color w:val="000000" w:themeColor="text1"/>
          <w:sz w:val="20"/>
          <w:szCs w:val="20"/>
        </w:rPr>
        <w:t>/客户</w:t>
      </w:r>
      <w:r>
        <w:rPr>
          <w:rFonts w:ascii="黑体" w:eastAsia="黑体" w:hAnsi="黑体" w:hint="eastAsia"/>
          <w:color w:val="000000" w:themeColor="text1"/>
          <w:sz w:val="20"/>
          <w:szCs w:val="20"/>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1F4B9C6"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5</w:t>
      </w:r>
      <w:r>
        <w:rPr>
          <w:rFonts w:ascii="黑体" w:eastAsia="黑体" w:hAnsi="黑体" w:hint="eastAsia"/>
          <w:color w:val="000000" w:themeColor="text1"/>
          <w:sz w:val="20"/>
          <w:szCs w:val="20"/>
        </w:rPr>
        <w:t>．理财产品资产净值</w:t>
      </w:r>
      <w:r>
        <w:rPr>
          <w:rFonts w:ascii="黑体" w:eastAsia="黑体" w:hAnsi="黑体"/>
          <w:color w:val="000000" w:themeColor="text1"/>
          <w:sz w:val="20"/>
          <w:szCs w:val="20"/>
        </w:rPr>
        <w:t>/资产净值/净资产：资产净值=产品资产总值-产品负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448795AE" w14:textId="77777777" w:rsidR="00A47A16" w:rsidRDefault="00E74674">
      <w:pPr>
        <w:snapToGrid w:val="0"/>
        <w:ind w:firstLineChars="200" w:firstLine="400"/>
        <w:jc w:val="both"/>
        <w:rPr>
          <w:rFonts w:ascii="黑体" w:eastAsia="黑体" w:hAnsi="Times New Roman"/>
          <w:color w:val="000000" w:themeColor="text1"/>
          <w:sz w:val="20"/>
          <w:szCs w:val="20"/>
        </w:rPr>
      </w:pPr>
      <w:r>
        <w:rPr>
          <w:rFonts w:ascii="黑体" w:eastAsia="黑体" w:hAnsi="黑体"/>
          <w:color w:val="000000" w:themeColor="text1"/>
          <w:sz w:val="20"/>
          <w:szCs w:val="20"/>
        </w:rPr>
        <w:t>6</w:t>
      </w:r>
      <w:r>
        <w:rPr>
          <w:rFonts w:ascii="黑体" w:eastAsia="黑体" w:hAnsi="黑体" w:hint="eastAsia"/>
          <w:color w:val="000000" w:themeColor="text1"/>
          <w:sz w:val="20"/>
          <w:szCs w:val="20"/>
        </w:rPr>
        <w:t>．</w:t>
      </w:r>
      <w:r>
        <w:rPr>
          <w:rFonts w:ascii="黑体" w:eastAsia="黑体" w:hAnsi="黑体"/>
          <w:color w:val="000000" w:themeColor="text1"/>
          <w:sz w:val="20"/>
          <w:szCs w:val="20"/>
        </w:rPr>
        <w:t>理财产品单位净值/单位净值/份额净值：指理财产品份额的单位净值，即每1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442831D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7</w:t>
      </w:r>
      <w:r>
        <w:rPr>
          <w:rFonts w:ascii="黑体" w:eastAsia="黑体" w:hAnsi="黑体" w:hint="eastAsia"/>
          <w:color w:val="000000" w:themeColor="text1"/>
          <w:sz w:val="20"/>
          <w:szCs w:val="20"/>
        </w:rPr>
        <w:t>．理财</w:t>
      </w:r>
      <w:r>
        <w:rPr>
          <w:rFonts w:ascii="黑体" w:eastAsia="黑体" w:hAnsi="黑体"/>
          <w:color w:val="000000" w:themeColor="text1"/>
          <w:sz w:val="20"/>
          <w:szCs w:val="20"/>
        </w:rPr>
        <w:t>产品本金/投资本金/本金：指投资者为认购/申购理财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认购费/申购费后即投资者的投资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550C2CC4"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8</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收益/投资收益/收益：</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4F1E2F1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w:t>
      </w:r>
      <w:r>
        <w:rPr>
          <w:rFonts w:ascii="黑体" w:eastAsia="黑体" w:hAnsi="黑体"/>
          <w:color w:val="000000" w:themeColor="text1"/>
          <w:sz w:val="20"/>
          <w:szCs w:val="20"/>
        </w:rPr>
        <w:t>/代销机构：</w:t>
      </w:r>
      <w:r>
        <w:rPr>
          <w:rFonts w:ascii="黑体" w:eastAsia="黑体" w:hAnsi="黑体" w:hint="eastAsia"/>
          <w:color w:val="000000" w:themeColor="text1"/>
          <w:sz w:val="20"/>
          <w:szCs w:val="20"/>
        </w:rPr>
        <w:t>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402A2E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32B91CCC"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929388"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4C327E94"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482EDA1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4872A663"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7165F69C"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FB2A5EC"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5FACFBD8"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13</w:t>
      </w:r>
      <w:r>
        <w:rPr>
          <w:rFonts w:ascii="黑体" w:eastAsia="黑体" w:hAnsi="黑体" w:hint="eastAsia"/>
          <w:color w:val="000000" w:themeColor="text1"/>
          <w:sz w:val="20"/>
          <w:szCs w:val="20"/>
        </w:rPr>
        <w:t>．现金管理类产品：指仅投资于货币市场工具，每个工作日可办理产品份额认</w:t>
      </w:r>
      <w:r>
        <w:rPr>
          <w:rFonts w:ascii="黑体" w:eastAsia="黑体" w:hAnsi="黑体"/>
          <w:color w:val="000000" w:themeColor="text1"/>
          <w:sz w:val="20"/>
          <w:szCs w:val="20"/>
        </w:rPr>
        <w:t>/申购、赎回的理财产品。</w:t>
      </w:r>
    </w:p>
    <w:p w14:paraId="2277C5CA"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14</w:t>
      </w:r>
      <w:r>
        <w:rPr>
          <w:rFonts w:ascii="黑体" w:eastAsia="黑体" w:hAnsi="黑体" w:hint="eastAsia"/>
          <w:color w:val="000000" w:themeColor="text1"/>
          <w:sz w:val="20"/>
          <w:szCs w:val="20"/>
        </w:rPr>
        <w:t>．流动性受限资产：指由于法律法规、监管、合同或操作障碍等原因无法以合理价格予以变现的资产，包括到期日在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BA2E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97AB625"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16．</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12"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43AA5A7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95C994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707259FE"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19．理财产品合同：指本理财产品的《信银理财理财产品说明书》、《信银理财理财产品风险揭示书》和《信银理财理财产品投资协议书》及其不时有效修订与补充。</w:t>
      </w:r>
    </w:p>
    <w:p w14:paraId="6DF34D7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20．销售文件：指本理财产品的理财产品合同及《信银理财理财产品销售总协议》（含附件：客户权益须知专页）（或合作销售机构向投资者提供的理财产品销售协议文本）等文件及其不时有效修订与补充。</w:t>
      </w:r>
    </w:p>
    <w:p w14:paraId="057CE581" w14:textId="77777777" w:rsidR="00A47A16" w:rsidRDefault="00A47A16">
      <w:pPr>
        <w:pStyle w:val="ab"/>
        <w:numPr>
          <w:ilvl w:val="255"/>
          <w:numId w:val="0"/>
        </w:numPr>
        <w:spacing w:line="300" w:lineRule="atLeast"/>
        <w:ind w:right="36" w:firstLineChars="200" w:firstLine="400"/>
        <w:rPr>
          <w:rFonts w:ascii="黑体" w:eastAsia="黑体" w:hAnsi="黑体"/>
          <w:color w:val="000000" w:themeColor="text1"/>
          <w:sz w:val="20"/>
          <w:szCs w:val="20"/>
        </w:rPr>
      </w:pPr>
    </w:p>
    <w:p w14:paraId="1569B7A7" w14:textId="77777777" w:rsidR="00A47A16" w:rsidRDefault="00E74674">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类型对应关系：</w:t>
      </w:r>
    </w:p>
    <w:p w14:paraId="13B7396B" w14:textId="77777777" w:rsidR="00A47A16" w:rsidRDefault="00A47A16">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2305"/>
        <w:gridCol w:w="3664"/>
      </w:tblGrid>
      <w:tr w:rsidR="00A47A16" w14:paraId="183E48AF" w14:textId="77777777">
        <w:trPr>
          <w:trHeight w:val="592"/>
        </w:trPr>
        <w:tc>
          <w:tcPr>
            <w:tcW w:w="2710" w:type="dxa"/>
            <w:vAlign w:val="center"/>
          </w:tcPr>
          <w:p w14:paraId="772276BD" w14:textId="77777777" w:rsidR="00A47A16" w:rsidRDefault="00E74674">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00322BB2" w14:textId="77777777" w:rsidR="00A47A16" w:rsidRDefault="00E74674">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4327" w:type="dxa"/>
            <w:vAlign w:val="center"/>
          </w:tcPr>
          <w:p w14:paraId="1FC30908" w14:textId="77777777" w:rsidR="00A47A16" w:rsidRDefault="00E74674">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A47A16" w14:paraId="54AF3FFD" w14:textId="77777777">
        <w:trPr>
          <w:trHeight w:val="592"/>
        </w:trPr>
        <w:tc>
          <w:tcPr>
            <w:tcW w:w="2710" w:type="dxa"/>
            <w:vAlign w:val="center"/>
          </w:tcPr>
          <w:p w14:paraId="28771C18"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7C7D993C"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4327" w:type="dxa"/>
            <w:vAlign w:val="center"/>
          </w:tcPr>
          <w:p w14:paraId="796C8ECD"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A47A16" w14:paraId="206290D1" w14:textId="77777777">
        <w:trPr>
          <w:trHeight w:val="592"/>
        </w:trPr>
        <w:tc>
          <w:tcPr>
            <w:tcW w:w="2710" w:type="dxa"/>
            <w:vAlign w:val="center"/>
          </w:tcPr>
          <w:p w14:paraId="6236ADF1"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66BBD901"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4327" w:type="dxa"/>
            <w:vAlign w:val="center"/>
          </w:tcPr>
          <w:p w14:paraId="4F80EF20"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A47A16" w14:paraId="0BC2022A" w14:textId="77777777">
        <w:trPr>
          <w:trHeight w:val="592"/>
        </w:trPr>
        <w:tc>
          <w:tcPr>
            <w:tcW w:w="2710" w:type="dxa"/>
            <w:vAlign w:val="center"/>
          </w:tcPr>
          <w:p w14:paraId="005A74E0"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9426BC6"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4327" w:type="dxa"/>
            <w:vAlign w:val="center"/>
          </w:tcPr>
          <w:p w14:paraId="742D5FD2"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A47A16" w14:paraId="128D3269" w14:textId="77777777">
        <w:trPr>
          <w:trHeight w:val="592"/>
        </w:trPr>
        <w:tc>
          <w:tcPr>
            <w:tcW w:w="2710" w:type="dxa"/>
            <w:vAlign w:val="center"/>
          </w:tcPr>
          <w:p w14:paraId="2CD9B6F0"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374BD913"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4327" w:type="dxa"/>
            <w:vAlign w:val="center"/>
          </w:tcPr>
          <w:p w14:paraId="73D3771B"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A47A16" w14:paraId="285622AD" w14:textId="77777777">
        <w:trPr>
          <w:trHeight w:val="592"/>
        </w:trPr>
        <w:tc>
          <w:tcPr>
            <w:tcW w:w="2710" w:type="dxa"/>
            <w:vAlign w:val="center"/>
          </w:tcPr>
          <w:p w14:paraId="4DD39353"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48C7C54C"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4327" w:type="dxa"/>
            <w:vAlign w:val="center"/>
          </w:tcPr>
          <w:p w14:paraId="32E8CEE6"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511DE2AC" w14:textId="77777777" w:rsidR="00A47A16" w:rsidRDefault="00E74674">
      <w:pPr>
        <w:snapToGrid w:val="0"/>
        <w:ind w:leftChars="-1" w:left="-2" w:rightChars="22" w:right="53" w:firstLineChars="200" w:firstLine="400"/>
        <w:rPr>
          <w:color w:val="000000" w:themeColor="text1"/>
        </w:rPr>
      </w:pPr>
      <w:r>
        <w:rPr>
          <w:rFonts w:ascii="黑体" w:eastAsia="黑体" w:hAnsi="Times New Roman"/>
          <w:color w:val="000000" w:themeColor="text1"/>
          <w:sz w:val="20"/>
          <w:szCs w:val="20"/>
        </w:rPr>
        <w:t> </w:t>
      </w:r>
    </w:p>
    <w:p w14:paraId="028DB515" w14:textId="77777777" w:rsidR="00A47A16" w:rsidRDefault="00E74674">
      <w:pPr>
        <w:snapToGrid w:val="0"/>
        <w:ind w:hanging="435"/>
        <w:jc w:val="both"/>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6D7851F8" w14:textId="77777777" w:rsidR="00A47A16" w:rsidRDefault="00E74674">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hint="eastAsia"/>
          <w:color w:val="000000" w:themeColor="text1"/>
          <w:sz w:val="20"/>
          <w:szCs w:val="20"/>
        </w:rPr>
        <w:t>．产品</w:t>
      </w:r>
      <w:r>
        <w:rPr>
          <w:rFonts w:ascii="楷体_GB2312" w:eastAsia="楷体_GB2312"/>
          <w:color w:val="000000" w:themeColor="text1"/>
          <w:sz w:val="20"/>
          <w:szCs w:val="20"/>
        </w:rPr>
        <w:t>投资策略：</w:t>
      </w:r>
    </w:p>
    <w:p w14:paraId="4AE5CF4C"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7692CE0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产品拟通过债券等</w:t>
      </w:r>
      <w:proofErr w:type="gramStart"/>
      <w:r>
        <w:rPr>
          <w:rFonts w:ascii="楷体_GB2312" w:eastAsia="楷体_GB2312" w:hint="eastAsia"/>
          <w:color w:val="000000" w:themeColor="text1"/>
          <w:sz w:val="20"/>
          <w:szCs w:val="20"/>
        </w:rPr>
        <w:t>固收类</w:t>
      </w:r>
      <w:proofErr w:type="gramEnd"/>
      <w:r>
        <w:rPr>
          <w:rFonts w:ascii="楷体_GB2312" w:eastAsia="楷体_GB2312" w:hint="eastAsia"/>
          <w:color w:val="000000" w:themeColor="text1"/>
          <w:sz w:val="20"/>
          <w:szCs w:val="20"/>
        </w:rPr>
        <w:t>资产的配置，以票息收入作为实现产品相对稳定收益的基础；在严控产品风险的基础上，通过对宏观经济、利率走势、资金供求、信用风险状况、债券市场走势等方面的分析和预测，把握市场投资机会，提高产品收益。</w:t>
      </w:r>
    </w:p>
    <w:p w14:paraId="662B714F" w14:textId="77777777" w:rsidR="00A47A16" w:rsidRDefault="00E74674">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hint="eastAsia"/>
          <w:color w:val="000000" w:themeColor="text1"/>
          <w:sz w:val="20"/>
          <w:szCs w:val="20"/>
        </w:rPr>
        <w:t>．投资</w:t>
      </w:r>
      <w:r>
        <w:rPr>
          <w:rFonts w:ascii="楷体_GB2312" w:eastAsia="楷体_GB2312"/>
          <w:color w:val="000000" w:themeColor="text1"/>
          <w:sz w:val="20"/>
          <w:szCs w:val="20"/>
        </w:rPr>
        <w:t>范围与投资比例：</w:t>
      </w:r>
    </w:p>
    <w:p w14:paraId="34302761" w14:textId="77777777" w:rsidR="00A47A16" w:rsidRDefault="00E74674">
      <w:pPr>
        <w:spacing w:line="300" w:lineRule="exact"/>
        <w:ind w:firstLineChars="100" w:firstLine="2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本理财产品存续期间，</w:t>
      </w:r>
      <w:r>
        <w:rPr>
          <w:rFonts w:ascii="楷体_GB2312" w:eastAsia="楷体_GB2312"/>
          <w:color w:val="000000" w:themeColor="text1"/>
          <w:sz w:val="20"/>
          <w:szCs w:val="20"/>
        </w:rPr>
        <w:t>100%</w:t>
      </w:r>
      <w:r>
        <w:rPr>
          <w:rFonts w:ascii="楷体_GB2312" w:eastAsia="楷体_GB2312" w:hint="eastAsia"/>
          <w:color w:val="000000" w:themeColor="text1"/>
          <w:sz w:val="20"/>
          <w:szCs w:val="20"/>
        </w:rPr>
        <w:t>投资于以下债权</w:t>
      </w:r>
      <w:r>
        <w:rPr>
          <w:rFonts w:ascii="楷体_GB2312" w:eastAsia="楷体_GB2312"/>
          <w:color w:val="000000" w:themeColor="text1"/>
          <w:sz w:val="20"/>
          <w:szCs w:val="20"/>
        </w:rPr>
        <w:t>类资产</w:t>
      </w:r>
      <w:r>
        <w:rPr>
          <w:rFonts w:ascii="楷体_GB2312" w:eastAsia="楷体_GB2312" w:hint="eastAsia"/>
          <w:color w:val="000000" w:themeColor="text1"/>
          <w:sz w:val="20"/>
          <w:szCs w:val="20"/>
        </w:rPr>
        <w:t>：</w:t>
      </w:r>
    </w:p>
    <w:p w14:paraId="410B0921"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w:t>
      </w:r>
      <w:r>
        <w:rPr>
          <w:rFonts w:ascii="楷体_GB2312" w:eastAsia="楷体_GB2312"/>
          <w:color w:val="000000" w:themeColor="text1"/>
          <w:sz w:val="20"/>
          <w:szCs w:val="20"/>
        </w:rPr>
        <w:t>1）</w:t>
      </w:r>
      <w:r>
        <w:rPr>
          <w:rFonts w:ascii="楷体_GB2312" w:eastAsia="楷体_GB2312" w:hint="eastAsia"/>
          <w:color w:val="000000" w:themeColor="text1"/>
          <w:sz w:val="20"/>
          <w:szCs w:val="20"/>
        </w:rPr>
        <w:t>现金；</w:t>
      </w:r>
    </w:p>
    <w:p w14:paraId="2B586601"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r>
        <w:rPr>
          <w:rFonts w:ascii="楷体_GB2312" w:eastAsia="楷体_GB2312" w:hint="eastAsia"/>
          <w:color w:val="000000" w:themeColor="text1"/>
          <w:sz w:val="20"/>
          <w:szCs w:val="20"/>
        </w:rPr>
        <w:t>期限在</w:t>
      </w:r>
      <w:r>
        <w:rPr>
          <w:rFonts w:ascii="楷体_GB2312" w:eastAsia="楷体_GB2312"/>
          <w:color w:val="000000" w:themeColor="text1"/>
          <w:sz w:val="20"/>
          <w:szCs w:val="20"/>
        </w:rPr>
        <w:t>1年以内（含1年）的银行</w:t>
      </w:r>
      <w:r>
        <w:rPr>
          <w:rFonts w:ascii="楷体_GB2312" w:eastAsia="楷体_GB2312" w:hint="eastAsia"/>
          <w:color w:val="000000" w:themeColor="text1"/>
          <w:sz w:val="20"/>
          <w:szCs w:val="20"/>
        </w:rPr>
        <w:t>存款、债券回购、中央银行票据、同业存单；</w:t>
      </w:r>
    </w:p>
    <w:p w14:paraId="50E18DC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3）</w:t>
      </w:r>
      <w:r>
        <w:rPr>
          <w:rFonts w:ascii="楷体_GB2312" w:eastAsia="楷体_GB2312" w:hint="eastAsia"/>
          <w:color w:val="000000" w:themeColor="text1"/>
          <w:sz w:val="20"/>
          <w:szCs w:val="20"/>
        </w:rPr>
        <w:t>剩余期限在</w:t>
      </w:r>
      <w:r>
        <w:rPr>
          <w:rFonts w:ascii="楷体_GB2312" w:eastAsia="楷体_GB2312"/>
          <w:color w:val="000000" w:themeColor="text1"/>
          <w:sz w:val="20"/>
          <w:szCs w:val="20"/>
        </w:rPr>
        <w:t>397天以内（含397天）的债券</w:t>
      </w:r>
      <w:r>
        <w:rPr>
          <w:rFonts w:ascii="楷体_GB2312" w:eastAsia="楷体_GB2312" w:hint="eastAsia"/>
          <w:color w:val="000000" w:themeColor="text1"/>
          <w:sz w:val="20"/>
          <w:szCs w:val="20"/>
        </w:rPr>
        <w:t>，</w:t>
      </w:r>
      <w:r>
        <w:rPr>
          <w:rFonts w:ascii="楷体_GB2312" w:eastAsia="楷体_GB2312"/>
          <w:color w:val="000000" w:themeColor="text1"/>
          <w:sz w:val="20"/>
          <w:szCs w:val="20"/>
        </w:rPr>
        <w:t>在银行间市场和证券交易所市场发行的</w:t>
      </w:r>
      <w:r>
        <w:rPr>
          <w:rFonts w:ascii="楷体_GB2312" w:eastAsia="楷体_GB2312" w:hint="eastAsia"/>
          <w:color w:val="000000" w:themeColor="text1"/>
          <w:sz w:val="20"/>
          <w:szCs w:val="20"/>
        </w:rPr>
        <w:t>资产支持证券；</w:t>
      </w:r>
    </w:p>
    <w:p w14:paraId="221D184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4</w:t>
      </w:r>
      <w:r>
        <w:rPr>
          <w:rFonts w:ascii="楷体_GB2312" w:eastAsia="楷体_GB2312" w:hint="eastAsia"/>
          <w:color w:val="000000" w:themeColor="text1"/>
          <w:sz w:val="20"/>
          <w:szCs w:val="20"/>
        </w:rPr>
        <w:t>）国务院银行业监督管理机构、中国人民银行认可的其他具有良好流动性的货币市场工具。</w:t>
      </w:r>
    </w:p>
    <w:p w14:paraId="68A1B9B3" w14:textId="77777777" w:rsidR="00A47A16" w:rsidRDefault="00E74674">
      <w:pPr>
        <w:spacing w:line="300" w:lineRule="exact"/>
        <w:ind w:firstLineChars="200" w:firstLine="400"/>
        <w:jc w:val="both"/>
      </w:pPr>
      <w:r>
        <w:rPr>
          <w:rFonts w:ascii="Times New Roman" w:eastAsia="楷体_GB2312" w:hAnsi="Times New Roman" w:cs="楷体_GB2312" w:hint="eastAsia"/>
          <w:color w:val="000000" w:themeColor="text1"/>
          <w:sz w:val="20"/>
          <w:szCs w:val="20"/>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712C3C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14:paraId="377086AB" w14:textId="77777777" w:rsidR="00A47A16" w:rsidRDefault="00E74674">
      <w:pPr>
        <w:spacing w:line="300" w:lineRule="exact"/>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．投资禁止</w:t>
      </w:r>
      <w:r>
        <w:rPr>
          <w:rFonts w:ascii="楷体_GB2312" w:eastAsia="楷体_GB2312" w:cs="楷体_GB2312"/>
          <w:color w:val="000000" w:themeColor="text1"/>
          <w:sz w:val="20"/>
          <w:szCs w:val="20"/>
        </w:rPr>
        <w:t>：</w:t>
      </w:r>
    </w:p>
    <w:p w14:paraId="67DE7EE0" w14:textId="77777777" w:rsidR="00A47A16" w:rsidRDefault="00E74674">
      <w:pPr>
        <w:spacing w:line="300" w:lineRule="exact"/>
        <w:ind w:firstLineChars="100" w:firstLine="2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本理财产品存续期间，不得投资于以下金融工具：</w:t>
      </w:r>
    </w:p>
    <w:p w14:paraId="5DB6582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）股票；</w:t>
      </w:r>
    </w:p>
    <w:p w14:paraId="37619967"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）可转换债券、可交换债券；</w:t>
      </w:r>
    </w:p>
    <w:p w14:paraId="3646E33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）以定期存款利率为基准利率的浮动利率债券，已进入最后一个利率调整期的除外；</w:t>
      </w:r>
    </w:p>
    <w:p w14:paraId="5887131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）信用等级在</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以下的债券、资产支持证券；</w:t>
      </w:r>
    </w:p>
    <w:p w14:paraId="7C26E24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）国务院银行业监督管理机构、中国人民银行禁止投资的其他金融工具。</w:t>
      </w:r>
    </w:p>
    <w:p w14:paraId="341438D1" w14:textId="77777777" w:rsidR="00A47A16" w:rsidRDefault="00E74674">
      <w:pPr>
        <w:spacing w:line="300" w:lineRule="exact"/>
        <w:jc w:val="both"/>
        <w:rPr>
          <w:rFonts w:ascii="楷体_GB2312" w:eastAsia="楷体_GB2312" w:hAnsi="Times New Roman" w:cs="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投资限制：</w:t>
      </w:r>
    </w:p>
    <w:p w14:paraId="7176E746"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a.</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）本产品投资于同一机构发行的债券及其作为原始权益人的资产支持证券的比例合计不得超过产品资产净值的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，投资于国债、中央银行票据、政策性金融债券的除外。</w:t>
      </w:r>
    </w:p>
    <w:p w14:paraId="7A626E25"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）本产品投资于所有主体信用评级低于</w:t>
      </w:r>
      <w:r>
        <w:rPr>
          <w:rFonts w:ascii="楷体_GB2312" w:eastAsia="楷体_GB2312" w:hAnsi="Times New Roman" w:cs="楷体_GB2312"/>
          <w:color w:val="000000" w:themeColor="text1"/>
          <w:sz w:val="20"/>
          <w:szCs w:val="20"/>
        </w:rPr>
        <w:t>AAA</w:t>
      </w:r>
      <w:r>
        <w:rPr>
          <w:rFonts w:ascii="楷体_GB2312" w:eastAsia="楷体_GB2312" w:hAnsi="Times New Roman" w:cs="楷体_GB2312" w:hint="eastAsia"/>
          <w:color w:val="000000" w:themeColor="text1"/>
          <w:sz w:val="20"/>
          <w:szCs w:val="20"/>
        </w:rPr>
        <w:t>的机构发行的金融工具的比例合计不得超过产品资产净值的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，其中单一机构发行的金融工具的比例合计不得超过产品资产净值的</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；本款所称金融工具包括债券、银行存款、同业存单、相关机构作为原始权益人的资产支持证券及国务院银行业监督管理机构认可的其他金融工具。</w:t>
      </w:r>
    </w:p>
    <w:p w14:paraId="075BFEB7"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）本产品投资于有固定期限银行存款的比例合计不得超过产品资产净值的</w:t>
      </w:r>
      <w:r>
        <w:rPr>
          <w:rFonts w:ascii="楷体_GB2312" w:eastAsia="楷体_GB2312" w:hAnsi="Times New Roman" w:cs="楷体_GB2312"/>
          <w:color w:val="000000" w:themeColor="text1"/>
          <w:sz w:val="20"/>
          <w:szCs w:val="20"/>
        </w:rPr>
        <w:t>30%</w:t>
      </w:r>
      <w:r>
        <w:rPr>
          <w:rFonts w:ascii="楷体_GB2312" w:eastAsia="楷体_GB2312" w:hAnsi="Times New Roman" w:cs="楷体_GB2312" w:hint="eastAsia"/>
          <w:color w:val="000000" w:themeColor="text1"/>
          <w:sz w:val="20"/>
          <w:szCs w:val="20"/>
        </w:rPr>
        <w:t>，投资于有存款期限，根据协议可提前支取的银行存款除外；本产品投资于主体信用评级为</w:t>
      </w:r>
      <w:r>
        <w:rPr>
          <w:rFonts w:ascii="楷体_GB2312" w:eastAsia="楷体_GB2312" w:hAnsi="Times New Roman" w:cs="楷体_GB2312"/>
          <w:color w:val="000000" w:themeColor="text1"/>
          <w:sz w:val="20"/>
          <w:szCs w:val="20"/>
        </w:rPr>
        <w:t>AAA</w:t>
      </w:r>
      <w:r>
        <w:rPr>
          <w:rFonts w:ascii="楷体_GB2312" w:eastAsia="楷体_GB2312" w:hAnsi="Times New Roman" w:cs="楷体_GB2312" w:hint="eastAsia"/>
          <w:color w:val="000000" w:themeColor="text1"/>
          <w:sz w:val="20"/>
          <w:szCs w:val="20"/>
        </w:rPr>
        <w:t>的同一商业银行的银行存款、同业存单占产品资产净值的比例合计不得超过</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w:t>
      </w:r>
    </w:p>
    <w:p w14:paraId="6F3C5E9B"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非主观因素导致突破前款各项比例限制的，管理人应当在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个交易日内调整至符合要求，国务院银行业监督管理机构规定的特殊情形除外。</w:t>
      </w:r>
    </w:p>
    <w:p w14:paraId="5F1581A1"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b.</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）本产品持有不低于产品资产净值</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的现金、国债、中央银行票据、政策性金融债券；</w:t>
      </w:r>
    </w:p>
    <w:p w14:paraId="2B135A2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）本产品持有不低于产品资产净值</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的现金、国债、中央银行票据、政策性金融债券以及五个交易日内到期的其他金融工具；</w:t>
      </w:r>
    </w:p>
    <w:p w14:paraId="4089014C"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）本产品投资到期日在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个交易日以上的债券买入返售、银行定期存款（</w:t>
      </w:r>
      <w:proofErr w:type="gramStart"/>
      <w:r>
        <w:rPr>
          <w:rFonts w:ascii="楷体_GB2312" w:eastAsia="楷体_GB2312" w:hAnsi="Times New Roman" w:cs="楷体_GB2312" w:hint="eastAsia"/>
          <w:color w:val="000000" w:themeColor="text1"/>
          <w:sz w:val="20"/>
          <w:szCs w:val="20"/>
        </w:rPr>
        <w:t>含协议</w:t>
      </w:r>
      <w:proofErr w:type="gramEnd"/>
      <w:r>
        <w:rPr>
          <w:rFonts w:ascii="楷体_GB2312" w:eastAsia="楷体_GB2312" w:hAnsi="Times New Roman" w:cs="楷体_GB2312" w:hint="eastAsia"/>
          <w:color w:val="000000" w:themeColor="text1"/>
          <w:sz w:val="20"/>
          <w:szCs w:val="20"/>
        </w:rPr>
        <w:t>约定有条件提前支取的银行存款），以及资产支持证券、因发行人债务违约无法进行转让或者交易的债券等由于法律法规、合同或者操作障碍等原因无法以合理价格予以变现的流动性受限资产，合计不得超过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w:t>
      </w:r>
    </w:p>
    <w:p w14:paraId="2164B66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4</w:t>
      </w:r>
      <w:r>
        <w:rPr>
          <w:rFonts w:ascii="楷体_GB2312" w:eastAsia="楷体_GB2312" w:hAnsi="Times New Roman" w:cs="楷体_GB2312" w:hint="eastAsia"/>
          <w:color w:val="000000" w:themeColor="text1"/>
          <w:sz w:val="20"/>
          <w:szCs w:val="20"/>
        </w:rPr>
        <w:t>）本产品的杠杆水平不得超过</w:t>
      </w:r>
      <w:r>
        <w:rPr>
          <w:rFonts w:ascii="楷体_GB2312" w:eastAsia="楷体_GB2312" w:hAnsi="Times New Roman" w:cs="楷体_GB2312"/>
          <w:color w:val="000000" w:themeColor="text1"/>
          <w:sz w:val="20"/>
          <w:szCs w:val="20"/>
        </w:rPr>
        <w:t>120%</w:t>
      </w:r>
      <w:r>
        <w:rPr>
          <w:rFonts w:ascii="楷体_GB2312" w:eastAsia="楷体_GB2312" w:hAnsi="Times New Roman" w:cs="楷体_GB2312" w:hint="eastAsia"/>
          <w:color w:val="000000" w:themeColor="text1"/>
          <w:sz w:val="20"/>
          <w:szCs w:val="20"/>
        </w:rPr>
        <w:t>，发生巨额赎回、连续</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个交易日累计赎回</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以上或者连续</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个交易日累计赎回</w:t>
      </w:r>
      <w:r>
        <w:rPr>
          <w:rFonts w:ascii="楷体_GB2312" w:eastAsia="楷体_GB2312" w:hAnsi="Times New Roman" w:cs="楷体_GB2312"/>
          <w:color w:val="000000" w:themeColor="text1"/>
          <w:sz w:val="20"/>
          <w:szCs w:val="20"/>
        </w:rPr>
        <w:t>30%</w:t>
      </w:r>
      <w:r>
        <w:rPr>
          <w:rFonts w:ascii="楷体_GB2312" w:eastAsia="楷体_GB2312" w:hAnsi="Times New Roman" w:cs="楷体_GB2312" w:hint="eastAsia"/>
          <w:color w:val="000000" w:themeColor="text1"/>
          <w:sz w:val="20"/>
          <w:szCs w:val="20"/>
        </w:rPr>
        <w:t>以上的情形除外。</w:t>
      </w:r>
    </w:p>
    <w:p w14:paraId="4841E8AA"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非主观因素导致突破前款第（</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4</w:t>
      </w:r>
      <w:r>
        <w:rPr>
          <w:rFonts w:ascii="楷体_GB2312" w:eastAsia="楷体_GB2312" w:hAnsi="Times New Roman" w:cs="楷体_GB2312" w:hint="eastAsia"/>
          <w:color w:val="000000" w:themeColor="text1"/>
          <w:sz w:val="20"/>
          <w:szCs w:val="20"/>
        </w:rPr>
        <w:t>）项比例限制的，管理人应当在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个交易日内调整至符合要求；非主观因素导致突破前款第（</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）项比例限制的，管理人不得主动新增流动性受限资产的投资。</w:t>
      </w:r>
    </w:p>
    <w:p w14:paraId="2D41E6FC"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c.</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）本产品投资组合的平均剩余期限不超过</w:t>
      </w:r>
      <w:r>
        <w:rPr>
          <w:rFonts w:ascii="楷体_GB2312" w:eastAsia="楷体_GB2312" w:hAnsi="Times New Roman" w:cs="楷体_GB2312"/>
          <w:color w:val="000000" w:themeColor="text1"/>
          <w:sz w:val="20"/>
          <w:szCs w:val="20"/>
        </w:rPr>
        <w:t>120</w:t>
      </w:r>
      <w:r>
        <w:rPr>
          <w:rFonts w:ascii="楷体_GB2312" w:eastAsia="楷体_GB2312" w:hAnsi="Times New Roman" w:cs="楷体_GB2312" w:hint="eastAsia"/>
          <w:color w:val="000000" w:themeColor="text1"/>
          <w:sz w:val="20"/>
          <w:szCs w:val="20"/>
        </w:rPr>
        <w:t>天，平均剩余存续期限不超过</w:t>
      </w:r>
      <w:r>
        <w:rPr>
          <w:rFonts w:ascii="楷体_GB2312" w:eastAsia="楷体_GB2312" w:hAnsi="Times New Roman" w:cs="楷体_GB2312"/>
          <w:color w:val="000000" w:themeColor="text1"/>
          <w:sz w:val="20"/>
          <w:szCs w:val="20"/>
        </w:rPr>
        <w:t>240</w:t>
      </w:r>
      <w:r>
        <w:rPr>
          <w:rFonts w:ascii="楷体_GB2312" w:eastAsia="楷体_GB2312" w:hAnsi="Times New Roman" w:cs="楷体_GB2312" w:hint="eastAsia"/>
          <w:color w:val="000000" w:themeColor="text1"/>
          <w:sz w:val="20"/>
          <w:szCs w:val="20"/>
        </w:rPr>
        <w:t>天。</w:t>
      </w:r>
    </w:p>
    <w:p w14:paraId="323544C9"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）当本产品前</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名投资者的持有份额合计超过产品总份额的</w:t>
      </w:r>
      <w:r>
        <w:rPr>
          <w:rFonts w:ascii="楷体_GB2312" w:eastAsia="楷体_GB2312" w:hAnsi="Times New Roman" w:cs="楷体_GB2312"/>
          <w:color w:val="000000" w:themeColor="text1"/>
          <w:sz w:val="20"/>
          <w:szCs w:val="20"/>
        </w:rPr>
        <w:t>50%</w:t>
      </w:r>
      <w:r>
        <w:rPr>
          <w:rFonts w:ascii="楷体_GB2312" w:eastAsia="楷体_GB2312" w:hAnsi="Times New Roman" w:cs="楷体_GB2312" w:hint="eastAsia"/>
          <w:color w:val="000000" w:themeColor="text1"/>
          <w:sz w:val="20"/>
          <w:szCs w:val="20"/>
        </w:rPr>
        <w:t>时，投资组合的平均剩余期限不得超过</w:t>
      </w:r>
      <w:r>
        <w:rPr>
          <w:rFonts w:ascii="楷体_GB2312" w:eastAsia="楷体_GB2312" w:hAnsi="Times New Roman" w:cs="楷体_GB2312"/>
          <w:color w:val="000000" w:themeColor="text1"/>
          <w:sz w:val="20"/>
          <w:szCs w:val="20"/>
        </w:rPr>
        <w:t>60</w:t>
      </w:r>
      <w:r>
        <w:rPr>
          <w:rFonts w:ascii="楷体_GB2312" w:eastAsia="楷体_GB2312" w:hAnsi="Times New Roman" w:cs="楷体_GB2312" w:hint="eastAsia"/>
          <w:color w:val="000000" w:themeColor="text1"/>
          <w:sz w:val="20"/>
          <w:szCs w:val="20"/>
        </w:rPr>
        <w:t>天，平均剩余存续期限不得超过</w:t>
      </w:r>
      <w:r>
        <w:rPr>
          <w:rFonts w:ascii="楷体_GB2312" w:eastAsia="楷体_GB2312" w:hAnsi="Times New Roman" w:cs="楷体_GB2312"/>
          <w:color w:val="000000" w:themeColor="text1"/>
          <w:sz w:val="20"/>
          <w:szCs w:val="20"/>
        </w:rPr>
        <w:t>120</w:t>
      </w:r>
      <w:r>
        <w:rPr>
          <w:rFonts w:ascii="楷体_GB2312" w:eastAsia="楷体_GB2312" w:hAnsi="Times New Roman" w:cs="楷体_GB2312" w:hint="eastAsia"/>
          <w:color w:val="000000" w:themeColor="text1"/>
          <w:sz w:val="20"/>
          <w:szCs w:val="20"/>
        </w:rPr>
        <w:t>天，投资组合中现金、国债、中央银行票据、政策性金融债券以及</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个交易日内到期的其他金融工具占该产品资产净值的比例合计不得低于</w:t>
      </w:r>
      <w:r>
        <w:rPr>
          <w:rFonts w:ascii="楷体_GB2312" w:eastAsia="楷体_GB2312" w:hAnsi="Times New Roman" w:cs="楷体_GB2312"/>
          <w:color w:val="000000" w:themeColor="text1"/>
          <w:sz w:val="20"/>
          <w:szCs w:val="20"/>
        </w:rPr>
        <w:t>30%</w:t>
      </w:r>
      <w:r>
        <w:rPr>
          <w:rFonts w:ascii="楷体_GB2312" w:eastAsia="楷体_GB2312" w:hAnsi="Times New Roman" w:cs="楷体_GB2312" w:hint="eastAsia"/>
          <w:color w:val="000000" w:themeColor="text1"/>
          <w:sz w:val="20"/>
          <w:szCs w:val="20"/>
        </w:rPr>
        <w:t>。</w:t>
      </w:r>
    </w:p>
    <w:p w14:paraId="0809D405"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）当本产品前</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名投资者的持有份额合计超过产品总份额的</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时，投资组合的平均剩余期限不得超过</w:t>
      </w:r>
      <w:r>
        <w:rPr>
          <w:rFonts w:ascii="楷体_GB2312" w:eastAsia="楷体_GB2312" w:hAnsi="Times New Roman" w:cs="楷体_GB2312"/>
          <w:color w:val="000000" w:themeColor="text1"/>
          <w:sz w:val="20"/>
          <w:szCs w:val="20"/>
        </w:rPr>
        <w:t>90</w:t>
      </w:r>
      <w:r>
        <w:rPr>
          <w:rFonts w:ascii="楷体_GB2312" w:eastAsia="楷体_GB2312" w:hAnsi="Times New Roman" w:cs="楷体_GB2312" w:hint="eastAsia"/>
          <w:color w:val="000000" w:themeColor="text1"/>
          <w:sz w:val="20"/>
          <w:szCs w:val="20"/>
        </w:rPr>
        <w:t>天，平均剩余存续期限不得超过</w:t>
      </w:r>
      <w:r>
        <w:rPr>
          <w:rFonts w:ascii="楷体_GB2312" w:eastAsia="楷体_GB2312" w:hAnsi="Times New Roman" w:cs="楷体_GB2312"/>
          <w:color w:val="000000" w:themeColor="text1"/>
          <w:sz w:val="20"/>
          <w:szCs w:val="20"/>
        </w:rPr>
        <w:t>180</w:t>
      </w:r>
      <w:r>
        <w:rPr>
          <w:rFonts w:ascii="楷体_GB2312" w:eastAsia="楷体_GB2312" w:hAnsi="Times New Roman" w:cs="楷体_GB2312" w:hint="eastAsia"/>
          <w:color w:val="000000" w:themeColor="text1"/>
          <w:sz w:val="20"/>
          <w:szCs w:val="20"/>
        </w:rPr>
        <w:t>天，投资组合中现金、国债、中央银行票据、政策性金融债券以及</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个交易日内到期的其他金融工具占该产品资产净值的比例合计不得低于</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w:t>
      </w:r>
    </w:p>
    <w:p w14:paraId="5DE02A6C"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）项比例限制的，管理人应当在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个交易日内调整至符合要求，国务院银行业监督管理机构规定的特殊情形除外。</w:t>
      </w:r>
    </w:p>
    <w:p w14:paraId="467CE6DD"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d.</w:t>
      </w:r>
      <w:r>
        <w:rPr>
          <w:rFonts w:ascii="楷体_GB2312" w:eastAsia="楷体_GB2312" w:hAnsi="Times New Roman" w:cs="楷体_GB2312" w:hint="eastAsia"/>
          <w:color w:val="000000" w:themeColor="text1"/>
          <w:sz w:val="20"/>
          <w:szCs w:val="20"/>
        </w:rPr>
        <w:t>本产品不得同时出现下述情形</w:t>
      </w:r>
      <w:r>
        <w:rPr>
          <w:rFonts w:ascii="楷体_GB2312" w:eastAsia="楷体_GB2312" w:hAnsi="Times New Roman" w:cs="楷体_GB2312"/>
          <w:color w:val="000000" w:themeColor="text1"/>
          <w:sz w:val="20"/>
          <w:szCs w:val="20"/>
        </w:rPr>
        <w:t>:</w:t>
      </w:r>
    </w:p>
    <w:p w14:paraId="40B17BE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）计划投资不存在活跃交易市场，并且需要采用估值技术确定公允价值的资产；</w:t>
      </w:r>
    </w:p>
    <w:p w14:paraId="73EC5CE2"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）计划投资上述资产的比例达到产品净资产</w:t>
      </w:r>
      <w:r>
        <w:rPr>
          <w:rFonts w:ascii="楷体_GB2312" w:eastAsia="楷体_GB2312" w:hAnsi="Times New Roman" w:cs="楷体_GB2312"/>
          <w:color w:val="000000" w:themeColor="text1"/>
          <w:sz w:val="20"/>
          <w:szCs w:val="20"/>
        </w:rPr>
        <w:t>50%</w:t>
      </w:r>
      <w:r>
        <w:rPr>
          <w:rFonts w:ascii="楷体_GB2312" w:eastAsia="楷体_GB2312" w:hAnsi="Times New Roman" w:cs="楷体_GB2312" w:hint="eastAsia"/>
          <w:color w:val="000000" w:themeColor="text1"/>
          <w:sz w:val="20"/>
          <w:szCs w:val="20"/>
        </w:rPr>
        <w:t>以上。</w:t>
      </w:r>
    </w:p>
    <w:p w14:paraId="3033FDCD"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非因管理人主观因素导致突破前款规定比例限制的，不得新增投资上述资产。</w:t>
      </w:r>
    </w:p>
    <w:p w14:paraId="26CC9FB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e.</w:t>
      </w:r>
      <w:r>
        <w:rPr>
          <w:rFonts w:ascii="楷体_GB2312" w:eastAsia="楷体_GB2312" w:hAnsi="Times New Roman" w:cs="楷体_GB2312" w:hint="eastAsia"/>
          <w:color w:val="000000" w:themeColor="text1"/>
          <w:sz w:val="20"/>
          <w:szCs w:val="20"/>
        </w:rPr>
        <w:t>直接投资于流动性受限资产的市值在开放日不得超过该产品资产净值的</w:t>
      </w:r>
      <w:r>
        <w:rPr>
          <w:rFonts w:ascii="楷体_GB2312" w:eastAsia="楷体_GB2312" w:hAnsi="Times New Roman" w:cs="楷体_GB2312"/>
          <w:color w:val="000000" w:themeColor="text1"/>
          <w:sz w:val="20"/>
          <w:szCs w:val="20"/>
        </w:rPr>
        <w:t>15%</w:t>
      </w:r>
      <w:r>
        <w:rPr>
          <w:rFonts w:ascii="楷体_GB2312" w:eastAsia="楷体_GB2312" w:hAnsi="Times New Roman" w:cs="楷体_GB2312" w:hint="eastAsia"/>
          <w:color w:val="000000" w:themeColor="text1"/>
          <w:sz w:val="20"/>
          <w:szCs w:val="20"/>
        </w:rPr>
        <w:t>。因证券市场波动、理财产品规模变动等因素导致理财产品不符合本条规定比例限制的，不得主动新增投资流动性受限资产。</w:t>
      </w:r>
    </w:p>
    <w:p w14:paraId="42B457E0"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f.</w:t>
      </w:r>
      <w:r>
        <w:rPr>
          <w:rFonts w:ascii="楷体_GB2312" w:eastAsia="楷体_GB2312" w:hAnsi="Times New Roman" w:cs="楷体_GB2312" w:hint="eastAsia"/>
          <w:color w:val="000000" w:themeColor="text1"/>
          <w:sz w:val="20"/>
          <w:szCs w:val="20"/>
        </w:rPr>
        <w:t>在开放日前</w:t>
      </w:r>
      <w:proofErr w:type="gramStart"/>
      <w:r>
        <w:rPr>
          <w:rFonts w:ascii="楷体_GB2312" w:eastAsia="楷体_GB2312" w:hAnsi="Times New Roman" w:cs="楷体_GB2312" w:hint="eastAsia"/>
          <w:color w:val="000000" w:themeColor="text1"/>
          <w:sz w:val="20"/>
          <w:szCs w:val="20"/>
        </w:rPr>
        <w:t>一</w:t>
      </w:r>
      <w:proofErr w:type="gramEnd"/>
      <w:r>
        <w:rPr>
          <w:rFonts w:ascii="楷体_GB2312" w:eastAsia="楷体_GB2312" w:hAnsi="Times New Roman" w:cs="楷体_GB2312" w:hint="eastAsia"/>
          <w:color w:val="000000" w:themeColor="text1"/>
          <w:sz w:val="20"/>
          <w:szCs w:val="20"/>
        </w:rPr>
        <w:t>工作日内，</w:t>
      </w:r>
      <w:r>
        <w:rPr>
          <w:rFonts w:ascii="楷体_GB2312" w:eastAsia="楷体_GB2312" w:hAnsi="Times New Roman" w:cs="楷体_GB2312"/>
          <w:color w:val="000000" w:themeColor="text1"/>
          <w:sz w:val="20"/>
          <w:szCs w:val="20"/>
        </w:rPr>
        <w:t>7</w:t>
      </w:r>
      <w:r>
        <w:rPr>
          <w:rFonts w:ascii="楷体_GB2312" w:eastAsia="楷体_GB2312" w:hAnsi="Times New Roman" w:cs="楷体_GB2312" w:hint="eastAsia"/>
          <w:color w:val="000000" w:themeColor="text1"/>
          <w:sz w:val="20"/>
          <w:szCs w:val="20"/>
        </w:rPr>
        <w:t>个工作日可变现资产的可变现价</w:t>
      </w:r>
      <w:proofErr w:type="gramStart"/>
      <w:r>
        <w:rPr>
          <w:rFonts w:ascii="楷体_GB2312" w:eastAsia="楷体_GB2312" w:hAnsi="Times New Roman" w:cs="楷体_GB2312" w:hint="eastAsia"/>
          <w:color w:val="000000" w:themeColor="text1"/>
          <w:sz w:val="20"/>
          <w:szCs w:val="20"/>
        </w:rPr>
        <w:t>值应当</w:t>
      </w:r>
      <w:proofErr w:type="gramEnd"/>
      <w:r>
        <w:rPr>
          <w:rFonts w:ascii="楷体_GB2312" w:eastAsia="楷体_GB2312" w:hAnsi="Times New Roman" w:cs="楷体_GB2312" w:hint="eastAsia"/>
          <w:color w:val="000000" w:themeColor="text1"/>
          <w:sz w:val="20"/>
          <w:szCs w:val="20"/>
        </w:rPr>
        <w:t>不低于产品资产净值的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w:t>
      </w:r>
    </w:p>
    <w:p w14:paraId="17521386" w14:textId="77777777" w:rsidR="00A47A16" w:rsidRDefault="00E74674">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7B7EE0A" w14:textId="77777777" w:rsidR="00A47A16" w:rsidRDefault="00E74674">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0982C31D" w14:textId="77777777" w:rsidR="00A47A16" w:rsidRDefault="00E74674">
      <w:pPr>
        <w:snapToGrid w:val="0"/>
        <w:ind w:leftChars="-1" w:left="-2" w:rightChars="22" w:right="53"/>
        <w:rPr>
          <w:color w:val="000000" w:themeColor="text1"/>
        </w:rPr>
      </w:pPr>
      <w:r>
        <w:rPr>
          <w:rFonts w:ascii="Times New Roman" w:eastAsia="楷体_GB2312" w:hAnsi="Times New Roman"/>
          <w:color w:val="000000" w:themeColor="text1"/>
          <w:sz w:val="20"/>
          <w:szCs w:val="20"/>
        </w:rPr>
        <w:t> </w:t>
      </w:r>
    </w:p>
    <w:p w14:paraId="7883F1B2" w14:textId="77777777" w:rsidR="00A47A16" w:rsidRDefault="00E74674">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A47A16" w14:paraId="00072A39" w14:textId="77777777">
        <w:trPr>
          <w:trHeight w:val="361"/>
        </w:trPr>
        <w:tc>
          <w:tcPr>
            <w:tcW w:w="1127" w:type="pct"/>
            <w:vAlign w:val="center"/>
          </w:tcPr>
          <w:p w14:paraId="78DC2269"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A47A16" w:rsidRDefault="00E74674">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【信银理财日盈象天天利155号现金管理型理财产品】</w:t>
            </w:r>
          </w:p>
        </w:tc>
      </w:tr>
      <w:tr w:rsidR="00A47A16" w14:paraId="3A26CE64" w14:textId="77777777">
        <w:trPr>
          <w:trHeight w:val="361"/>
        </w:trPr>
        <w:tc>
          <w:tcPr>
            <w:tcW w:w="1127" w:type="pct"/>
            <w:vAlign w:val="center"/>
          </w:tcPr>
          <w:p w14:paraId="2DEB7120"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Z7002624000445】</w:t>
            </w:r>
          </w:p>
        </w:tc>
      </w:tr>
      <w:tr w:rsidR="00A47A16" w14:paraId="12430016" w14:textId="77777777">
        <w:trPr>
          <w:trHeight w:val="361"/>
        </w:trPr>
        <w:tc>
          <w:tcPr>
            <w:tcW w:w="1127" w:type="pct"/>
            <w:vAlign w:val="center"/>
          </w:tcPr>
          <w:p w14:paraId="4AF52B23"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AM244095】</w:t>
            </w:r>
          </w:p>
        </w:tc>
      </w:tr>
      <w:tr w:rsidR="00A47A16" w14:paraId="616CA139" w14:textId="77777777">
        <w:trPr>
          <w:trHeight w:val="361"/>
        </w:trPr>
        <w:tc>
          <w:tcPr>
            <w:tcW w:w="1127" w:type="pct"/>
            <w:vAlign w:val="center"/>
          </w:tcPr>
          <w:p w14:paraId="7DC8A439"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3" w:type="pct"/>
            <w:vAlign w:val="center"/>
          </w:tcPr>
          <w:p w14:paraId="15510D01"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开放式</w:t>
            </w:r>
          </w:p>
        </w:tc>
      </w:tr>
      <w:tr w:rsidR="00A47A16" w14:paraId="400E3813" w14:textId="77777777">
        <w:trPr>
          <w:trHeight w:val="361"/>
        </w:trPr>
        <w:tc>
          <w:tcPr>
            <w:tcW w:w="1127" w:type="pct"/>
            <w:vAlign w:val="center"/>
          </w:tcPr>
          <w:p w14:paraId="1F71FAF3" w14:textId="77777777" w:rsidR="00A47A16" w:rsidRDefault="00E74674">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PR</w:t>
            </w:r>
            <w:r>
              <w:rPr>
                <w:rFonts w:ascii="楷体_GB2312" w:eastAsia="楷体_GB2312" w:cs="楷体_GB2312" w:hint="eastAsia"/>
                <w:color w:val="000000" w:themeColor="text1"/>
                <w:sz w:val="20"/>
                <w:szCs w:val="20"/>
              </w:rPr>
              <w:t>【1】级（【谨慎】</w:t>
            </w:r>
            <w:r>
              <w:rPr>
                <w:rFonts w:ascii="楷体_GB2312" w:eastAsia="楷体_GB2312" w:cs="楷体_GB2312"/>
                <w:color w:val="000000" w:themeColor="text1"/>
                <w:sz w:val="20"/>
                <w:szCs w:val="20"/>
              </w:rPr>
              <w:t>型</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247538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A47A16" w14:paraId="685D4D57" w14:textId="77777777">
        <w:trPr>
          <w:trHeight w:val="361"/>
        </w:trPr>
        <w:tc>
          <w:tcPr>
            <w:tcW w:w="1127" w:type="pct"/>
            <w:vAlign w:val="center"/>
          </w:tcPr>
          <w:p w14:paraId="58B37E3E"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color w:val="000000" w:themeColor="text1"/>
                <w:sz w:val="20"/>
                <w:szCs w:val="20"/>
              </w:rPr>
              <w:t>【谨慎</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】【稳健</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】【平衡</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】【进取</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】【激进</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A47A16" w14:paraId="7F6A435A" w14:textId="77777777">
        <w:trPr>
          <w:trHeight w:val="361"/>
        </w:trPr>
        <w:tc>
          <w:tcPr>
            <w:tcW w:w="1127" w:type="pct"/>
            <w:vAlign w:val="center"/>
          </w:tcPr>
          <w:p w14:paraId="7C89F815" w14:textId="77777777" w:rsidR="00A47A16" w:rsidRDefault="00E74674">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lastRenderedPageBreak/>
              <w:t>理财本金</w:t>
            </w:r>
          </w:p>
        </w:tc>
        <w:tc>
          <w:tcPr>
            <w:tcW w:w="3873" w:type="pct"/>
            <w:vAlign w:val="center"/>
          </w:tcPr>
          <w:p w14:paraId="53FF2CE6"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A47A16" w14:paraId="2C04AB67" w14:textId="77777777">
        <w:trPr>
          <w:trHeight w:val="361"/>
        </w:trPr>
        <w:tc>
          <w:tcPr>
            <w:tcW w:w="1127" w:type="pct"/>
            <w:vAlign w:val="center"/>
          </w:tcPr>
          <w:p w14:paraId="2AA6BEB2"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A47A16" w14:paraId="6EA870C1" w14:textId="77777777">
        <w:trPr>
          <w:trHeight w:val="361"/>
        </w:trPr>
        <w:tc>
          <w:tcPr>
            <w:tcW w:w="1127" w:type="pct"/>
            <w:vAlign w:val="center"/>
          </w:tcPr>
          <w:p w14:paraId="4AF6DAAB"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】1元。</w:t>
            </w:r>
          </w:p>
        </w:tc>
      </w:tr>
      <w:tr w:rsidR="00A47A16" w14:paraId="1E1AD0E9" w14:textId="77777777">
        <w:trPr>
          <w:trHeight w:val="915"/>
        </w:trPr>
        <w:tc>
          <w:tcPr>
            <w:tcW w:w="1127" w:type="pct"/>
            <w:vAlign w:val="center"/>
          </w:tcPr>
          <w:p w14:paraId="6E93370A"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42E74122"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份额代码【AM244095B】</w:t>
            </w:r>
          </w:p>
          <w:p w14:paraId="69341EC1"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份额代码【AM244095A】</w:t>
            </w:r>
          </w:p>
          <w:p w14:paraId="710820ED"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D类份额：份额代码【AM244095D】</w:t>
            </w:r>
          </w:p>
          <w:p w14:paraId="00A6DC8C"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H类份额：份额代码【AM244095H】</w:t>
            </w:r>
          </w:p>
          <w:p w14:paraId="1C678967"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L类份额：</w:t>
            </w:r>
            <w:r>
              <w:rPr>
                <w:rFonts w:ascii="楷体_GB2312" w:eastAsia="楷体_GB2312" w:cs="楷体_GB2312"/>
                <w:sz w:val="20"/>
                <w:szCs w:val="20"/>
              </w:rPr>
              <w:t>份额代码【AM244095L】</w:t>
            </w:r>
          </w:p>
          <w:p w14:paraId="4B0F0424"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M</w:t>
            </w:r>
            <w:r>
              <w:rPr>
                <w:rFonts w:ascii="楷体_GB2312" w:eastAsia="楷体_GB2312" w:cs="楷体_GB2312" w:hint="eastAsia"/>
                <w:sz w:val="20"/>
                <w:szCs w:val="20"/>
              </w:rPr>
              <w:t>类份额：份额代码【AM244095</w:t>
            </w:r>
            <w:r>
              <w:rPr>
                <w:rFonts w:ascii="楷体_GB2312" w:eastAsia="楷体_GB2312" w:cs="楷体_GB2312"/>
                <w:sz w:val="20"/>
                <w:szCs w:val="20"/>
              </w:rPr>
              <w:t>M</w:t>
            </w:r>
            <w:r>
              <w:rPr>
                <w:rFonts w:ascii="楷体_GB2312" w:eastAsia="楷体_GB2312" w:cs="楷体_GB2312" w:hint="eastAsia"/>
                <w:sz w:val="20"/>
                <w:szCs w:val="20"/>
              </w:rPr>
              <w:t>】</w:t>
            </w:r>
          </w:p>
          <w:p w14:paraId="410574B7"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N</w:t>
            </w:r>
            <w:r>
              <w:rPr>
                <w:rFonts w:ascii="楷体_GB2312" w:eastAsia="楷体_GB2312" w:cs="楷体_GB2312" w:hint="eastAsia"/>
                <w:sz w:val="20"/>
                <w:szCs w:val="20"/>
              </w:rPr>
              <w:t>类份额：份额代码【AM244095</w:t>
            </w:r>
            <w:r>
              <w:rPr>
                <w:rFonts w:ascii="楷体_GB2312" w:eastAsia="楷体_GB2312" w:cs="楷体_GB2312"/>
                <w:sz w:val="20"/>
                <w:szCs w:val="20"/>
              </w:rPr>
              <w:t>N</w:t>
            </w:r>
            <w:r>
              <w:rPr>
                <w:rFonts w:ascii="楷体_GB2312" w:eastAsia="楷体_GB2312" w:cs="楷体_GB2312" w:hint="eastAsia"/>
                <w:sz w:val="20"/>
                <w:szCs w:val="20"/>
              </w:rPr>
              <w:t>】</w:t>
            </w:r>
          </w:p>
          <w:p w14:paraId="095B7543"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S</w:t>
            </w:r>
            <w:r>
              <w:rPr>
                <w:rFonts w:ascii="楷体_GB2312" w:eastAsia="楷体_GB2312" w:cs="楷体_GB2312" w:hint="eastAsia"/>
                <w:sz w:val="20"/>
                <w:szCs w:val="20"/>
              </w:rPr>
              <w:t>类份额：份额代码【AM244095</w:t>
            </w:r>
            <w:r>
              <w:rPr>
                <w:rFonts w:ascii="楷体_GB2312" w:eastAsia="楷体_GB2312" w:cs="楷体_GB2312"/>
                <w:sz w:val="20"/>
                <w:szCs w:val="20"/>
              </w:rPr>
              <w:t>S</w:t>
            </w:r>
            <w:r>
              <w:rPr>
                <w:rFonts w:ascii="楷体_GB2312" w:eastAsia="楷体_GB2312" w:cs="楷体_GB2312" w:hint="eastAsia"/>
                <w:sz w:val="20"/>
                <w:szCs w:val="20"/>
              </w:rPr>
              <w:t>】</w:t>
            </w:r>
          </w:p>
          <w:p w14:paraId="589314B1"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T</w:t>
            </w:r>
            <w:r>
              <w:rPr>
                <w:rFonts w:ascii="楷体_GB2312" w:eastAsia="楷体_GB2312" w:cs="楷体_GB2312" w:hint="eastAsia"/>
                <w:sz w:val="20"/>
                <w:szCs w:val="20"/>
              </w:rPr>
              <w:t>类份额：份额代码【AM244095</w:t>
            </w:r>
            <w:r>
              <w:rPr>
                <w:rFonts w:ascii="楷体_GB2312" w:eastAsia="楷体_GB2312" w:cs="楷体_GB2312"/>
                <w:sz w:val="20"/>
                <w:szCs w:val="20"/>
              </w:rPr>
              <w:t>T</w:t>
            </w:r>
            <w:r>
              <w:rPr>
                <w:rFonts w:ascii="楷体_GB2312" w:eastAsia="楷体_GB2312" w:cs="楷体_GB2312" w:hint="eastAsia"/>
                <w:sz w:val="20"/>
                <w:szCs w:val="20"/>
              </w:rPr>
              <w:t>】</w:t>
            </w:r>
          </w:p>
          <w:p w14:paraId="4DC34059"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P</w:t>
            </w:r>
            <w:r>
              <w:rPr>
                <w:rFonts w:ascii="楷体_GB2312" w:eastAsia="楷体_GB2312" w:cs="楷体_GB2312" w:hint="eastAsia"/>
                <w:sz w:val="20"/>
                <w:szCs w:val="20"/>
              </w:rPr>
              <w:t>类份额：份额代码【AM244095</w:t>
            </w:r>
            <w:r>
              <w:rPr>
                <w:rFonts w:ascii="楷体_GB2312" w:eastAsia="楷体_GB2312" w:cs="楷体_GB2312"/>
                <w:sz w:val="20"/>
                <w:szCs w:val="20"/>
              </w:rPr>
              <w:t>P</w:t>
            </w:r>
            <w:r>
              <w:rPr>
                <w:rFonts w:ascii="楷体_GB2312" w:eastAsia="楷体_GB2312" w:cs="楷体_GB2312" w:hint="eastAsia"/>
                <w:sz w:val="20"/>
                <w:szCs w:val="20"/>
              </w:rPr>
              <w:t>】</w:t>
            </w:r>
          </w:p>
          <w:p w14:paraId="575893CF" w14:textId="77777777" w:rsidR="00A47A16" w:rsidRDefault="00A47A16">
            <w:pPr>
              <w:spacing w:line="300" w:lineRule="exact"/>
              <w:ind w:rightChars="15" w:right="36"/>
              <w:rPr>
                <w:rFonts w:ascii="楷体_GB2312" w:eastAsia="楷体_GB2312" w:cs="楷体_GB2312"/>
                <w:color w:val="000000" w:themeColor="text1"/>
                <w:sz w:val="20"/>
                <w:szCs w:val="20"/>
              </w:rPr>
            </w:pPr>
          </w:p>
          <w:p w14:paraId="20B36AF4"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A47A16" w14:paraId="302FFC50" w14:textId="77777777">
        <w:trPr>
          <w:trHeight w:val="395"/>
        </w:trPr>
        <w:tc>
          <w:tcPr>
            <w:tcW w:w="1127" w:type="pct"/>
            <w:vAlign w:val="center"/>
          </w:tcPr>
          <w:p w14:paraId="4EFD9B2A"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72368241"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A47A16" w14:paraId="23AF6009" w14:textId="77777777">
        <w:trPr>
          <w:trHeight w:val="915"/>
        </w:trPr>
        <w:tc>
          <w:tcPr>
            <w:tcW w:w="1127" w:type="pct"/>
            <w:vAlign w:val="center"/>
          </w:tcPr>
          <w:p w14:paraId="4A3065B6"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募集期</w:t>
            </w:r>
          </w:p>
          <w:p w14:paraId="3DBAC20C" w14:textId="77777777" w:rsidR="00A47A16" w:rsidRDefault="00A47A16">
            <w:pPr>
              <w:spacing w:line="300" w:lineRule="exact"/>
              <w:ind w:leftChars="-1" w:left="-2" w:rightChars="15" w:right="36"/>
              <w:rPr>
                <w:rFonts w:ascii="Times New Roman" w:eastAsia="楷体_GB2312" w:hAnsi="Times New Roman" w:cs="Times New Roman"/>
                <w:color w:val="000000" w:themeColor="text1"/>
                <w:sz w:val="20"/>
                <w:szCs w:val="20"/>
              </w:rPr>
            </w:pPr>
          </w:p>
        </w:tc>
        <w:tc>
          <w:tcPr>
            <w:tcW w:w="3873" w:type="pct"/>
            <w:vAlign w:val="center"/>
          </w:tcPr>
          <w:p w14:paraId="40B31269" w14:textId="77777777" w:rsidR="00A47A16" w:rsidRDefault="00E74674">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024】年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A47A16" w:rsidRDefault="00E74674">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w:t>
            </w:r>
            <w:proofErr w:type="gramStart"/>
            <w:r>
              <w:rPr>
                <w:rFonts w:ascii="Times New Roman" w:eastAsia="楷体_GB2312" w:hAnsi="Times New Roman" w:cs="Times New Roman" w:hint="eastAsia"/>
                <w:color w:val="000000" w:themeColor="text1"/>
                <w:sz w:val="20"/>
                <w:szCs w:val="20"/>
              </w:rPr>
              <w:t>在信银理财</w:t>
            </w:r>
            <w:proofErr w:type="gramEnd"/>
            <w:r>
              <w:rPr>
                <w:rFonts w:ascii="Times New Roman" w:eastAsia="楷体_GB2312" w:hAnsi="Times New Roman" w:cs="Times New Roman" w:hint="eastAsia"/>
                <w:color w:val="000000" w:themeColor="text1"/>
                <w:sz w:val="20"/>
                <w:szCs w:val="20"/>
              </w:rPr>
              <w:t>直销渠道购买产品的，募集期内可以撤单。撤单具体规则</w:t>
            </w:r>
            <w:proofErr w:type="gramStart"/>
            <w:r>
              <w:rPr>
                <w:rFonts w:ascii="Times New Roman" w:eastAsia="楷体_GB2312" w:hAnsi="Times New Roman" w:cs="Times New Roman" w:hint="eastAsia"/>
                <w:color w:val="000000" w:themeColor="text1"/>
                <w:sz w:val="20"/>
                <w:szCs w:val="20"/>
              </w:rPr>
              <w:t>以信银理财</w:t>
            </w:r>
            <w:proofErr w:type="gramEnd"/>
            <w:r>
              <w:rPr>
                <w:rFonts w:ascii="Times New Roman" w:eastAsia="楷体_GB2312" w:hAnsi="Times New Roman" w:cs="Times New Roman" w:hint="eastAsia"/>
                <w:color w:val="000000" w:themeColor="text1"/>
                <w:sz w:val="20"/>
                <w:szCs w:val="20"/>
              </w:rPr>
              <w:t>说明或公布的操作方式为准。</w:t>
            </w:r>
          </w:p>
          <w:p w14:paraId="19E2D16F" w14:textId="77777777" w:rsidR="00A47A16" w:rsidRDefault="00E74674">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投资者在代销机构购买理财产品的，募集期内是否可以撤单以及撤单规则，以代销机构说明或公布的操作方式为准。</w:t>
            </w:r>
          </w:p>
          <w:p w14:paraId="7C97318D" w14:textId="77777777" w:rsidR="00A47A16" w:rsidRDefault="00E74674">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“可以撤单”则意味着投资者有权撤销其已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A47A16" w:rsidRDefault="00E74674">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A47A16" w14:paraId="3E295E1A" w14:textId="77777777">
        <w:trPr>
          <w:trHeight w:val="361"/>
        </w:trPr>
        <w:tc>
          <w:tcPr>
            <w:tcW w:w="1127" w:type="pct"/>
            <w:vAlign w:val="center"/>
          </w:tcPr>
          <w:p w14:paraId="40CD44BD" w14:textId="77777777" w:rsidR="00A47A16" w:rsidRDefault="00E74674">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运作起始日</w:t>
            </w:r>
          </w:p>
        </w:tc>
        <w:tc>
          <w:tcPr>
            <w:tcW w:w="3873" w:type="pct"/>
            <w:vAlign w:val="center"/>
          </w:tcPr>
          <w:p w14:paraId="1DD2E1B3" w14:textId="77777777" w:rsidR="00A47A16" w:rsidRDefault="00E74674">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024</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hint="eastAsia"/>
                <w:color w:val="000000" w:themeColor="text1"/>
                <w:sz w:val="20"/>
                <w:szCs w:val="20"/>
              </w:rPr>
              <w:t>起始日将相应调整。）</w:t>
            </w:r>
          </w:p>
        </w:tc>
      </w:tr>
      <w:tr w:rsidR="00A47A16" w14:paraId="0BDE8D1B" w14:textId="77777777">
        <w:trPr>
          <w:trHeight w:val="361"/>
        </w:trPr>
        <w:tc>
          <w:tcPr>
            <w:tcW w:w="1127" w:type="pct"/>
            <w:vAlign w:val="center"/>
          </w:tcPr>
          <w:p w14:paraId="540BEFA0"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无固定期限</w:t>
            </w:r>
          </w:p>
        </w:tc>
      </w:tr>
      <w:tr w:rsidR="00A47A16" w14:paraId="5C94DE88" w14:textId="77777777">
        <w:trPr>
          <w:trHeight w:val="361"/>
        </w:trPr>
        <w:tc>
          <w:tcPr>
            <w:tcW w:w="1127" w:type="pct"/>
            <w:vAlign w:val="center"/>
          </w:tcPr>
          <w:p w14:paraId="24E524AD"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cs="楷体_GB2312" w:hint="eastAsia"/>
                <w:color w:val="000000" w:themeColor="text1"/>
                <w:sz w:val="20"/>
                <w:szCs w:val="20"/>
              </w:rPr>
              <w:t>开放日</w:t>
            </w:r>
          </w:p>
        </w:tc>
        <w:tc>
          <w:tcPr>
            <w:tcW w:w="3873" w:type="pct"/>
            <w:vAlign w:val="center"/>
          </w:tcPr>
          <w:p w14:paraId="7152D47A" w14:textId="77777777" w:rsidR="00A47A16" w:rsidRDefault="00E74674">
            <w:pPr>
              <w:spacing w:line="300" w:lineRule="exact"/>
              <w:ind w:leftChars="-1" w:left="-2" w:rightChars="40" w:right="96"/>
              <w:rPr>
                <w:rFonts w:ascii="楷体_GB2312" w:eastAsia="楷体_GB2312" w:cs="楷体_GB2312"/>
                <w:sz w:val="20"/>
                <w:szCs w:val="20"/>
              </w:rPr>
            </w:pPr>
            <w:r>
              <w:rPr>
                <w:rFonts w:ascii="楷体_GB2312" w:eastAsia="楷体_GB2312" w:cs="楷体_GB2312"/>
                <w:sz w:val="20"/>
                <w:szCs w:val="20"/>
              </w:rPr>
              <w:t>1.</w:t>
            </w:r>
            <w:r>
              <w:rPr>
                <w:rFonts w:ascii="楷体_GB2312" w:eastAsia="楷体_GB2312" w:cs="楷体_GB2312" w:hint="eastAsia"/>
                <w:sz w:val="20"/>
                <w:szCs w:val="20"/>
              </w:rPr>
              <w:t>本产品在</w:t>
            </w:r>
            <w:r>
              <w:rPr>
                <w:rFonts w:ascii="楷体_GB2312" w:eastAsia="楷体_GB2312" w:cs="楷体_GB2312"/>
                <w:sz w:val="20"/>
                <w:szCs w:val="20"/>
              </w:rPr>
              <w:t>【</w:t>
            </w:r>
            <w:r>
              <w:rPr>
                <w:rFonts w:ascii="楷体_GB2312" w:eastAsia="楷体_GB2312" w:cs="楷体_GB2312" w:hint="eastAsia"/>
                <w:sz w:val="20"/>
                <w:szCs w:val="20"/>
              </w:rPr>
              <w:t>2</w:t>
            </w:r>
            <w:r>
              <w:rPr>
                <w:rFonts w:ascii="楷体_GB2312" w:eastAsia="楷体_GB2312" w:cs="楷体_GB2312"/>
                <w:sz w:val="20"/>
                <w:szCs w:val="20"/>
              </w:rPr>
              <w:t>024】年【9】月【6】日开放申购，之后按【日】为周期进行开放，开放日为【每个工作日】（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则顺延至下一工作日）。本产品首个赎回开放日为【</w:t>
            </w:r>
            <w:r>
              <w:rPr>
                <w:rFonts w:ascii="楷体_GB2312" w:eastAsia="楷体_GB2312" w:cs="楷体_GB2312" w:hint="eastAsia"/>
                <w:sz w:val="20"/>
                <w:szCs w:val="20"/>
              </w:rPr>
              <w:t>2</w:t>
            </w:r>
            <w:r>
              <w:rPr>
                <w:rFonts w:ascii="楷体_GB2312" w:eastAsia="楷体_GB2312" w:cs="楷体_GB2312"/>
                <w:sz w:val="20"/>
                <w:szCs w:val="20"/>
              </w:rPr>
              <w:t>024】年【9】月【6】日，之后按【日】为周期进行开放，开放日为【每个工作日】（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A47A16" w:rsidRDefault="00E74674">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A47A16" w14:paraId="7A206BAC" w14:textId="77777777">
        <w:trPr>
          <w:trHeight w:val="361"/>
        </w:trPr>
        <w:tc>
          <w:tcPr>
            <w:tcW w:w="1127" w:type="pct"/>
            <w:vAlign w:val="center"/>
          </w:tcPr>
          <w:p w14:paraId="5629E7D7"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A47A16" w14:paraId="1C72D9A5" w14:textId="77777777">
        <w:trPr>
          <w:trHeight w:val="361"/>
        </w:trPr>
        <w:tc>
          <w:tcPr>
            <w:tcW w:w="1127" w:type="pct"/>
            <w:vAlign w:val="center"/>
          </w:tcPr>
          <w:p w14:paraId="48CF949A" w14:textId="77777777" w:rsidR="00A47A16" w:rsidRDefault="00E74674">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4EC539E0"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4989B207"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01C1D38C"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D类份额：【中国人民银行公布的同期七天通知存款利率】</w:t>
            </w:r>
          </w:p>
          <w:p w14:paraId="7DC70E4D"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H类份额：【中国人民银行公布的同期七天通知存款利率】</w:t>
            </w:r>
          </w:p>
          <w:p w14:paraId="587CA964"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417B4043"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类份额：【中国人民银行公布的同期七天通知存款利率】</w:t>
            </w:r>
          </w:p>
          <w:p w14:paraId="4B79FE3B"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类份额：【中国人民银行公布的同期七天通知存款利率】</w:t>
            </w:r>
          </w:p>
          <w:p w14:paraId="221B0895"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类份额：【中国人民银行公布的同期七天通知存款利率】</w:t>
            </w:r>
          </w:p>
          <w:p w14:paraId="26C5A27A"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类份额：【中国人民银行公布的同期七天通知存款利率】</w:t>
            </w:r>
          </w:p>
          <w:p w14:paraId="3CC8D80E"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w:t>
            </w:r>
            <w:r>
              <w:rPr>
                <w:rFonts w:ascii="楷体_GB2312" w:eastAsia="楷体_GB2312" w:cs="楷体_GB2312" w:hint="eastAsia"/>
                <w:color w:val="000000" w:themeColor="text1"/>
                <w:sz w:val="20"/>
                <w:szCs w:val="20"/>
              </w:rPr>
              <w:t>类份额：【中国人民银行公布的同期七天通知存款利率】</w:t>
            </w:r>
          </w:p>
          <w:p w14:paraId="18FD1834" w14:textId="77777777" w:rsidR="00A47A16" w:rsidRDefault="00A47A16">
            <w:pPr>
              <w:spacing w:line="300" w:lineRule="exact"/>
              <w:ind w:leftChars="-1" w:left="-2" w:rightChars="15" w:right="36"/>
              <w:jc w:val="both"/>
              <w:rPr>
                <w:rFonts w:ascii="楷体_GB2312" w:eastAsia="楷体_GB2312" w:cs="楷体_GB2312"/>
                <w:color w:val="000000" w:themeColor="text1"/>
                <w:sz w:val="20"/>
                <w:szCs w:val="20"/>
              </w:rPr>
            </w:pPr>
          </w:p>
          <w:p w14:paraId="3D86CB1C"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业绩比较基准测算依据：【本理财产品为固定收益类产品，主要投向为存单、存款以及剩余期限在</w:t>
            </w:r>
            <w:r>
              <w:rPr>
                <w:rFonts w:ascii="楷体_GB2312" w:eastAsia="楷体_GB2312" w:cs="楷体_GB2312"/>
                <w:color w:val="000000" w:themeColor="text1"/>
                <w:sz w:val="20"/>
                <w:szCs w:val="20"/>
              </w:rPr>
              <w:t>397天内债券，根据同业均广泛采用中国人民银行公布的同期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天通知存款利率作为业绩基准，因此本产品业绩基准为中国人民银行公布的同期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1D4E1FDC" w14:textId="77777777" w:rsidR="00A47A16" w:rsidRDefault="00E74674">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61149A49"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A47A16" w14:paraId="3DF912A9" w14:textId="77777777">
        <w:trPr>
          <w:trHeight w:val="361"/>
        </w:trPr>
        <w:tc>
          <w:tcPr>
            <w:tcW w:w="1127" w:type="pct"/>
            <w:vAlign w:val="center"/>
          </w:tcPr>
          <w:p w14:paraId="7D14561F"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30-17:00】，申购和赎回交易时间为【8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时间，请投资者关注管理人及销售机构相关信息披露。如果投资者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color w:val="000000" w:themeColor="text1"/>
                <w:sz w:val="20"/>
                <w:szCs w:val="20"/>
              </w:rPr>
              <w:t>直销渠道购买的，则交易时间</w:t>
            </w:r>
            <w:proofErr w:type="gramStart"/>
            <w:r>
              <w:rPr>
                <w:rFonts w:ascii="楷体_GB2312" w:eastAsia="楷体_GB2312" w:cs="楷体_GB2312"/>
                <w:color w:val="000000" w:themeColor="text1"/>
                <w:sz w:val="20"/>
                <w:szCs w:val="20"/>
              </w:rPr>
              <w:t>以信银理财</w:t>
            </w:r>
            <w:proofErr w:type="gramEnd"/>
            <w:r>
              <w:rPr>
                <w:rFonts w:ascii="楷体_GB2312" w:eastAsia="楷体_GB2312" w:cs="楷体_GB2312"/>
                <w:color w:val="000000" w:themeColor="text1"/>
                <w:sz w:val="20"/>
                <w:szCs w:val="20"/>
              </w:rPr>
              <w:t>直销渠道的营业时间和公布的交易时间为准，且必须在【8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30-17:00】内）；募集期内，</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在认购交易时间内受理投资者的认购申请。投资者通过代销机构购买理财产品的，还应按照代销机构对于交易时间以及交易申请的相关规定执行，但认购交易时间必须在【8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30-17:00】内，申购和赎回交易时间必须</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w:t>
            </w:r>
            <w:r>
              <w:rPr>
                <w:rFonts w:ascii="楷体_GB2312" w:eastAsia="楷体_GB2312" w:cs="楷体_GB2312"/>
                <w:sz w:val="20"/>
                <w:szCs w:val="20"/>
              </w:rPr>
              <w:t>。</w:t>
            </w:r>
          </w:p>
        </w:tc>
      </w:tr>
      <w:tr w:rsidR="00A47A16" w14:paraId="40B527DB" w14:textId="77777777">
        <w:trPr>
          <w:trHeight w:val="361"/>
        </w:trPr>
        <w:tc>
          <w:tcPr>
            <w:tcW w:w="1127" w:type="pct"/>
            <w:vAlign w:val="center"/>
          </w:tcPr>
          <w:p w14:paraId="682A08E0"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1B273AD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A47A16" w14:paraId="72FAC6F0" w14:textId="77777777">
        <w:trPr>
          <w:trHeight w:val="361"/>
        </w:trPr>
        <w:tc>
          <w:tcPr>
            <w:tcW w:w="1127" w:type="pct"/>
            <w:vAlign w:val="center"/>
          </w:tcPr>
          <w:p w14:paraId="57537027"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7026C2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w:t>
            </w:r>
            <w:r>
              <w:rPr>
                <w:rFonts w:ascii="楷体_GB2312" w:eastAsia="楷体_GB2312" w:cs="楷体_GB2312"/>
                <w:color w:val="000000" w:themeColor="text1"/>
                <w:sz w:val="20"/>
                <w:szCs w:val="20"/>
              </w:rPr>
              <w:t>人民币】</w:t>
            </w:r>
          </w:p>
        </w:tc>
      </w:tr>
      <w:tr w:rsidR="00A47A16" w14:paraId="39D28D4C" w14:textId="77777777">
        <w:trPr>
          <w:trHeight w:val="361"/>
        </w:trPr>
        <w:tc>
          <w:tcPr>
            <w:tcW w:w="1127" w:type="pct"/>
            <w:vAlign w:val="center"/>
          </w:tcPr>
          <w:p w14:paraId="42DE8273"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4A6479C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43B4A18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A类份额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187858C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初始认购金额不低于【人民币】【1】元，以【人民币】【0.01】元的整数倍增加。追加认购金额不低于【人民币】【0.01】元，以【人民币】【0.01】元的整数倍增加。</w:t>
            </w:r>
          </w:p>
          <w:p w14:paraId="03E07CF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首次申购金额不低于【人民币】【100】万元，以【人民币】【0.01】元的整数倍增加。追加申购金额不低于【人民币】【0.01】元，以【人民币】【0.01】元的整数倍增加。</w:t>
            </w:r>
          </w:p>
          <w:p w14:paraId="33ED10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H类份额：初始认购/首次申购金额不低于【人民币】【1】元，以【人民币】【0.01】元的整数倍增加。追加认购/申购金额不低于【人民币】【0.01】元，以【人民币】【0.01】元的整数倍增加。</w:t>
            </w:r>
          </w:p>
          <w:p w14:paraId="13B14F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6557B57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6DBB27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3FF70CC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1BB791B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29407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P类份额：初始认购/首次申购金额不低于【人民币】【1】元，以【人民币】【0.01】元的整数倍增加。追加认购/申购金额不低于【人民币】【0.01】元，以【人民币】【0.01】元的整数倍增加。</w:t>
            </w:r>
          </w:p>
          <w:p w14:paraId="3467551C"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51F53C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w:t>
            </w:r>
            <w:r>
              <w:rPr>
                <w:rFonts w:ascii="楷体_GB2312" w:eastAsia="楷体_GB2312" w:cs="楷体_GB2312"/>
                <w:color w:val="000000" w:themeColor="text1"/>
                <w:sz w:val="20"/>
                <w:szCs w:val="20"/>
              </w:rPr>
              <w:t>/申购起点及追加认/申购金额的要求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A47A16" w14:paraId="18F6E882" w14:textId="77777777">
        <w:trPr>
          <w:trHeight w:val="361"/>
        </w:trPr>
        <w:tc>
          <w:tcPr>
            <w:tcW w:w="1127" w:type="pct"/>
            <w:vAlign w:val="center"/>
          </w:tcPr>
          <w:p w14:paraId="2DC81077"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单个投资者持仓上限</w:t>
            </w:r>
          </w:p>
        </w:tc>
        <w:tc>
          <w:tcPr>
            <w:tcW w:w="3873" w:type="pct"/>
            <w:vAlign w:val="center"/>
          </w:tcPr>
          <w:p w14:paraId="1133F47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A类份额：单个投资者持仓金额上限为【人民币】【5000】万元，投资者提出申购时，如申购后投资者持有金额超过【人民币】【5000】万元，</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有权利不接受该次申购申请。</w:t>
            </w:r>
          </w:p>
          <w:p w14:paraId="1135291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D类份额：单个投资者持仓金额上限为【人民币】【5000】万元，投资者提出申购时，如申购后投资者持有金额超过【人民币】【5000】万元，</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有权利不接受该次申购申请。</w:t>
            </w:r>
          </w:p>
          <w:p w14:paraId="6F2C7E5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有权根据实际需要对此金额上限进行调整。</w:t>
            </w:r>
          </w:p>
        </w:tc>
      </w:tr>
      <w:tr w:rsidR="00A47A16" w14:paraId="5876F464" w14:textId="77777777">
        <w:trPr>
          <w:trHeight w:val="361"/>
        </w:trPr>
        <w:tc>
          <w:tcPr>
            <w:tcW w:w="1127" w:type="pct"/>
            <w:vAlign w:val="center"/>
          </w:tcPr>
          <w:p w14:paraId="5CB389DC"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份额限制</w:t>
            </w:r>
          </w:p>
        </w:tc>
        <w:tc>
          <w:tcPr>
            <w:tcW w:w="3873" w:type="pct"/>
            <w:vAlign w:val="center"/>
          </w:tcPr>
          <w:p w14:paraId="31EAE507" w14:textId="77777777" w:rsidR="00A47A16" w:rsidRDefault="00E74674">
            <w:pPr>
              <w:spacing w:line="300" w:lineRule="exact"/>
              <w:ind w:leftChars="-1" w:left="-2" w:rightChars="15" w:right="36"/>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本产品的单个投资者持有份额是否允许超过本产品总份额的</w:t>
            </w:r>
            <w:r>
              <w:rPr>
                <w:rFonts w:ascii="楷体_GB2312" w:eastAsia="楷体_GB2312" w:cs="楷体_GB2312"/>
                <w:b/>
                <w:color w:val="000000" w:themeColor="text1"/>
                <w:sz w:val="20"/>
                <w:szCs w:val="20"/>
              </w:rPr>
              <w:t>50%:</w:t>
            </w:r>
            <w:r>
              <w:rPr>
                <w:rFonts w:ascii="楷体_GB2312" w:eastAsia="楷体_GB2312" w:cs="楷体_GB2312" w:hint="eastAsia"/>
                <w:b/>
                <w:color w:val="000000" w:themeColor="text1"/>
                <w:sz w:val="20"/>
                <w:szCs w:val="20"/>
              </w:rPr>
              <w:t>【2</w:t>
            </w:r>
            <w:r>
              <w:rPr>
                <w:rFonts w:ascii="楷体_GB2312" w:eastAsia="楷体_GB2312" w:cs="楷体_GB2312"/>
                <w:b/>
                <w:color w:val="000000" w:themeColor="text1"/>
                <w:sz w:val="20"/>
                <w:szCs w:val="20"/>
              </w:rPr>
              <w:t>】</w:t>
            </w:r>
          </w:p>
          <w:p w14:paraId="712EDB2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1.是</w:t>
            </w:r>
            <w:r>
              <w:rPr>
                <w:rFonts w:ascii="楷体_GB2312" w:eastAsia="楷体_GB2312" w:cs="楷体_GB2312" w:hint="eastAsia"/>
                <w:color w:val="000000" w:themeColor="text1"/>
                <w:sz w:val="20"/>
                <w:szCs w:val="20"/>
              </w:rPr>
              <w:t>。根据《中国银保监会、中国人民银行关于规范现金管理类理财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管理有关事项的通知》，本产品的单个投资者持有份额允许超过本产品总份额的</w:t>
            </w:r>
            <w:r>
              <w:rPr>
                <w:rFonts w:ascii="楷体_GB2312" w:eastAsia="楷体_GB2312" w:cs="楷体_GB2312"/>
                <w:color w:val="000000" w:themeColor="text1"/>
                <w:sz w:val="20"/>
                <w:szCs w:val="20"/>
              </w:rPr>
              <w:t>50%</w:t>
            </w:r>
            <w:r>
              <w:rPr>
                <w:rFonts w:ascii="楷体_GB2312" w:eastAsia="楷体_GB2312" w:cs="楷体_GB2312" w:hint="eastAsia"/>
                <w:color w:val="000000" w:themeColor="text1"/>
                <w:sz w:val="20"/>
                <w:szCs w:val="20"/>
              </w:rPr>
              <w:t>的，管理人将对</w:t>
            </w:r>
            <w:r>
              <w:rPr>
                <w:rFonts w:ascii="楷体_GB2312" w:eastAsia="楷体_GB2312" w:cs="楷体_GB2312"/>
                <w:color w:val="000000" w:themeColor="text1"/>
                <w:sz w:val="20"/>
                <w:szCs w:val="20"/>
              </w:rPr>
              <w:t>本产品采取以下</w:t>
            </w:r>
            <w:r>
              <w:rPr>
                <w:rFonts w:ascii="楷体_GB2312" w:eastAsia="楷体_GB2312" w:cs="楷体_GB2312" w:hint="eastAsia"/>
                <w:color w:val="000000" w:themeColor="text1"/>
                <w:sz w:val="20"/>
                <w:szCs w:val="20"/>
              </w:rPr>
              <w:t>措施：</w:t>
            </w:r>
          </w:p>
          <w:p w14:paraId="527C84FC" w14:textId="77777777" w:rsidR="00A47A16" w:rsidRDefault="00E74674">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w:t>
            </w:r>
            <w:r>
              <w:rPr>
                <w:rFonts w:ascii="楷体_GB2312" w:eastAsia="楷体_GB2312" w:cs="楷体_GB2312"/>
                <w:color w:val="000000" w:themeColor="text1"/>
                <w:sz w:val="20"/>
                <w:szCs w:val="20"/>
              </w:rPr>
              <w:t>向</w:t>
            </w: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公开</w:t>
            </w:r>
            <w:r>
              <w:rPr>
                <w:rFonts w:ascii="楷体_GB2312" w:eastAsia="楷体_GB2312" w:cs="楷体_GB2312"/>
                <w:color w:val="000000" w:themeColor="text1"/>
                <w:sz w:val="20"/>
                <w:szCs w:val="20"/>
              </w:rPr>
              <w:t>发售</w:t>
            </w:r>
            <w:r>
              <w:rPr>
                <w:rFonts w:ascii="楷体_GB2312" w:eastAsia="楷体_GB2312" w:cs="楷体_GB2312" w:hint="eastAsia"/>
                <w:color w:val="000000" w:themeColor="text1"/>
                <w:sz w:val="20"/>
                <w:szCs w:val="20"/>
              </w:rPr>
              <w:t>。</w:t>
            </w:r>
          </w:p>
          <w:p w14:paraId="1FAC5A2B" w14:textId="77777777" w:rsidR="00A47A16" w:rsidRDefault="00E74674">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法进行会计核算，或者</w:t>
            </w:r>
            <w:r>
              <w:rPr>
                <w:rFonts w:ascii="楷体_GB2312" w:eastAsia="楷体_GB2312" w:cs="楷体_GB2312"/>
                <w:color w:val="000000" w:themeColor="text1"/>
                <w:sz w:val="20"/>
                <w:szCs w:val="20"/>
              </w:rPr>
              <w:t>80%以上的资产应当投资于现金、国债、中央银行票据、政策性金融债券以及5个交易日内到期的其他金融工具。</w:t>
            </w:r>
          </w:p>
          <w:p w14:paraId="7CD868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投资者知悉并</w:t>
            </w:r>
            <w:r>
              <w:rPr>
                <w:rFonts w:ascii="楷体_GB2312" w:eastAsia="楷体_GB2312" w:cs="楷体_GB2312"/>
                <w:color w:val="000000" w:themeColor="text1"/>
                <w:sz w:val="20"/>
                <w:szCs w:val="20"/>
              </w:rPr>
              <w:t>同意</w:t>
            </w:r>
            <w:r>
              <w:rPr>
                <w:rFonts w:ascii="楷体_GB2312" w:eastAsia="楷体_GB2312" w:cs="楷体_GB2312" w:hint="eastAsia"/>
                <w:color w:val="000000" w:themeColor="text1"/>
                <w:sz w:val="20"/>
                <w:szCs w:val="20"/>
              </w:rPr>
              <w:t>管理人采取上述管理措施。</w:t>
            </w:r>
          </w:p>
          <w:p w14:paraId="6EBCB4F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2.否。</w:t>
            </w:r>
            <w:r>
              <w:rPr>
                <w:rFonts w:ascii="楷体_GB2312" w:eastAsia="楷体_GB2312" w:cs="楷体_GB2312" w:hint="eastAsia"/>
                <w:color w:val="000000" w:themeColor="text1"/>
                <w:sz w:val="20"/>
                <w:szCs w:val="20"/>
              </w:rPr>
              <w:t>投资者提出认</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有权不接受超过单个投资者持仓份额比例限制的申请。</w:t>
            </w:r>
          </w:p>
        </w:tc>
      </w:tr>
      <w:tr w:rsidR="00A47A16" w14:paraId="4F437762" w14:textId="77777777">
        <w:trPr>
          <w:trHeight w:val="361"/>
        </w:trPr>
        <w:tc>
          <w:tcPr>
            <w:tcW w:w="1127" w:type="pct"/>
            <w:vAlign w:val="center"/>
          </w:tcPr>
          <w:p w14:paraId="4D777C0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7C2C7B8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2222A3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780A27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D类份额单个投资者持仓份额下限为【0.01】份。投资者提出部分赎回时，如赎回后投资者持有份额不足【0.01】份，则管理人将对投资者剩余份额发起强制赎回。</w:t>
            </w:r>
          </w:p>
          <w:p w14:paraId="4D0AC3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H类份额单个投资者持仓份额下限为【0.01】份。投资者提出部分赎回时，如赎回后投资者持有份额不足【0.01】份，则管理人将对投资者剩余份额发起强制赎回。</w:t>
            </w:r>
          </w:p>
          <w:p w14:paraId="30FEDBA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C3CDD3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7B02DA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77401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7ECA60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27B0B77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P类份额：单个投资者持仓份额下限为【0.01】份。投资者提出部分赎回时，如赎回后投资者持有份额不足【0.01】份，则管理人将对投资者剩余份额发起强制赎回。</w:t>
            </w:r>
          </w:p>
          <w:p w14:paraId="521E7EA9"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2E9D2A9" w14:textId="77777777" w:rsidR="00A47A16" w:rsidRDefault="00E74674">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有权根据实际需要对此份额下限进行调整。</w:t>
            </w:r>
          </w:p>
        </w:tc>
      </w:tr>
      <w:tr w:rsidR="00A47A16" w14:paraId="34B2102E" w14:textId="77777777">
        <w:trPr>
          <w:trHeight w:val="361"/>
        </w:trPr>
        <w:tc>
          <w:tcPr>
            <w:tcW w:w="1127" w:type="pct"/>
            <w:vAlign w:val="center"/>
          </w:tcPr>
          <w:p w14:paraId="6A47CA35"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份额单位</w:t>
            </w:r>
          </w:p>
        </w:tc>
        <w:tc>
          <w:tcPr>
            <w:tcW w:w="3873" w:type="pct"/>
            <w:vAlign w:val="center"/>
          </w:tcPr>
          <w:p w14:paraId="5F254AC3"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A47A16" w14:paraId="7C63D32C" w14:textId="77777777">
        <w:trPr>
          <w:trHeight w:val="361"/>
        </w:trPr>
        <w:tc>
          <w:tcPr>
            <w:tcW w:w="1127" w:type="pct"/>
            <w:vAlign w:val="center"/>
          </w:tcPr>
          <w:p w14:paraId="2E23796C"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单位净值</w:t>
            </w:r>
          </w:p>
        </w:tc>
        <w:tc>
          <w:tcPr>
            <w:tcW w:w="3873" w:type="pct"/>
            <w:vAlign w:val="center"/>
          </w:tcPr>
          <w:p w14:paraId="1413D3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1.单位净值为单位产品份额的净值，该净值为扣除相关税费后的净值。</w:t>
            </w:r>
            <w:r>
              <w:rPr>
                <w:rFonts w:ascii="楷体_GB2312" w:eastAsia="楷体_GB2312" w:cs="楷体_GB2312" w:hint="eastAsia"/>
                <w:color w:val="000000" w:themeColor="text1"/>
                <w:sz w:val="20"/>
                <w:szCs w:val="20"/>
              </w:rPr>
              <w:t>相关税费包含固定管理费、浮动管理费（如有）、销售服务费、托管费、本理财产品运营过程中产生的增值税及附加税费等。</w:t>
            </w:r>
          </w:p>
          <w:p w14:paraId="21F5ED5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6CB74A31" w14:textId="77777777" w:rsidR="00A47A16" w:rsidRDefault="00E74674">
            <w:pPr>
              <w:numPr>
                <w:ilvl w:val="0"/>
                <w:numId w:val="3"/>
              </w:numPr>
              <w:spacing w:line="300" w:lineRule="exact"/>
              <w:ind w:rightChars="12" w:right="29"/>
              <w:rPr>
                <w:rFonts w:ascii="楷体_GB2312" w:eastAsia="楷体_GB2312"/>
                <w:color w:val="000000" w:themeColor="text1"/>
                <w:sz w:val="20"/>
                <w:szCs w:val="20"/>
              </w:rPr>
            </w:pPr>
            <w:r>
              <w:rPr>
                <w:rFonts w:ascii="楷体_GB2312" w:eastAsia="楷体_GB2312" w:hint="eastAsia"/>
                <w:color w:val="000000" w:themeColor="text1"/>
                <w:sz w:val="20"/>
                <w:szCs w:val="20"/>
              </w:rPr>
              <w:t>本产品采用1.00元固定份额净值交易方式，自产品运作起始日起每个自然日将实现的产品净收益【结转为份额】，以使每个自然日的产品份额净值始终保持1.00元。</w:t>
            </w:r>
          </w:p>
          <w:p w14:paraId="729FED69" w14:textId="77777777" w:rsidR="00A47A16" w:rsidRDefault="00E74674">
            <w:pPr>
              <w:numPr>
                <w:ilvl w:val="0"/>
                <w:numId w:val="3"/>
              </w:numPr>
              <w:spacing w:line="300" w:lineRule="exact"/>
              <w:ind w:rightChars="12" w:right="29"/>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A47A16" w14:paraId="57EAC0AE" w14:textId="77777777">
        <w:trPr>
          <w:trHeight w:val="361"/>
        </w:trPr>
        <w:tc>
          <w:tcPr>
            <w:tcW w:w="1127" w:type="pct"/>
            <w:vAlign w:val="center"/>
          </w:tcPr>
          <w:p w14:paraId="638E573B"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hint="eastAsia"/>
                <w:sz w:val="20"/>
                <w:szCs w:val="20"/>
              </w:rPr>
              <w:t>每万份理财产品已实现收益</w:t>
            </w:r>
          </w:p>
        </w:tc>
        <w:tc>
          <w:tcPr>
            <w:tcW w:w="3873" w:type="pct"/>
            <w:vAlign w:val="center"/>
          </w:tcPr>
          <w:p w14:paraId="41EDA658" w14:textId="77777777" w:rsidR="00A47A16" w:rsidRDefault="00E74674">
            <w:pPr>
              <w:spacing w:line="300" w:lineRule="atLeast"/>
              <w:ind w:left="-2" w:right="36"/>
              <w:rPr>
                <w:rFonts w:ascii="楷体_GB2312" w:eastAsia="楷体_GB2312"/>
                <w:sz w:val="20"/>
                <w:szCs w:val="20"/>
              </w:rPr>
            </w:pPr>
            <w:r>
              <w:rPr>
                <w:rFonts w:ascii="楷体_GB2312" w:eastAsia="楷体_GB2312" w:hint="eastAsia"/>
                <w:sz w:val="20"/>
                <w:szCs w:val="20"/>
              </w:rPr>
              <w:t>每万份理财产品已实现收益</w:t>
            </w:r>
            <w:r>
              <w:rPr>
                <w:rFonts w:ascii="楷体_GB2312" w:eastAsia="楷体_GB2312"/>
                <w:sz w:val="20"/>
                <w:szCs w:val="20"/>
              </w:rPr>
              <w:t>=当日理财产品份额已实现收益/当日理财产品份额*10000</w:t>
            </w:r>
          </w:p>
          <w:p w14:paraId="66B564D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精确至小数点后第</w:t>
            </w:r>
            <w:r>
              <w:rPr>
                <w:rFonts w:ascii="楷体_GB2312" w:eastAsia="楷体_GB2312"/>
                <w:sz w:val="20"/>
                <w:szCs w:val="20"/>
              </w:rPr>
              <w:t>4位，小数点后第5位按【四舍五入】原则处理。</w:t>
            </w:r>
          </w:p>
        </w:tc>
      </w:tr>
      <w:tr w:rsidR="00A47A16" w14:paraId="43C5AC43" w14:textId="77777777">
        <w:trPr>
          <w:trHeight w:val="361"/>
        </w:trPr>
        <w:tc>
          <w:tcPr>
            <w:tcW w:w="1127" w:type="pct"/>
            <w:vAlign w:val="center"/>
          </w:tcPr>
          <w:p w14:paraId="7B74C65B"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proofErr w:type="gramStart"/>
            <w:r>
              <w:rPr>
                <w:rFonts w:ascii="楷体_GB2312" w:eastAsia="楷体_GB2312"/>
                <w:sz w:val="20"/>
                <w:szCs w:val="20"/>
              </w:rPr>
              <w:t>7日年化收益率</w:t>
            </w:r>
            <w:proofErr w:type="gramEnd"/>
          </w:p>
        </w:tc>
        <w:tc>
          <w:tcPr>
            <w:tcW w:w="3873" w:type="pct"/>
            <w:vAlign w:val="center"/>
          </w:tcPr>
          <w:p w14:paraId="49EA7CE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以本产品最近</w:t>
            </w:r>
            <w:r>
              <w:rPr>
                <w:rFonts w:ascii="楷体_GB2312" w:eastAsia="楷体_GB2312"/>
                <w:sz w:val="20"/>
                <w:szCs w:val="20"/>
              </w:rPr>
              <w:t>7日（含节假日）收益率所折算的</w:t>
            </w:r>
            <w:proofErr w:type="gramStart"/>
            <w:r>
              <w:rPr>
                <w:rFonts w:ascii="楷体_GB2312" w:eastAsia="楷体_GB2312"/>
                <w:sz w:val="20"/>
                <w:szCs w:val="20"/>
              </w:rPr>
              <w:t>产品年化收益率</w:t>
            </w:r>
            <w:proofErr w:type="gramEnd"/>
            <w:r>
              <w:rPr>
                <w:rFonts w:ascii="楷体_GB2312" w:eastAsia="楷体_GB2312"/>
                <w:sz w:val="20"/>
                <w:szCs w:val="20"/>
              </w:rPr>
              <w:t>。产品成立不满7日时以实际日收益率</w:t>
            </w:r>
            <w:proofErr w:type="gramStart"/>
            <w:r>
              <w:rPr>
                <w:rFonts w:ascii="楷体_GB2312" w:eastAsia="楷体_GB2312"/>
                <w:sz w:val="20"/>
                <w:szCs w:val="20"/>
              </w:rPr>
              <w:t>折算年化收益率</w:t>
            </w:r>
            <w:proofErr w:type="gramEnd"/>
            <w:r>
              <w:rPr>
                <w:rFonts w:ascii="楷体_GB2312" w:eastAsia="楷体_GB2312"/>
                <w:sz w:val="20"/>
                <w:szCs w:val="20"/>
              </w:rPr>
              <w:t>。</w:t>
            </w:r>
          </w:p>
        </w:tc>
      </w:tr>
      <w:tr w:rsidR="00A47A16" w14:paraId="3CF2EFF4" w14:textId="77777777">
        <w:trPr>
          <w:trHeight w:val="361"/>
        </w:trPr>
        <w:tc>
          <w:tcPr>
            <w:tcW w:w="1127" w:type="pct"/>
            <w:vAlign w:val="center"/>
          </w:tcPr>
          <w:p w14:paraId="1CA92CE8"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3750219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A47A16" w:rsidRDefault="00E74674">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A47A16" w14:paraId="26761B43" w14:textId="77777777">
        <w:trPr>
          <w:trHeight w:val="361"/>
        </w:trPr>
        <w:tc>
          <w:tcPr>
            <w:tcW w:w="1127" w:type="pct"/>
            <w:vAlign w:val="center"/>
          </w:tcPr>
          <w:p w14:paraId="4EEC3F0D"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3B2949A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A47A16" w:rsidRDefault="00E74674">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A47A16" w14:paraId="1FDCB8E2" w14:textId="77777777">
        <w:trPr>
          <w:trHeight w:val="361"/>
        </w:trPr>
        <w:tc>
          <w:tcPr>
            <w:tcW w:w="1127" w:type="pct"/>
            <w:vAlign w:val="center"/>
          </w:tcPr>
          <w:p w14:paraId="1F22906B"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A47A16" w14:paraId="5A00A566" w14:textId="77777777">
        <w:trPr>
          <w:trHeight w:val="361"/>
        </w:trPr>
        <w:tc>
          <w:tcPr>
            <w:tcW w:w="1127" w:type="pct"/>
            <w:vAlign w:val="center"/>
          </w:tcPr>
          <w:p w14:paraId="71AD8659"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3" w:type="pct"/>
            <w:vAlign w:val="center"/>
          </w:tcPr>
          <w:p w14:paraId="30F98C3E" w14:textId="77777777" w:rsidR="00A47A16" w:rsidRDefault="00E74674">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本产品的费用包括认购费、申购费</w:t>
            </w:r>
            <w:r>
              <w:rPr>
                <w:rFonts w:ascii="楷体_GB2312" w:eastAsia="楷体_GB2312" w:cs="楷体_GB2312"/>
                <w:b/>
                <w:color w:val="000000" w:themeColor="text1"/>
                <w:sz w:val="20"/>
                <w:szCs w:val="20"/>
              </w:rPr>
              <w:t>、赎回费、</w:t>
            </w:r>
            <w:r>
              <w:rPr>
                <w:rFonts w:ascii="楷体_GB2312" w:eastAsia="楷体_GB2312" w:cs="楷体_GB2312" w:hint="eastAsia"/>
                <w:b/>
                <w:color w:val="000000" w:themeColor="text1"/>
                <w:sz w:val="20"/>
                <w:szCs w:val="20"/>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7E415B0A" w14:textId="77777777" w:rsidR="00A47A16" w:rsidRDefault="00E74674">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1. </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B类份额不收取认购费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，D类份额不收取认购费，H类份额不收取认购费，</w:t>
            </w:r>
            <w:r>
              <w:rPr>
                <w:rFonts w:ascii="楷体_GB2312" w:eastAsia="楷体_GB2312" w:cs="楷体_GB2312"/>
                <w:b/>
                <w:color w:val="000000" w:themeColor="text1"/>
                <w:sz w:val="20"/>
                <w:szCs w:val="20"/>
              </w:rPr>
              <w:t>L类份额不收取认购费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类份额不收取认购费。</w:t>
            </w:r>
          </w:p>
          <w:p w14:paraId="2C4E7E6D" w14:textId="77777777" w:rsidR="00A47A16" w:rsidRDefault="00E74674">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 xml:space="preserve">2. </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B类份额不收取申购费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，D类份额不收取申购费，H类份额不收取申购费，</w:t>
            </w:r>
            <w:r>
              <w:rPr>
                <w:rFonts w:ascii="楷体_GB2312" w:eastAsia="楷体_GB2312" w:cs="楷体_GB2312"/>
                <w:b/>
                <w:color w:val="000000" w:themeColor="text1"/>
                <w:sz w:val="20"/>
                <w:szCs w:val="20"/>
              </w:rPr>
              <w:t>L类份额不收取申购费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w:t>
            </w:r>
          </w:p>
          <w:p w14:paraId="5A54F5BC" w14:textId="77777777" w:rsidR="00A47A16" w:rsidRDefault="00E74674">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．赎回费：</w:t>
            </w:r>
            <w:r>
              <w:rPr>
                <w:rFonts w:ascii="楷体_GB2312" w:eastAsia="楷体_GB2312" w:cs="楷体_GB2312"/>
                <w:b/>
                <w:color w:val="000000" w:themeColor="text1"/>
                <w:sz w:val="20"/>
                <w:szCs w:val="20"/>
              </w:rPr>
              <w:t>B类份额不收取赎回费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，D类份额不收取赎回费，H类份额不收取赎回费，</w:t>
            </w:r>
            <w:r>
              <w:rPr>
                <w:rFonts w:ascii="楷体_GB2312" w:eastAsia="楷体_GB2312" w:cs="楷体_GB2312"/>
                <w:b/>
                <w:color w:val="000000" w:themeColor="text1"/>
                <w:sz w:val="20"/>
                <w:szCs w:val="20"/>
              </w:rPr>
              <w:t>L类份额不收取赎回费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08641AD9" w14:textId="77777777" w:rsidR="00A47A16" w:rsidRDefault="00E74674">
            <w:pPr>
              <w:snapToGrid w:val="0"/>
              <w:spacing w:line="300" w:lineRule="exact"/>
              <w:ind w:rightChars="40" w:right="96"/>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．销售服务费：</w:t>
            </w:r>
            <w:r>
              <w:rPr>
                <w:rFonts w:ascii="楷体_GB2312" w:eastAsia="楷体_GB2312" w:cs="楷体_GB2312"/>
                <w:b/>
                <w:color w:val="000000" w:themeColor="text1"/>
                <w:sz w:val="20"/>
                <w:szCs w:val="20"/>
              </w:rPr>
              <w:t>B类份额费率【0.40%】/年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，D类份额费率【0.40%】/年，H类份额费率【0.30%】/年，</w:t>
            </w:r>
            <w:r>
              <w:rPr>
                <w:rFonts w:ascii="楷体_GB2312" w:eastAsia="楷体_GB2312" w:cs="楷体_GB2312"/>
                <w:b/>
                <w:color w:val="000000" w:themeColor="text1"/>
                <w:sz w:val="20"/>
                <w:szCs w:val="20"/>
              </w:rPr>
              <w:t>L</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w:t>
            </w:r>
          </w:p>
          <w:p w14:paraId="03669961"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w:t>
            </w:r>
            <w:r>
              <w:rPr>
                <w:rFonts w:ascii="楷体_GB2312" w:eastAsia="楷体_GB2312" w:cs="楷体_GB2312" w:hint="eastAsia"/>
                <w:b/>
                <w:color w:val="000000" w:themeColor="text1"/>
                <w:sz w:val="20"/>
                <w:szCs w:val="20"/>
              </w:rPr>
              <w:t>．托管费：费率</w:t>
            </w:r>
            <w:r>
              <w:rPr>
                <w:rFonts w:ascii="楷体_GB2312" w:eastAsia="楷体_GB2312" w:cs="楷体_GB2312"/>
                <w:b/>
                <w:color w:val="000000" w:themeColor="text1"/>
                <w:sz w:val="20"/>
                <w:szCs w:val="20"/>
              </w:rPr>
              <w:t xml:space="preserve">【0.05%】/年。 </w:t>
            </w:r>
          </w:p>
          <w:p w14:paraId="1216C79A"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6. </w:t>
            </w:r>
            <w:r>
              <w:rPr>
                <w:rFonts w:ascii="楷体_GB2312" w:eastAsia="楷体_GB2312" w:cs="楷体_GB2312" w:hint="eastAsia"/>
                <w:b/>
                <w:color w:val="000000" w:themeColor="text1"/>
                <w:sz w:val="20"/>
                <w:szCs w:val="20"/>
              </w:rPr>
              <w:t>固定管理费：费率【0.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w:t>
            </w:r>
          </w:p>
          <w:p w14:paraId="587CE965"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7. </w:t>
            </w:r>
            <w:r>
              <w:rPr>
                <w:rFonts w:ascii="楷体_GB2312" w:eastAsia="楷体_GB2312" w:cs="楷体_GB2312" w:hint="eastAsia"/>
                <w:b/>
                <w:color w:val="000000" w:themeColor="text1"/>
                <w:sz w:val="20"/>
                <w:szCs w:val="20"/>
              </w:rPr>
              <w:t>浮动管理费：</w:t>
            </w:r>
          </w:p>
          <w:p w14:paraId="5D2113D7"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r>
              <w:rPr>
                <w:rFonts w:ascii="楷体_GB2312" w:eastAsia="楷体_GB2312" w:cs="楷体_GB2312" w:hint="eastAsia"/>
                <w:b/>
                <w:color w:val="000000" w:themeColor="text1"/>
                <w:sz w:val="20"/>
                <w:szCs w:val="20"/>
              </w:rPr>
              <w:t>。</w:t>
            </w:r>
          </w:p>
          <w:p w14:paraId="424CC8C1"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6B93CEA5"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D类份额不收取浮动管理费。</w:t>
            </w:r>
          </w:p>
          <w:p w14:paraId="43A654DF"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H类份额不收取浮动管理费。</w:t>
            </w:r>
          </w:p>
          <w:p w14:paraId="5F12BECF"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6D2EF632"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2ED8E254"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类份额不收取浮动管理费。</w:t>
            </w:r>
          </w:p>
          <w:p w14:paraId="3CC2D1C3"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类份额不收取浮动管理费。</w:t>
            </w:r>
          </w:p>
          <w:p w14:paraId="038026DB"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类份额不收取浮动管理费。</w:t>
            </w:r>
          </w:p>
          <w:p w14:paraId="7DC21FCE"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类份额不收取浮动管理费。</w:t>
            </w:r>
          </w:p>
          <w:p w14:paraId="130B9B0F" w14:textId="77777777" w:rsidR="00A47A16" w:rsidRDefault="00A47A16">
            <w:pPr>
              <w:snapToGrid w:val="0"/>
              <w:spacing w:line="300" w:lineRule="exact"/>
              <w:ind w:rightChars="22" w:right="53"/>
              <w:jc w:val="both"/>
              <w:outlineLvl w:val="0"/>
              <w:rPr>
                <w:rFonts w:ascii="楷体_GB2312" w:eastAsia="楷体_GB2312" w:cs="楷体_GB2312"/>
                <w:b/>
                <w:color w:val="000000" w:themeColor="text1"/>
                <w:sz w:val="20"/>
                <w:szCs w:val="20"/>
              </w:rPr>
            </w:pPr>
          </w:p>
          <w:p w14:paraId="04CE2FF8" w14:textId="77777777" w:rsidR="00A47A16" w:rsidRDefault="00E74674">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A47A16" w:rsidRDefault="00E74674">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具体</w:t>
            </w:r>
            <w:r>
              <w:rPr>
                <w:rFonts w:ascii="楷体_GB2312" w:eastAsia="楷体_GB2312" w:cs="楷体_GB2312"/>
                <w:b/>
                <w:color w:val="000000" w:themeColor="text1"/>
                <w:sz w:val="20"/>
                <w:szCs w:val="20"/>
              </w:rPr>
              <w:t>请参</w:t>
            </w:r>
            <w:r>
              <w:rPr>
                <w:rFonts w:ascii="楷体_GB2312" w:eastAsia="楷体_GB2312" w:cs="楷体_GB2312" w:hint="eastAsia"/>
                <w:b/>
                <w:color w:val="000000" w:themeColor="text1"/>
                <w:sz w:val="20"/>
                <w:szCs w:val="20"/>
              </w:rPr>
              <w:t>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435E78F6" w14:textId="77777777" w:rsidR="00A47A16" w:rsidRDefault="00E74674">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p w14:paraId="3949A9B7" w14:textId="77777777" w:rsidR="00A47A16" w:rsidRDefault="00E74674">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hint="eastAsia"/>
                <w:b/>
                <w:color w:val="000000" w:themeColor="text1"/>
                <w:sz w:val="20"/>
                <w:szCs w:val="20"/>
              </w:rPr>
              <w:t>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代销机构收取的</w:t>
            </w:r>
            <w:r>
              <w:rPr>
                <w:rFonts w:ascii="楷体_GB2312" w:eastAsia="楷体_GB2312" w:cs="楷体_GB2312"/>
                <w:b/>
                <w:color w:val="000000" w:themeColor="text1"/>
                <w:sz w:val="20"/>
                <w:szCs w:val="20"/>
              </w:rPr>
              <w:t>销售相关费用</w:t>
            </w:r>
            <w:r>
              <w:rPr>
                <w:rFonts w:ascii="楷体_GB2312" w:eastAsia="楷体_GB2312" w:cs="楷体_GB2312" w:hint="eastAsia"/>
                <w:b/>
                <w:color w:val="000000" w:themeColor="text1"/>
                <w:sz w:val="20"/>
                <w:szCs w:val="20"/>
              </w:rPr>
              <w:t>（如有</w:t>
            </w:r>
            <w:r>
              <w:rPr>
                <w:rFonts w:ascii="楷体_GB2312" w:eastAsia="楷体_GB2312" w:cs="楷体_GB2312"/>
                <w:b/>
                <w:color w:val="000000" w:themeColor="text1"/>
                <w:sz w:val="20"/>
                <w:szCs w:val="20"/>
              </w:rPr>
              <w:t>）以代销机构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但不得超过上述费用标准。</w:t>
            </w:r>
          </w:p>
        </w:tc>
      </w:tr>
      <w:tr w:rsidR="00A47A16" w14:paraId="2611E42F" w14:textId="77777777">
        <w:trPr>
          <w:trHeight w:val="361"/>
        </w:trPr>
        <w:tc>
          <w:tcPr>
            <w:tcW w:w="1127" w:type="pct"/>
            <w:vAlign w:val="center"/>
          </w:tcPr>
          <w:p w14:paraId="65D624AD"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A47A16" w:rsidRDefault="00E74674">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A47A16" w14:paraId="5DAA4C41" w14:textId="77777777">
        <w:trPr>
          <w:trHeight w:val="361"/>
        </w:trPr>
        <w:tc>
          <w:tcPr>
            <w:tcW w:w="1127" w:type="pct"/>
            <w:vAlign w:val="center"/>
          </w:tcPr>
          <w:p w14:paraId="36EAE5E5"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4011C96B"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份额代码【AM244095B】</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4F02D3DB"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3A8652EC"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6B17788"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1CFF6EB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46419F50"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5E898FDC"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A类份额（</w:t>
            </w:r>
            <w:r>
              <w:rPr>
                <w:rFonts w:ascii="楷体_GB2312" w:eastAsia="楷体_GB2312" w:cs="楷体_GB2312"/>
                <w:sz w:val="20"/>
                <w:szCs w:val="20"/>
              </w:rPr>
              <w:t>份额代码【AM244095A】</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5E60D5EB"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43FB80E5"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28CB9F1"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lastRenderedPageBreak/>
              <w:t>住所：【上海市黄浦区中山东二路</w:t>
            </w:r>
            <w:r>
              <w:rPr>
                <w:rFonts w:ascii="楷体_GB2312" w:eastAsia="楷体_GB2312" w:cs="楷体_GB2312"/>
                <w:sz w:val="20"/>
                <w:szCs w:val="20"/>
              </w:rPr>
              <w:t>600号1幢35层、36层】</w:t>
            </w:r>
          </w:p>
          <w:p w14:paraId="0BC629D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14DC0D4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企业名称：【中信银行股份有限公司】</w:t>
            </w:r>
          </w:p>
          <w:p w14:paraId="58F51F2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4EB8D8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63FEFDC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7312C8E9"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A08C8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D类份额（份额代码【AM244095D】）合作销售机构信息：</w:t>
            </w:r>
          </w:p>
          <w:p w14:paraId="2B4E5EF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139E31F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2F6ED8C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3BC3BD9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12B4AA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企业名称：【中信银行股份有限公司】</w:t>
            </w:r>
          </w:p>
          <w:p w14:paraId="34DBB1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6B38242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63CEC3A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4E0D0504"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705DD27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H类份额（份额代码【AM244095H】）合作销售机构信息：</w:t>
            </w:r>
          </w:p>
          <w:p w14:paraId="690904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A3D4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6794C23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E16EDD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1C520AC"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52831FE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】）合作销售机构信息：</w:t>
            </w:r>
          </w:p>
          <w:p w14:paraId="35BC75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1.企业名称：【江苏射阳农村商业银行股份有限公司】</w:t>
            </w:r>
          </w:p>
          <w:p w14:paraId="19E2884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913209001405584874】</w:t>
            </w:r>
          </w:p>
          <w:p w14:paraId="2292D3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住所：【江苏省盐城市射阳县合德镇解放路</w:t>
            </w:r>
            <w:r>
              <w:rPr>
                <w:rFonts w:ascii="楷体_GB2312" w:eastAsia="楷体_GB2312" w:cs="楷体_GB2312"/>
                <w:color w:val="000000" w:themeColor="text1"/>
                <w:sz w:val="20"/>
                <w:szCs w:val="20"/>
              </w:rPr>
              <w:t>385号】</w:t>
            </w:r>
          </w:p>
          <w:p w14:paraId="75C8A8D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0515-69966666】</w:t>
            </w:r>
          </w:p>
          <w:p w14:paraId="2E01598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2.企业名称：【江苏响水农村商业银行股份有限公司】</w:t>
            </w:r>
          </w:p>
          <w:p w14:paraId="04D476C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91320900703856446L】</w:t>
            </w:r>
          </w:p>
          <w:p w14:paraId="65DD3E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住所：【江苏省盐城市响水县双园路</w:t>
            </w:r>
            <w:r>
              <w:rPr>
                <w:rFonts w:ascii="楷体_GB2312" w:eastAsia="楷体_GB2312" w:cs="楷体_GB2312"/>
                <w:color w:val="000000" w:themeColor="text1"/>
                <w:sz w:val="20"/>
                <w:szCs w:val="20"/>
              </w:rPr>
              <w:t>84号】</w:t>
            </w:r>
          </w:p>
          <w:p w14:paraId="73B4AE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7597BFE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3.企业名称：【江苏盐城农村商业银行股份有限公司】</w:t>
            </w:r>
          </w:p>
          <w:p w14:paraId="59A961A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91320900140326096G】</w:t>
            </w:r>
          </w:p>
          <w:p w14:paraId="5214E73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住所：【江苏省盐城市盐南高新区新都西路</w:t>
            </w:r>
            <w:r>
              <w:rPr>
                <w:rFonts w:ascii="楷体_GB2312" w:eastAsia="楷体_GB2312" w:cs="楷体_GB2312"/>
                <w:color w:val="000000" w:themeColor="text1"/>
                <w:sz w:val="20"/>
                <w:szCs w:val="20"/>
              </w:rPr>
              <w:t>8号】</w:t>
            </w:r>
          </w:p>
          <w:p w14:paraId="06F6F9C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0515-88880000】</w:t>
            </w:r>
          </w:p>
          <w:p w14:paraId="4BD8339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4.企业名称：【江苏宜兴农村商业银行股份有限公司】</w:t>
            </w:r>
          </w:p>
          <w:p w14:paraId="4040C0F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913202007910522609】</w:t>
            </w:r>
          </w:p>
          <w:p w14:paraId="0F3871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住所：【江苏省宜兴市宜城街道解放东路</w:t>
            </w:r>
            <w:r>
              <w:rPr>
                <w:rFonts w:ascii="楷体_GB2312" w:eastAsia="楷体_GB2312" w:cs="楷体_GB2312"/>
                <w:color w:val="000000" w:themeColor="text1"/>
                <w:sz w:val="20"/>
                <w:szCs w:val="20"/>
              </w:rPr>
              <w:t>579号】</w:t>
            </w:r>
          </w:p>
          <w:p w14:paraId="035A4E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3A8229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5.企业名称：【江苏姜堰农村商业银行股份有限公司】</w:t>
            </w:r>
          </w:p>
          <w:p w14:paraId="2E881C1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913212001419478711】</w:t>
            </w:r>
          </w:p>
          <w:p w14:paraId="36A97AF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住所：【泰州市姜堰区姜堰大道</w:t>
            </w:r>
            <w:r>
              <w:rPr>
                <w:rFonts w:ascii="楷体_GB2312" w:eastAsia="楷体_GB2312" w:cs="楷体_GB2312"/>
                <w:color w:val="000000" w:themeColor="text1"/>
                <w:sz w:val="20"/>
                <w:szCs w:val="20"/>
              </w:rPr>
              <w:t>128号】</w:t>
            </w:r>
          </w:p>
          <w:p w14:paraId="1EDE1CF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4A09BFB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6.企业名称：【江苏靖江农村商业银行股份有限公司】</w:t>
            </w:r>
          </w:p>
          <w:p w14:paraId="730BB73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913212001411273988】</w:t>
            </w:r>
          </w:p>
          <w:p w14:paraId="2381025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住所：【江苏省靖江市南环西路</w:t>
            </w:r>
            <w:r>
              <w:rPr>
                <w:rFonts w:ascii="楷体_GB2312" w:eastAsia="楷体_GB2312" w:cs="楷体_GB2312"/>
                <w:color w:val="000000" w:themeColor="text1"/>
                <w:sz w:val="20"/>
                <w:szCs w:val="20"/>
              </w:rPr>
              <w:t>12号】</w:t>
            </w:r>
          </w:p>
          <w:p w14:paraId="274293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40253AE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7.企业名称：【江苏紫金农村商业银行股份有限公司】</w:t>
            </w:r>
          </w:p>
          <w:p w14:paraId="6F52C14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91320000571433432L】</w:t>
            </w:r>
          </w:p>
          <w:p w14:paraId="54CECF6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住所：【南京市建邺区江东中路</w:t>
            </w:r>
            <w:r>
              <w:rPr>
                <w:rFonts w:ascii="楷体_GB2312" w:eastAsia="楷体_GB2312" w:cs="楷体_GB2312"/>
                <w:color w:val="000000" w:themeColor="text1"/>
                <w:sz w:val="20"/>
                <w:szCs w:val="20"/>
              </w:rPr>
              <w:t>381号】</w:t>
            </w:r>
          </w:p>
          <w:p w14:paraId="1CF7D5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6AC9277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8.企业名称：【江苏句容农村商业银行股份有限公司】</w:t>
            </w:r>
          </w:p>
          <w:p w14:paraId="41FCE4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91321100576724933U】</w:t>
            </w:r>
          </w:p>
          <w:p w14:paraId="1DD1AAA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住所：【江苏省句容市福地东路</w:t>
            </w:r>
            <w:r>
              <w:rPr>
                <w:rFonts w:ascii="楷体_GB2312" w:eastAsia="楷体_GB2312" w:cs="楷体_GB2312"/>
                <w:color w:val="000000" w:themeColor="text1"/>
                <w:sz w:val="20"/>
                <w:szCs w:val="20"/>
              </w:rPr>
              <w:t>66号】</w:t>
            </w:r>
          </w:p>
          <w:p w14:paraId="0F8CFE4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0513-96008】</w:t>
            </w:r>
          </w:p>
          <w:p w14:paraId="2F04687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9.企业名称：【江苏镇江农村商业银行股份有限公司】</w:t>
            </w:r>
          </w:p>
          <w:p w14:paraId="5728D3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913211005691909538】</w:t>
            </w:r>
          </w:p>
          <w:p w14:paraId="5433C0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住所：【江苏省镇江市润州区长江路</w:t>
            </w:r>
            <w:r>
              <w:rPr>
                <w:rFonts w:ascii="楷体_GB2312" w:eastAsia="楷体_GB2312" w:cs="楷体_GB2312"/>
                <w:color w:val="000000" w:themeColor="text1"/>
                <w:sz w:val="20"/>
                <w:szCs w:val="20"/>
              </w:rPr>
              <w:t>97号】</w:t>
            </w:r>
          </w:p>
          <w:p w14:paraId="719807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0513-96008】</w:t>
            </w:r>
          </w:p>
          <w:p w14:paraId="0B6AF0D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.企业名称：【信银理财有限责任公司】</w:t>
            </w:r>
          </w:p>
          <w:p w14:paraId="20A5B2A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FC4A9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06B51EF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BE9168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11.企业名称：【广发银行股份有限公司】</w:t>
            </w:r>
          </w:p>
          <w:p w14:paraId="48123E9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91440000190336428Q】</w:t>
            </w:r>
          </w:p>
          <w:p w14:paraId="7EF70E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住所：【广州市越秀区东风东路</w:t>
            </w:r>
            <w:r>
              <w:rPr>
                <w:rFonts w:ascii="楷体_GB2312" w:eastAsia="楷体_GB2312" w:cs="楷体_GB2312"/>
                <w:color w:val="000000" w:themeColor="text1"/>
                <w:sz w:val="20"/>
                <w:szCs w:val="20"/>
              </w:rPr>
              <w:t>713号】</w:t>
            </w:r>
          </w:p>
          <w:p w14:paraId="66EF60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400-830-8003】</w:t>
            </w:r>
          </w:p>
          <w:p w14:paraId="0858D03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12.企业名称：【上海银行股份有限公司】</w:t>
            </w:r>
          </w:p>
          <w:p w14:paraId="52391F5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91310000132257510M】</w:t>
            </w:r>
          </w:p>
          <w:p w14:paraId="7473C6A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住所：【上海市黄浦区中山南路</w:t>
            </w:r>
            <w:r>
              <w:rPr>
                <w:rFonts w:ascii="楷体_GB2312" w:eastAsia="楷体_GB2312" w:cs="楷体_GB2312"/>
                <w:color w:val="000000" w:themeColor="text1"/>
                <w:sz w:val="20"/>
                <w:szCs w:val="20"/>
              </w:rPr>
              <w:t>688号】</w:t>
            </w:r>
          </w:p>
          <w:p w14:paraId="6D7091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95594】</w:t>
            </w:r>
          </w:p>
          <w:p w14:paraId="4A6AED87" w14:textId="48EBADCF"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bookmarkStart w:id="0" w:name="_GoBack"/>
            <w:r w:rsidRPr="009A46AC">
              <w:rPr>
                <w:rFonts w:ascii="楷体_GB2312" w:eastAsia="楷体_GB2312" w:cs="楷体_GB2312"/>
                <w:color w:val="000000" w:themeColor="text1"/>
                <w:sz w:val="20"/>
                <w:szCs w:val="20"/>
              </w:rPr>
              <w:t>1</w:t>
            </w:r>
            <w:r>
              <w:rPr>
                <w:rFonts w:ascii="楷体_GB2312" w:eastAsia="楷体_GB2312" w:cs="楷体_GB2312"/>
                <w:color w:val="000000" w:themeColor="text1"/>
                <w:sz w:val="20"/>
                <w:szCs w:val="20"/>
              </w:rPr>
              <w:t>3</w:t>
            </w:r>
            <w:r w:rsidRPr="009A46AC">
              <w:rPr>
                <w:rFonts w:ascii="楷体_GB2312" w:eastAsia="楷体_GB2312" w:cs="楷体_GB2312"/>
                <w:color w:val="000000" w:themeColor="text1"/>
                <w:sz w:val="20"/>
                <w:szCs w:val="20"/>
              </w:rPr>
              <w:t>.企业名称：【江苏扬中农村商业银行股份有限公司】</w:t>
            </w:r>
          </w:p>
          <w:p w14:paraId="03273322"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91321100591145817W】</w:t>
            </w:r>
          </w:p>
          <w:p w14:paraId="11E14D5C"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住所：【扬中市扬子西路</w:t>
            </w:r>
            <w:r w:rsidRPr="009A46AC">
              <w:rPr>
                <w:rFonts w:ascii="楷体_GB2312" w:eastAsia="楷体_GB2312" w:cs="楷体_GB2312"/>
                <w:color w:val="000000" w:themeColor="text1"/>
                <w:sz w:val="20"/>
                <w:szCs w:val="20"/>
              </w:rPr>
              <w:t>79号】</w:t>
            </w:r>
          </w:p>
          <w:p w14:paraId="0B618A22"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0511-96008】</w:t>
            </w:r>
          </w:p>
          <w:p w14:paraId="37FCFE50" w14:textId="15731FA8"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14</w:t>
            </w:r>
            <w:r w:rsidRPr="009A46AC">
              <w:rPr>
                <w:rFonts w:ascii="楷体_GB2312" w:eastAsia="楷体_GB2312" w:cs="楷体_GB2312"/>
                <w:color w:val="000000" w:themeColor="text1"/>
                <w:sz w:val="20"/>
                <w:szCs w:val="20"/>
              </w:rPr>
              <w:t>.企业名称：【江苏东台农村商业银行股份有限公司】</w:t>
            </w:r>
          </w:p>
          <w:p w14:paraId="7FB5133B"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913209001425654533】</w:t>
            </w:r>
          </w:p>
          <w:p w14:paraId="60AFCC45"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住所：【东台市东城大道</w:t>
            </w:r>
            <w:r w:rsidRPr="009A46AC">
              <w:rPr>
                <w:rFonts w:ascii="楷体_GB2312" w:eastAsia="楷体_GB2312" w:cs="楷体_GB2312"/>
                <w:color w:val="000000" w:themeColor="text1"/>
                <w:sz w:val="20"/>
                <w:szCs w:val="20"/>
              </w:rPr>
              <w:t>10号】</w:t>
            </w:r>
          </w:p>
          <w:p w14:paraId="533C6D6C"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0515-96008】</w:t>
            </w:r>
          </w:p>
          <w:p w14:paraId="503EB9D3" w14:textId="611117AB"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15</w:t>
            </w:r>
            <w:r w:rsidRPr="009A46AC">
              <w:rPr>
                <w:rFonts w:ascii="楷体_GB2312" w:eastAsia="楷体_GB2312" w:cs="楷体_GB2312"/>
                <w:color w:val="000000" w:themeColor="text1"/>
                <w:sz w:val="20"/>
                <w:szCs w:val="20"/>
              </w:rPr>
              <w:t>.企业名称：【郑州银行股份有限公司】</w:t>
            </w:r>
          </w:p>
          <w:p w14:paraId="116BBB95"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914100001699995779】</w:t>
            </w:r>
          </w:p>
          <w:p w14:paraId="6D07F421"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住所：【郑州市郑东新区商务外环路</w:t>
            </w:r>
            <w:r w:rsidRPr="009A46AC">
              <w:rPr>
                <w:rFonts w:ascii="楷体_GB2312" w:eastAsia="楷体_GB2312" w:cs="楷体_GB2312"/>
                <w:color w:val="000000" w:themeColor="text1"/>
                <w:sz w:val="20"/>
                <w:szCs w:val="20"/>
              </w:rPr>
              <w:t>22号】</w:t>
            </w:r>
          </w:p>
          <w:p w14:paraId="6AF2461D" w14:textId="652D8E3F" w:rsidR="00A47A16"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95097】</w:t>
            </w:r>
          </w:p>
          <w:bookmarkEnd w:id="0"/>
          <w:p w14:paraId="1FB6F542" w14:textId="77777777" w:rsidR="009A46AC" w:rsidRDefault="009A46AC" w:rsidP="009A46AC">
            <w:pPr>
              <w:spacing w:line="300" w:lineRule="exact"/>
              <w:ind w:leftChars="-1" w:left="-2" w:rightChars="15" w:right="36"/>
              <w:rPr>
                <w:rFonts w:ascii="楷体_GB2312" w:eastAsia="楷体_GB2312" w:cs="楷体_GB2312"/>
                <w:color w:val="000000" w:themeColor="text1"/>
                <w:sz w:val="20"/>
                <w:szCs w:val="20"/>
              </w:rPr>
            </w:pPr>
          </w:p>
          <w:p w14:paraId="128FF9C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】）合作销售机构信息：</w:t>
            </w:r>
          </w:p>
          <w:p w14:paraId="3EA8021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1.企业名称：【浙江新昌农村商业银行股份有限公司】</w:t>
            </w:r>
          </w:p>
          <w:p w14:paraId="4E65CFE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913306007707448740】</w:t>
            </w:r>
          </w:p>
          <w:p w14:paraId="32E5A1B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住所：【浙江省新昌县七星街道七星路</w:t>
            </w:r>
            <w:r>
              <w:rPr>
                <w:rFonts w:ascii="楷体_GB2312" w:eastAsia="楷体_GB2312" w:cs="楷体_GB2312"/>
                <w:color w:val="000000" w:themeColor="text1"/>
                <w:sz w:val="20"/>
                <w:szCs w:val="20"/>
              </w:rPr>
              <w:t>18号】</w:t>
            </w:r>
          </w:p>
          <w:p w14:paraId="2E78D5C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CAECC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2.企业名称：【浙江杭州余杭农村商业银行股份有限公司】</w:t>
            </w:r>
          </w:p>
          <w:p w14:paraId="08E538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9133010014387221XY】</w:t>
            </w:r>
          </w:p>
          <w:p w14:paraId="5CC2F98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住所：【浙江省杭州市临平区南苑街道南大街</w:t>
            </w:r>
            <w:r>
              <w:rPr>
                <w:rFonts w:ascii="楷体_GB2312" w:eastAsia="楷体_GB2312" w:cs="楷体_GB2312"/>
                <w:color w:val="000000" w:themeColor="text1"/>
                <w:sz w:val="20"/>
                <w:szCs w:val="20"/>
              </w:rPr>
              <w:t>72号】</w:t>
            </w:r>
          </w:p>
          <w:p w14:paraId="3EEAC2C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F3FEC6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3.企业名称：【浙江德清农村商业银行股份有限公司】</w:t>
            </w:r>
          </w:p>
          <w:p w14:paraId="625CA1D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9133050076962455XQ】</w:t>
            </w:r>
          </w:p>
          <w:p w14:paraId="16B9124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住所：【浙江省德清县武康街道沈长圩街</w:t>
            </w:r>
            <w:r>
              <w:rPr>
                <w:rFonts w:ascii="楷体_GB2312" w:eastAsia="楷体_GB2312" w:cs="楷体_GB2312"/>
                <w:color w:val="000000" w:themeColor="text1"/>
                <w:sz w:val="20"/>
                <w:szCs w:val="20"/>
              </w:rPr>
              <w:t>50号】</w:t>
            </w:r>
          </w:p>
          <w:p w14:paraId="54FE82C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2EC28D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4.企业名称：【浙江瑞安农村商业银行股份有限公司】</w:t>
            </w:r>
          </w:p>
          <w:p w14:paraId="78E6C4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91330300773121154L】</w:t>
            </w:r>
          </w:p>
          <w:p w14:paraId="481D7A4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住所：【瑞安市安阳街道万松东路</w:t>
            </w:r>
            <w:r>
              <w:rPr>
                <w:rFonts w:ascii="楷体_GB2312" w:eastAsia="楷体_GB2312" w:cs="楷体_GB2312"/>
                <w:color w:val="000000" w:themeColor="text1"/>
                <w:sz w:val="20"/>
                <w:szCs w:val="20"/>
              </w:rPr>
              <w:t>148号】</w:t>
            </w:r>
          </w:p>
          <w:p w14:paraId="2DE81EC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CF27C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5.企业名称：【浙江富阳农村商业银行股份有限公司】</w:t>
            </w:r>
          </w:p>
          <w:p w14:paraId="3DA7FF1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91330100YA3600224E】</w:t>
            </w:r>
          </w:p>
          <w:p w14:paraId="70F27B3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住所：【浙江省杭州市富阳区鹿山街道依江路</w:t>
            </w:r>
            <w:r>
              <w:rPr>
                <w:rFonts w:ascii="楷体_GB2312" w:eastAsia="楷体_GB2312" w:cs="楷体_GB2312"/>
                <w:color w:val="000000" w:themeColor="text1"/>
                <w:sz w:val="20"/>
                <w:szCs w:val="20"/>
              </w:rPr>
              <w:t>501号第1幢】</w:t>
            </w:r>
          </w:p>
          <w:p w14:paraId="216E912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9C25A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6.企业名称：【浙江金华成泰农村商业银行股份有限公司】</w:t>
            </w:r>
          </w:p>
          <w:p w14:paraId="202462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91330700685598446M】</w:t>
            </w:r>
          </w:p>
          <w:p w14:paraId="2EE07B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住所：【浙江省金华市八一南街</w:t>
            </w:r>
            <w:r>
              <w:rPr>
                <w:rFonts w:ascii="楷体_GB2312" w:eastAsia="楷体_GB2312" w:cs="楷体_GB2312"/>
                <w:color w:val="000000" w:themeColor="text1"/>
                <w:sz w:val="20"/>
                <w:szCs w:val="20"/>
              </w:rPr>
              <w:t>123号】</w:t>
            </w:r>
          </w:p>
          <w:p w14:paraId="74DDE6A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FE5BC2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7.企业名称：【浙江永康农村商业银行股份有限公司】</w:t>
            </w:r>
          </w:p>
          <w:p w14:paraId="2B70F6C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91330700563336405G】</w:t>
            </w:r>
          </w:p>
          <w:p w14:paraId="27B7B71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住所：【浙江省金华市永康市九铃东路</w:t>
            </w:r>
            <w:r>
              <w:rPr>
                <w:rFonts w:ascii="楷体_GB2312" w:eastAsia="楷体_GB2312" w:cs="楷体_GB2312"/>
                <w:color w:val="000000" w:themeColor="text1"/>
                <w:sz w:val="20"/>
                <w:szCs w:val="20"/>
              </w:rPr>
              <w:t>3259号】</w:t>
            </w:r>
          </w:p>
          <w:p w14:paraId="4DF89B5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56B4CB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8.企业名称：【浙江东阳农村商业银行股份有限公司】</w:t>
            </w:r>
          </w:p>
          <w:p w14:paraId="106ADD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91330700147546390Q】</w:t>
            </w:r>
          </w:p>
          <w:p w14:paraId="6EC41D9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住所：【东阳市双岘路</w:t>
            </w:r>
            <w:r>
              <w:rPr>
                <w:rFonts w:ascii="楷体_GB2312" w:eastAsia="楷体_GB2312" w:cs="楷体_GB2312"/>
                <w:color w:val="000000" w:themeColor="text1"/>
                <w:sz w:val="20"/>
                <w:szCs w:val="20"/>
              </w:rPr>
              <w:t>18号】</w:t>
            </w:r>
          </w:p>
          <w:p w14:paraId="74B0BA2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AE1FA9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9.企业名称：【浙江浦江农村商业银行股份有限公司】</w:t>
            </w:r>
          </w:p>
          <w:p w14:paraId="0A56D13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913307261476928819】</w:t>
            </w:r>
          </w:p>
          <w:p w14:paraId="3FA4EF7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住所：【浙江省浦江县人民东路</w:t>
            </w:r>
            <w:r>
              <w:rPr>
                <w:rFonts w:ascii="楷体_GB2312" w:eastAsia="楷体_GB2312" w:cs="楷体_GB2312"/>
                <w:color w:val="000000" w:themeColor="text1"/>
                <w:sz w:val="20"/>
                <w:szCs w:val="20"/>
              </w:rPr>
              <w:t>90号】</w:t>
            </w:r>
          </w:p>
          <w:p w14:paraId="358382D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13E7C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10.企业名称：【浙江衢州柯城农村商业银行股份有限公司】</w:t>
            </w:r>
          </w:p>
          <w:p w14:paraId="254B19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913308001477477826】</w:t>
            </w:r>
          </w:p>
          <w:p w14:paraId="4D2DF7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住所：【浙江省上街</w:t>
            </w:r>
            <w:r>
              <w:rPr>
                <w:rFonts w:ascii="楷体_GB2312" w:eastAsia="楷体_GB2312" w:cs="楷体_GB2312"/>
                <w:color w:val="000000" w:themeColor="text1"/>
                <w:sz w:val="20"/>
                <w:szCs w:val="20"/>
              </w:rPr>
              <w:t>92号】</w:t>
            </w:r>
          </w:p>
          <w:p w14:paraId="778F271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9DB34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11.企业名称：【浙江衢州衢江农村商业银行股份有限公司】</w:t>
            </w:r>
          </w:p>
          <w:p w14:paraId="7982DD8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91330800147752813B】</w:t>
            </w:r>
          </w:p>
          <w:p w14:paraId="2C7A281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住所：【浙江省衢州市衢江区樟潭街道信安东路</w:t>
            </w:r>
            <w:r>
              <w:rPr>
                <w:rFonts w:ascii="楷体_GB2312" w:eastAsia="楷体_GB2312" w:cs="楷体_GB2312"/>
                <w:color w:val="000000" w:themeColor="text1"/>
                <w:sz w:val="20"/>
                <w:szCs w:val="20"/>
              </w:rPr>
              <w:t>37号】</w:t>
            </w:r>
          </w:p>
          <w:p w14:paraId="6561BBD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17143F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12.企业名称：【浙江龙游农村商业银行股份有限公司】</w:t>
            </w:r>
          </w:p>
          <w:p w14:paraId="214908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91330825769632509M】</w:t>
            </w:r>
          </w:p>
          <w:p w14:paraId="09C7239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住所：【浙江省衢州市龙游县</w:t>
            </w:r>
            <w:proofErr w:type="gramStart"/>
            <w:r>
              <w:rPr>
                <w:rFonts w:ascii="楷体_GB2312" w:eastAsia="楷体_GB2312" w:cs="楷体_GB2312" w:hint="eastAsia"/>
                <w:color w:val="000000" w:themeColor="text1"/>
                <w:sz w:val="20"/>
                <w:szCs w:val="20"/>
              </w:rPr>
              <w:t>龙洲</w:t>
            </w:r>
            <w:proofErr w:type="gramEnd"/>
            <w:r>
              <w:rPr>
                <w:rFonts w:ascii="楷体_GB2312" w:eastAsia="楷体_GB2312" w:cs="楷体_GB2312" w:hint="eastAsia"/>
                <w:color w:val="000000" w:themeColor="text1"/>
                <w:sz w:val="20"/>
                <w:szCs w:val="20"/>
              </w:rPr>
              <w:t>街道荣昌大道</w:t>
            </w:r>
            <w:r>
              <w:rPr>
                <w:rFonts w:ascii="楷体_GB2312" w:eastAsia="楷体_GB2312" w:cs="楷体_GB2312"/>
                <w:color w:val="000000" w:themeColor="text1"/>
                <w:sz w:val="20"/>
                <w:szCs w:val="20"/>
              </w:rPr>
              <w:t>683、685、687号】</w:t>
            </w:r>
          </w:p>
          <w:p w14:paraId="37ADCA5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137A3E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13.企业名称：【浙江江山农村商业银行股份有限公司】</w:t>
            </w:r>
          </w:p>
          <w:p w14:paraId="6E978E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913308001478831865】</w:t>
            </w:r>
          </w:p>
          <w:p w14:paraId="4752711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住所：【浙江省江山市双塔街道江滨路</w:t>
            </w:r>
            <w:r>
              <w:rPr>
                <w:rFonts w:ascii="楷体_GB2312" w:eastAsia="楷体_GB2312" w:cs="楷体_GB2312"/>
                <w:color w:val="000000" w:themeColor="text1"/>
                <w:sz w:val="20"/>
                <w:szCs w:val="20"/>
              </w:rPr>
              <w:t>188号】</w:t>
            </w:r>
          </w:p>
          <w:p w14:paraId="40CA31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7E2EF1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14.企业名称：【浙江常山农村商业银行股份有限公司】</w:t>
            </w:r>
          </w:p>
          <w:p w14:paraId="47FAE72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91330822147845315H】</w:t>
            </w:r>
          </w:p>
          <w:p w14:paraId="7F82739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住所：【浙江省衢州市常山县天马街道人民路</w:t>
            </w:r>
            <w:r>
              <w:rPr>
                <w:rFonts w:ascii="楷体_GB2312" w:eastAsia="楷体_GB2312" w:cs="楷体_GB2312"/>
                <w:color w:val="000000" w:themeColor="text1"/>
                <w:sz w:val="20"/>
                <w:szCs w:val="20"/>
              </w:rPr>
              <w:t>125号】</w:t>
            </w:r>
          </w:p>
          <w:p w14:paraId="4A988E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9AF8F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15.企业名称：【浙江开化农村商业银行股份有限公司】</w:t>
            </w:r>
          </w:p>
          <w:p w14:paraId="3F337C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913308241479259480】</w:t>
            </w:r>
          </w:p>
          <w:p w14:paraId="35377A2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住所：【浙江省衢州市开化县华埠镇永吉二路</w:t>
            </w:r>
            <w:r>
              <w:rPr>
                <w:rFonts w:ascii="楷体_GB2312" w:eastAsia="楷体_GB2312" w:cs="楷体_GB2312"/>
                <w:color w:val="000000" w:themeColor="text1"/>
                <w:sz w:val="20"/>
                <w:szCs w:val="20"/>
              </w:rPr>
              <w:t>8号】</w:t>
            </w:r>
          </w:p>
          <w:p w14:paraId="2C5690C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FFDBF6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16.企业名称：【浙江丽水莲都农村商业银行股份有限公司】</w:t>
            </w:r>
          </w:p>
          <w:p w14:paraId="14A465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91331100148440061D】</w:t>
            </w:r>
          </w:p>
          <w:p w14:paraId="01C38CA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住所：【浙江丽水市解放街</w:t>
            </w:r>
            <w:r>
              <w:rPr>
                <w:rFonts w:ascii="楷体_GB2312" w:eastAsia="楷体_GB2312" w:cs="楷体_GB2312"/>
                <w:color w:val="000000" w:themeColor="text1"/>
                <w:sz w:val="20"/>
                <w:szCs w:val="20"/>
              </w:rPr>
              <w:t>438号】</w:t>
            </w:r>
          </w:p>
          <w:p w14:paraId="45F728A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5E038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17.企业名称：【浙江青田农村商业银行股份有限公司】</w:t>
            </w:r>
          </w:p>
          <w:p w14:paraId="75D385A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913311007757320399】</w:t>
            </w:r>
          </w:p>
          <w:p w14:paraId="4EBBD2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住所：【浙江省青田县鹤城街道鹤城东路</w:t>
            </w:r>
            <w:r>
              <w:rPr>
                <w:rFonts w:ascii="楷体_GB2312" w:eastAsia="楷体_GB2312" w:cs="楷体_GB2312"/>
                <w:color w:val="000000" w:themeColor="text1"/>
                <w:sz w:val="20"/>
                <w:szCs w:val="20"/>
              </w:rPr>
              <w:t>180号】</w:t>
            </w:r>
          </w:p>
          <w:p w14:paraId="1682A4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CE938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18.企业名称：【浙江龙泉农村商业银行股份有限公司】</w:t>
            </w:r>
          </w:p>
          <w:p w14:paraId="0A3A3A4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91331181148543853J】</w:t>
            </w:r>
          </w:p>
          <w:p w14:paraId="76D9E57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住所：【浙江省丽水市龙泉市中山东路</w:t>
            </w:r>
            <w:r>
              <w:rPr>
                <w:rFonts w:ascii="楷体_GB2312" w:eastAsia="楷体_GB2312" w:cs="楷体_GB2312"/>
                <w:color w:val="000000" w:themeColor="text1"/>
                <w:sz w:val="20"/>
                <w:szCs w:val="20"/>
              </w:rPr>
              <w:t>101号】</w:t>
            </w:r>
          </w:p>
          <w:p w14:paraId="2045113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4B28F7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19.企业名称：【浙江遂昌农村商业银行股份有限公司】</w:t>
            </w:r>
          </w:p>
          <w:p w14:paraId="2135FD2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91331123148661817E】</w:t>
            </w:r>
          </w:p>
          <w:p w14:paraId="2F3D9A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住所：【浙江省丽水市遂昌县妙高街道溪边路</w:t>
            </w:r>
            <w:r>
              <w:rPr>
                <w:rFonts w:ascii="楷体_GB2312" w:eastAsia="楷体_GB2312" w:cs="楷体_GB2312"/>
                <w:color w:val="000000" w:themeColor="text1"/>
                <w:sz w:val="20"/>
                <w:szCs w:val="20"/>
              </w:rPr>
              <w:t>100号】</w:t>
            </w:r>
          </w:p>
          <w:p w14:paraId="696AADA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C94E7A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20.企业名称：【浙江松阳农村商业银行股份有限公司】</w:t>
            </w:r>
          </w:p>
          <w:p w14:paraId="3788323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91331124148632856X】</w:t>
            </w:r>
          </w:p>
          <w:p w14:paraId="7EFBFA9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住所：【浙江省丽水市松阳县水南街道要津南路</w:t>
            </w:r>
            <w:r>
              <w:rPr>
                <w:rFonts w:ascii="楷体_GB2312" w:eastAsia="楷体_GB2312" w:cs="楷体_GB2312"/>
                <w:color w:val="000000" w:themeColor="text1"/>
                <w:sz w:val="20"/>
                <w:szCs w:val="20"/>
              </w:rPr>
              <w:t>71号】</w:t>
            </w:r>
          </w:p>
          <w:p w14:paraId="23C968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0A94B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21.企业名称：【浙江景宁农村商业银行股份有限公司】</w:t>
            </w:r>
          </w:p>
          <w:p w14:paraId="79B428B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91331127704796094T】</w:t>
            </w:r>
          </w:p>
          <w:p w14:paraId="0F8B251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住所：【浙江省丽水市景宁畲族自治县红星街道人民中路</w:t>
            </w:r>
            <w:r>
              <w:rPr>
                <w:rFonts w:ascii="楷体_GB2312" w:eastAsia="楷体_GB2312" w:cs="楷体_GB2312"/>
                <w:color w:val="000000" w:themeColor="text1"/>
                <w:sz w:val="20"/>
                <w:szCs w:val="20"/>
              </w:rPr>
              <w:t>201号】</w:t>
            </w:r>
          </w:p>
          <w:p w14:paraId="681AA75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1919E9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22.企业名称：【浙江台州椒江农村商业银行股份有限公司】</w:t>
            </w:r>
          </w:p>
          <w:p w14:paraId="2A7E3B0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913310021482768636】</w:t>
            </w:r>
          </w:p>
          <w:p w14:paraId="47AC825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住所：【浙江省台州市椒江区工人东路</w:t>
            </w:r>
            <w:r>
              <w:rPr>
                <w:rFonts w:ascii="楷体_GB2312" w:eastAsia="楷体_GB2312" w:cs="楷体_GB2312"/>
                <w:color w:val="000000" w:themeColor="text1"/>
                <w:sz w:val="20"/>
                <w:szCs w:val="20"/>
              </w:rPr>
              <w:t>322号】</w:t>
            </w:r>
          </w:p>
          <w:p w14:paraId="40123AC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665839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23.企业名称：【浙江台州黄岩农村商业银行股份有限公司】</w:t>
            </w:r>
          </w:p>
          <w:p w14:paraId="4F76F50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91331003770736460B】</w:t>
            </w:r>
          </w:p>
          <w:p w14:paraId="21A2E2F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住所：【浙江省台州市黄岩区洞天路</w:t>
            </w:r>
            <w:r>
              <w:rPr>
                <w:rFonts w:ascii="楷体_GB2312" w:eastAsia="楷体_GB2312" w:cs="楷体_GB2312"/>
                <w:color w:val="000000" w:themeColor="text1"/>
                <w:sz w:val="20"/>
                <w:szCs w:val="20"/>
              </w:rPr>
              <w:t>88号】</w:t>
            </w:r>
          </w:p>
          <w:p w14:paraId="00E9D3E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5732B4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24.企业名称：【浙江台州路桥农村商业银行股份有限公司】</w:t>
            </w:r>
          </w:p>
          <w:p w14:paraId="4E4FD48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91331004771942717H】</w:t>
            </w:r>
          </w:p>
          <w:p w14:paraId="679A0C6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住所：【浙江省台州市路桥区西路桥大道</w:t>
            </w:r>
            <w:r>
              <w:rPr>
                <w:rFonts w:ascii="楷体_GB2312" w:eastAsia="楷体_GB2312" w:cs="楷体_GB2312"/>
                <w:color w:val="000000" w:themeColor="text1"/>
                <w:sz w:val="20"/>
                <w:szCs w:val="20"/>
              </w:rPr>
              <w:t>328号】</w:t>
            </w:r>
          </w:p>
          <w:p w14:paraId="1BDBF3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01405F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25.企业名称：【浙江温岭农村商业银行股份有限公司】</w:t>
            </w:r>
          </w:p>
          <w:p w14:paraId="7B366E2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913310001489096329】</w:t>
            </w:r>
          </w:p>
          <w:p w14:paraId="722CFE0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住所：【浙江省台州市温岭市城东街道下保路</w:t>
            </w:r>
            <w:r>
              <w:rPr>
                <w:rFonts w:ascii="楷体_GB2312" w:eastAsia="楷体_GB2312" w:cs="楷体_GB2312"/>
                <w:color w:val="000000" w:themeColor="text1"/>
                <w:sz w:val="20"/>
                <w:szCs w:val="20"/>
              </w:rPr>
              <w:t>100号】</w:t>
            </w:r>
          </w:p>
          <w:p w14:paraId="431A120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A31AAD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26.企业名称：【浙江天台农村商业银行股份有限公司】</w:t>
            </w:r>
          </w:p>
          <w:p w14:paraId="3E75062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91331000148073695C】</w:t>
            </w:r>
          </w:p>
          <w:p w14:paraId="2A7ACC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住所：【浙江省天台县赤城街道飞鹤路</w:t>
            </w:r>
            <w:r>
              <w:rPr>
                <w:rFonts w:ascii="楷体_GB2312" w:eastAsia="楷体_GB2312" w:cs="楷体_GB2312"/>
                <w:color w:val="000000" w:themeColor="text1"/>
                <w:sz w:val="20"/>
                <w:szCs w:val="20"/>
              </w:rPr>
              <w:t>358号】</w:t>
            </w:r>
          </w:p>
          <w:p w14:paraId="43F2270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BCFDC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27.企业名称：【浙江三门农村商业银行股份有限公司】</w:t>
            </w:r>
          </w:p>
          <w:p w14:paraId="30390A5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91331022774367359X】</w:t>
            </w:r>
          </w:p>
          <w:p w14:paraId="174F0AA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住所：【浙江省三门县海游街道上洋路</w:t>
            </w:r>
            <w:r>
              <w:rPr>
                <w:rFonts w:ascii="楷体_GB2312" w:eastAsia="楷体_GB2312" w:cs="楷体_GB2312"/>
                <w:color w:val="000000" w:themeColor="text1"/>
                <w:sz w:val="20"/>
                <w:szCs w:val="20"/>
              </w:rPr>
              <w:t>68号】</w:t>
            </w:r>
          </w:p>
          <w:p w14:paraId="4E59122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A19EE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28.企业名称：【浙江舟山定海海洋农村商业银行股份有限公司】</w:t>
            </w:r>
          </w:p>
          <w:p w14:paraId="5FF1EF5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91330900148740320U】</w:t>
            </w:r>
          </w:p>
          <w:p w14:paraId="5F77ECD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住所：【浙江省舟山市定海区环城东路</w:t>
            </w:r>
            <w:r>
              <w:rPr>
                <w:rFonts w:ascii="楷体_GB2312" w:eastAsia="楷体_GB2312" w:cs="楷体_GB2312"/>
                <w:color w:val="000000" w:themeColor="text1"/>
                <w:sz w:val="20"/>
                <w:szCs w:val="20"/>
              </w:rPr>
              <w:t>81号】</w:t>
            </w:r>
          </w:p>
          <w:p w14:paraId="16C5E73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14343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29.企业名称：【浙江舟山普陀农村商业银行股份有限公司】</w:t>
            </w:r>
          </w:p>
          <w:p w14:paraId="4C6E4F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913309006831072360】</w:t>
            </w:r>
          </w:p>
          <w:p w14:paraId="3EDAE5A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住所：【浙江省舟山市普陀区东港街道麒麟街</w:t>
            </w:r>
            <w:r>
              <w:rPr>
                <w:rFonts w:ascii="楷体_GB2312" w:eastAsia="楷体_GB2312" w:cs="楷体_GB2312"/>
                <w:color w:val="000000" w:themeColor="text1"/>
                <w:sz w:val="20"/>
                <w:szCs w:val="20"/>
              </w:rPr>
              <w:t>225号（自贸试验区内）】</w:t>
            </w:r>
          </w:p>
          <w:p w14:paraId="6EA9529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0D369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30.企业名称：【湖州吴兴农村商业银行股份有限公司】</w:t>
            </w:r>
          </w:p>
          <w:p w14:paraId="7983B9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913305007782713708】</w:t>
            </w:r>
          </w:p>
          <w:p w14:paraId="4D5D43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住所：【浙江省湖州市东街</w:t>
            </w:r>
            <w:r>
              <w:rPr>
                <w:rFonts w:ascii="楷体_GB2312" w:eastAsia="楷体_GB2312" w:cs="楷体_GB2312"/>
                <w:color w:val="000000" w:themeColor="text1"/>
                <w:sz w:val="20"/>
                <w:szCs w:val="20"/>
              </w:rPr>
              <w:t>55号】</w:t>
            </w:r>
          </w:p>
          <w:p w14:paraId="0DEB455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5CF5A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31.企业名称：【浙江临安农村商业银行股份有限公司】</w:t>
            </w:r>
          </w:p>
          <w:p w14:paraId="4EBD35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913301851437582064】</w:t>
            </w:r>
          </w:p>
          <w:p w14:paraId="4BBF23B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住所：【浙江省杭州市临安区锦城街道城中街</w:t>
            </w:r>
            <w:r>
              <w:rPr>
                <w:rFonts w:ascii="楷体_GB2312" w:eastAsia="楷体_GB2312" w:cs="楷体_GB2312"/>
                <w:color w:val="000000" w:themeColor="text1"/>
                <w:sz w:val="20"/>
                <w:szCs w:val="20"/>
              </w:rPr>
              <w:t>442号】</w:t>
            </w:r>
          </w:p>
          <w:p w14:paraId="7ECA5F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4CEDA4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32.企业名称：【浙江淳安农村商业银行股份有限公司】</w:t>
            </w:r>
          </w:p>
          <w:p w14:paraId="7E9854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9133012714400940XB】</w:t>
            </w:r>
          </w:p>
          <w:p w14:paraId="34EF48C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住所：【浙江省杭州市淳安县千岛湖镇环湖北路</w:t>
            </w:r>
            <w:r>
              <w:rPr>
                <w:rFonts w:ascii="楷体_GB2312" w:eastAsia="楷体_GB2312" w:cs="楷体_GB2312"/>
                <w:color w:val="000000" w:themeColor="text1"/>
                <w:sz w:val="20"/>
                <w:szCs w:val="20"/>
              </w:rPr>
              <w:t>369号】</w:t>
            </w:r>
          </w:p>
          <w:p w14:paraId="5AC812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86E02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33.企业名称：【宁波北仑农村商业银行股份有限公司】</w:t>
            </w:r>
          </w:p>
          <w:p w14:paraId="3F73B30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91330206144292356K】</w:t>
            </w:r>
          </w:p>
          <w:p w14:paraId="54A8582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住所：【浙江省宁波市北仑区新</w:t>
            </w:r>
            <w:r>
              <w:rPr>
                <w:rFonts w:ascii="微软雅黑" w:eastAsia="微软雅黑" w:hAnsi="微软雅黑" w:cs="微软雅黑" w:hint="eastAsia"/>
                <w:color w:val="000000" w:themeColor="text1"/>
                <w:sz w:val="20"/>
                <w:szCs w:val="20"/>
              </w:rPr>
              <w:t>碶</w:t>
            </w:r>
            <w:r>
              <w:rPr>
                <w:rFonts w:ascii="楷体_GB2312" w:eastAsia="楷体_GB2312" w:hAnsi="楷体_GB2312" w:cs="楷体_GB2312" w:hint="eastAsia"/>
                <w:color w:val="000000" w:themeColor="text1"/>
                <w:sz w:val="20"/>
                <w:szCs w:val="20"/>
              </w:rPr>
              <w:t>宝山路</w:t>
            </w:r>
            <w:r>
              <w:rPr>
                <w:rFonts w:ascii="楷体_GB2312" w:eastAsia="楷体_GB2312" w:cs="楷体_GB2312"/>
                <w:color w:val="000000" w:themeColor="text1"/>
                <w:sz w:val="20"/>
                <w:szCs w:val="20"/>
              </w:rPr>
              <w:t>69号（凤凰国际商务广场）1幢69号、63号（凤凰国际商务广场）1幢（2-26层）】</w:t>
            </w:r>
          </w:p>
          <w:p w14:paraId="594AC1F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400B70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34.企业名称：【宁波奉化农村商业银行股份有限公司】</w:t>
            </w:r>
          </w:p>
          <w:p w14:paraId="4A79DF7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913302001448601066】</w:t>
            </w:r>
          </w:p>
          <w:p w14:paraId="407E5E8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住所：【浙江省宁波市奉化区锦屏街道中山路</w:t>
            </w:r>
            <w:r>
              <w:rPr>
                <w:rFonts w:ascii="楷体_GB2312" w:eastAsia="楷体_GB2312" w:cs="楷体_GB2312"/>
                <w:color w:val="000000" w:themeColor="text1"/>
                <w:sz w:val="20"/>
                <w:szCs w:val="20"/>
              </w:rPr>
              <w:t>27号】</w:t>
            </w:r>
          </w:p>
          <w:p w14:paraId="4AFD1E6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B8472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35.企业名称：【宁波镇海农村商业银行股份有限公司】</w:t>
            </w:r>
          </w:p>
          <w:p w14:paraId="533973D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91330200717212676J】</w:t>
            </w:r>
          </w:p>
          <w:p w14:paraId="5E1EE5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住所：【宁波市镇海区骆驼街道镇海大道中段</w:t>
            </w:r>
            <w:r>
              <w:rPr>
                <w:rFonts w:ascii="楷体_GB2312" w:eastAsia="楷体_GB2312" w:cs="楷体_GB2312"/>
                <w:color w:val="000000" w:themeColor="text1"/>
                <w:sz w:val="20"/>
                <w:szCs w:val="20"/>
              </w:rPr>
              <w:t>788号】</w:t>
            </w:r>
          </w:p>
          <w:p w14:paraId="62457ED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F2089A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36.企业名称：【宁波宁海农村商业银行股份有限公司】</w:t>
            </w:r>
          </w:p>
          <w:p w14:paraId="3E4E7DD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91330200144938786M】</w:t>
            </w:r>
          </w:p>
          <w:p w14:paraId="643DE88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住所：【宁海县跃龙街道学勉路</w:t>
            </w:r>
            <w:r>
              <w:rPr>
                <w:rFonts w:ascii="楷体_GB2312" w:eastAsia="楷体_GB2312" w:cs="楷体_GB2312"/>
                <w:color w:val="000000" w:themeColor="text1"/>
                <w:sz w:val="20"/>
                <w:szCs w:val="20"/>
              </w:rPr>
              <w:t>1号（金融中心）】</w:t>
            </w:r>
          </w:p>
          <w:p w14:paraId="360EA4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AC1808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37.企业名称：【宁波甬城农村商业银行股份有限公司】</w:t>
            </w:r>
          </w:p>
          <w:p w14:paraId="1C6C862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91330205704848042N】</w:t>
            </w:r>
          </w:p>
          <w:p w14:paraId="0A622D4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住所：【浙江省宁波市江北区育才路</w:t>
            </w:r>
            <w:r>
              <w:rPr>
                <w:rFonts w:ascii="楷体_GB2312" w:eastAsia="楷体_GB2312" w:cs="楷体_GB2312"/>
                <w:color w:val="000000" w:themeColor="text1"/>
                <w:sz w:val="20"/>
                <w:szCs w:val="20"/>
              </w:rPr>
              <w:t>15、17号】</w:t>
            </w:r>
          </w:p>
          <w:p w14:paraId="736ECFD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D28FC1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38.企业名称：【浙江永嘉农村商业银行股份有限公司】</w:t>
            </w:r>
          </w:p>
          <w:p w14:paraId="285B0D9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91330300693852088P】</w:t>
            </w:r>
          </w:p>
          <w:p w14:paraId="4825259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住所：【浙江省温州市永嘉县瓯北街道阳光大道</w:t>
            </w:r>
            <w:r>
              <w:rPr>
                <w:rFonts w:ascii="楷体_GB2312" w:eastAsia="楷体_GB2312" w:cs="楷体_GB2312"/>
                <w:color w:val="000000" w:themeColor="text1"/>
                <w:sz w:val="20"/>
                <w:szCs w:val="20"/>
              </w:rPr>
              <w:t>3918号101室、201室、301室、401室、501室、1101室、1801室、2201室】</w:t>
            </w:r>
          </w:p>
          <w:p w14:paraId="54209DA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24CCA3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39.企业名称：【浙江平阳农村商业银行股份有限公司】</w:t>
            </w:r>
          </w:p>
          <w:p w14:paraId="56F567F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91330300778260532C】</w:t>
            </w:r>
          </w:p>
          <w:p w14:paraId="1FA1F7A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住所：【浙江省平阳县鳌江镇车站大道</w:t>
            </w:r>
            <w:r>
              <w:rPr>
                <w:rFonts w:ascii="楷体_GB2312" w:eastAsia="楷体_GB2312" w:cs="楷体_GB2312"/>
                <w:color w:val="000000" w:themeColor="text1"/>
                <w:sz w:val="20"/>
                <w:szCs w:val="20"/>
              </w:rPr>
              <w:t>999号】</w:t>
            </w:r>
          </w:p>
          <w:p w14:paraId="23A67D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5250FE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40.企业名称：【浙江嘉善农村商业银行股份有限公司】</w:t>
            </w:r>
          </w:p>
          <w:p w14:paraId="39DF57E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91330400146600914H】</w:t>
            </w:r>
          </w:p>
          <w:p w14:paraId="483BE3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住所：【浙江省嘉兴市嘉善县罗星街道车站南路</w:t>
            </w:r>
            <w:r>
              <w:rPr>
                <w:rFonts w:ascii="楷体_GB2312" w:eastAsia="楷体_GB2312" w:cs="楷体_GB2312"/>
                <w:color w:val="000000" w:themeColor="text1"/>
                <w:sz w:val="20"/>
                <w:szCs w:val="20"/>
              </w:rPr>
              <w:t>999号】</w:t>
            </w:r>
          </w:p>
          <w:p w14:paraId="3C985F7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C9453F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41.企业名称：【浙江平湖农村商业银行股份有限公司】</w:t>
            </w:r>
          </w:p>
          <w:p w14:paraId="216619D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913304821466775403】</w:t>
            </w:r>
          </w:p>
          <w:p w14:paraId="64FA81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住所：【浙江省平湖市当湖街道胜利路</w:t>
            </w:r>
            <w:r>
              <w:rPr>
                <w:rFonts w:ascii="楷体_GB2312" w:eastAsia="楷体_GB2312" w:cs="楷体_GB2312"/>
                <w:color w:val="000000" w:themeColor="text1"/>
                <w:sz w:val="20"/>
                <w:szCs w:val="20"/>
              </w:rPr>
              <w:t>518号】</w:t>
            </w:r>
          </w:p>
          <w:p w14:paraId="7959667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5BC5C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42.企业名称：【浙江海宁农村商业银行股份有限公司】</w:t>
            </w:r>
          </w:p>
          <w:p w14:paraId="5623B4B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91330400146707324M】</w:t>
            </w:r>
          </w:p>
          <w:p w14:paraId="32D7A1A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住所：【浙江省海宁市</w:t>
            </w:r>
            <w:proofErr w:type="gramStart"/>
            <w:r>
              <w:rPr>
                <w:rFonts w:ascii="楷体_GB2312" w:eastAsia="楷体_GB2312" w:cs="楷体_GB2312" w:hint="eastAsia"/>
                <w:color w:val="000000" w:themeColor="text1"/>
                <w:sz w:val="20"/>
                <w:szCs w:val="20"/>
              </w:rPr>
              <w:t>海洲</w:t>
            </w:r>
            <w:proofErr w:type="gramEnd"/>
            <w:r>
              <w:rPr>
                <w:rFonts w:ascii="楷体_GB2312" w:eastAsia="楷体_GB2312" w:cs="楷体_GB2312" w:hint="eastAsia"/>
                <w:color w:val="000000" w:themeColor="text1"/>
                <w:sz w:val="20"/>
                <w:szCs w:val="20"/>
              </w:rPr>
              <w:t>街道钱江西路</w:t>
            </w:r>
            <w:r>
              <w:rPr>
                <w:rFonts w:ascii="楷体_GB2312" w:eastAsia="楷体_GB2312" w:cs="楷体_GB2312"/>
                <w:color w:val="000000" w:themeColor="text1"/>
                <w:sz w:val="20"/>
                <w:szCs w:val="20"/>
              </w:rPr>
              <w:t>278号】</w:t>
            </w:r>
          </w:p>
          <w:p w14:paraId="1562263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161DB6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43.企业名称：【浙江海盐农村商业银行股份有限公司】</w:t>
            </w:r>
          </w:p>
          <w:p w14:paraId="522C13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91330424254846268L】</w:t>
            </w:r>
          </w:p>
          <w:p w14:paraId="7FE2EE5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住所：【浙江省海盐县武原街道枣园西路</w:t>
            </w:r>
            <w:r>
              <w:rPr>
                <w:rFonts w:ascii="楷体_GB2312" w:eastAsia="楷体_GB2312" w:cs="楷体_GB2312"/>
                <w:color w:val="000000" w:themeColor="text1"/>
                <w:sz w:val="20"/>
                <w:szCs w:val="20"/>
              </w:rPr>
              <w:t>176号】</w:t>
            </w:r>
          </w:p>
          <w:p w14:paraId="3FDEC1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FAD28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44.企业名称：【浙江桐乡农村商业银行股份有限公司】</w:t>
            </w:r>
          </w:p>
          <w:p w14:paraId="1105677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91330483146852863F】</w:t>
            </w:r>
          </w:p>
          <w:p w14:paraId="175F67D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住所：【浙江省嘉兴市桐乡市梧桐街道校场东路</w:t>
            </w:r>
            <w:r>
              <w:rPr>
                <w:rFonts w:ascii="楷体_GB2312" w:eastAsia="楷体_GB2312" w:cs="楷体_GB2312"/>
                <w:color w:val="000000" w:themeColor="text1"/>
                <w:sz w:val="20"/>
                <w:szCs w:val="20"/>
              </w:rPr>
              <w:t>59号】</w:t>
            </w:r>
          </w:p>
          <w:p w14:paraId="421FAFF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4AEA9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45.企业名称：【浙江安吉农村商业银行股份有限公司】</w:t>
            </w:r>
          </w:p>
          <w:p w14:paraId="4BAA00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91330500680700499G】</w:t>
            </w:r>
          </w:p>
          <w:p w14:paraId="53DF166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住所：【浙江省湖州市安吉县昌硕街道昌硕东路</w:t>
            </w:r>
            <w:r>
              <w:rPr>
                <w:rFonts w:ascii="楷体_GB2312" w:eastAsia="楷体_GB2312" w:cs="楷体_GB2312"/>
                <w:color w:val="000000" w:themeColor="text1"/>
                <w:sz w:val="20"/>
                <w:szCs w:val="20"/>
              </w:rPr>
              <w:t>1号】</w:t>
            </w:r>
          </w:p>
          <w:p w14:paraId="306B988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AC8545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46.企业名称：【浙江南浔农村商业银行股份有限公司】</w:t>
            </w:r>
          </w:p>
          <w:p w14:paraId="625805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913305001470196549】</w:t>
            </w:r>
          </w:p>
          <w:p w14:paraId="65C71BE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住所：【浙江省湖州市南浔区南浔镇人瑞路</w:t>
            </w:r>
            <w:r>
              <w:rPr>
                <w:rFonts w:ascii="楷体_GB2312" w:eastAsia="楷体_GB2312" w:cs="楷体_GB2312"/>
                <w:color w:val="000000" w:themeColor="text1"/>
                <w:sz w:val="20"/>
                <w:szCs w:val="20"/>
              </w:rPr>
              <w:t>1188号】</w:t>
            </w:r>
          </w:p>
          <w:p w14:paraId="2285D4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346F69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47.企业名称：【浙江上虞农村商业银行股份有限公司】</w:t>
            </w:r>
          </w:p>
          <w:p w14:paraId="546F054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91330600146116161G】</w:t>
            </w:r>
          </w:p>
          <w:p w14:paraId="422A496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住所：【浙江省百官街道德盛路</w:t>
            </w:r>
            <w:r>
              <w:rPr>
                <w:rFonts w:ascii="楷体_GB2312" w:eastAsia="楷体_GB2312" w:cs="楷体_GB2312"/>
                <w:color w:val="000000" w:themeColor="text1"/>
                <w:sz w:val="20"/>
                <w:szCs w:val="20"/>
              </w:rPr>
              <w:t>55号】</w:t>
            </w:r>
          </w:p>
          <w:p w14:paraId="6B4E4E9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客户服务热线：【</w:t>
            </w:r>
            <w:r>
              <w:rPr>
                <w:rFonts w:ascii="楷体_GB2312" w:eastAsia="楷体_GB2312" w:cs="楷体_GB2312"/>
                <w:color w:val="000000" w:themeColor="text1"/>
                <w:sz w:val="20"/>
                <w:szCs w:val="20"/>
              </w:rPr>
              <w:t>0571-96596】</w:t>
            </w:r>
          </w:p>
          <w:p w14:paraId="36296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48.企业名称：【浙江缙云农村商业银行股份有限公司】</w:t>
            </w:r>
          </w:p>
          <w:p w14:paraId="6D88632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913311227047843259】</w:t>
            </w:r>
          </w:p>
          <w:p w14:paraId="2450B91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住所：【浙江省丽水市缙云县五云镇新区仙都路</w:t>
            </w:r>
            <w:r>
              <w:rPr>
                <w:rFonts w:ascii="楷体_GB2312" w:eastAsia="楷体_GB2312" w:cs="楷体_GB2312"/>
                <w:color w:val="000000" w:themeColor="text1"/>
                <w:sz w:val="20"/>
                <w:szCs w:val="20"/>
              </w:rPr>
              <w:t>68号】</w:t>
            </w:r>
          </w:p>
          <w:p w14:paraId="47DA87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59667A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49.企业名称：【浙江义乌农村商业银行股份有限公司】</w:t>
            </w:r>
          </w:p>
          <w:p w14:paraId="16144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91330782609786576E】</w:t>
            </w:r>
          </w:p>
          <w:p w14:paraId="231B981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住所：【浙江省义乌市福田街道城北路</w:t>
            </w:r>
            <w:r>
              <w:rPr>
                <w:rFonts w:ascii="楷体_GB2312" w:eastAsia="楷体_GB2312" w:cs="楷体_GB2312"/>
                <w:color w:val="000000" w:themeColor="text1"/>
                <w:sz w:val="20"/>
                <w:szCs w:val="20"/>
              </w:rPr>
              <w:t>677号】</w:t>
            </w:r>
          </w:p>
          <w:p w14:paraId="74A5C37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649107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50.企业名称：【浙江兰溪农村商业银行股份有限公司】</w:t>
            </w:r>
          </w:p>
          <w:p w14:paraId="0C0963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91330781147387545R】</w:t>
            </w:r>
          </w:p>
          <w:p w14:paraId="5F3AD6C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住所：【浙江省兰溪市兰江街道丹溪大道</w:t>
            </w:r>
            <w:r>
              <w:rPr>
                <w:rFonts w:ascii="楷体_GB2312" w:eastAsia="楷体_GB2312" w:cs="楷体_GB2312"/>
                <w:color w:val="000000" w:themeColor="text1"/>
                <w:sz w:val="20"/>
                <w:szCs w:val="20"/>
              </w:rPr>
              <w:t>18号】</w:t>
            </w:r>
          </w:p>
          <w:p w14:paraId="6F4F643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3C57C5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51.企业名称：【浙江长兴农村商业银行股份有限公司】</w:t>
            </w:r>
          </w:p>
          <w:p w14:paraId="5A3FB2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91330522147148640A】</w:t>
            </w:r>
          </w:p>
          <w:p w14:paraId="58B3A31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住所：【浙江省湖州市长兴县太湖街道明珠路</w:t>
            </w:r>
            <w:r>
              <w:rPr>
                <w:rFonts w:ascii="楷体_GB2312" w:eastAsia="楷体_GB2312" w:cs="楷体_GB2312"/>
                <w:color w:val="000000" w:themeColor="text1"/>
                <w:sz w:val="20"/>
                <w:szCs w:val="20"/>
              </w:rPr>
              <w:t>1298号】</w:t>
            </w:r>
          </w:p>
          <w:p w14:paraId="7E84D82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965942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52.企业名称：【浙江绍兴恒信农村商业银行股份有限公司】</w:t>
            </w:r>
          </w:p>
          <w:p w14:paraId="58F2892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9133060271252980XJ】</w:t>
            </w:r>
          </w:p>
          <w:p w14:paraId="6B8421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住所：【浙江省绍兴市中兴中路</w:t>
            </w:r>
            <w:r>
              <w:rPr>
                <w:rFonts w:ascii="楷体_GB2312" w:eastAsia="楷体_GB2312" w:cs="楷体_GB2312"/>
                <w:color w:val="000000" w:themeColor="text1"/>
                <w:sz w:val="20"/>
                <w:szCs w:val="20"/>
              </w:rPr>
              <w:t>159号】</w:t>
            </w:r>
          </w:p>
          <w:p w14:paraId="47068CF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15A824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53.企业名称：【浙江武义农村商业银行股份有限公司】</w:t>
            </w:r>
          </w:p>
          <w:p w14:paraId="6844872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91330723552860156J】</w:t>
            </w:r>
          </w:p>
          <w:p w14:paraId="2801C73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住所：【浙江省武义县城武阳中路</w:t>
            </w:r>
            <w:r>
              <w:rPr>
                <w:rFonts w:ascii="楷体_GB2312" w:eastAsia="楷体_GB2312" w:cs="楷体_GB2312"/>
                <w:color w:val="000000" w:themeColor="text1"/>
                <w:sz w:val="20"/>
                <w:szCs w:val="20"/>
              </w:rPr>
              <w:t>37号】</w:t>
            </w:r>
          </w:p>
          <w:p w14:paraId="6743B5C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BA2AE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54.企业名称：【浙江岱山农村商业银行股份有限公司】</w:t>
            </w:r>
          </w:p>
          <w:p w14:paraId="1B10183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91330921778250107N】</w:t>
            </w:r>
          </w:p>
          <w:p w14:paraId="537DD5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住所：【浙江省舟山市岱山县高亭镇衢山大道</w:t>
            </w:r>
            <w:r>
              <w:rPr>
                <w:rFonts w:ascii="楷体_GB2312" w:eastAsia="楷体_GB2312" w:cs="楷体_GB2312"/>
                <w:color w:val="000000" w:themeColor="text1"/>
                <w:sz w:val="20"/>
                <w:szCs w:val="20"/>
              </w:rPr>
              <w:t>1009号】</w:t>
            </w:r>
          </w:p>
          <w:p w14:paraId="1D74F32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AA0327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55.企业名称：【浙江仙居农村商业银行股份有限公司】</w:t>
            </w:r>
          </w:p>
          <w:p w14:paraId="5EBC2A1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91331024148032965W】</w:t>
            </w:r>
          </w:p>
          <w:p w14:paraId="73A8672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住所：【浙江省仙居县南峰街道穿城中路</w:t>
            </w:r>
            <w:r>
              <w:rPr>
                <w:rFonts w:ascii="楷体_GB2312" w:eastAsia="楷体_GB2312" w:cs="楷体_GB2312"/>
                <w:color w:val="000000" w:themeColor="text1"/>
                <w:sz w:val="20"/>
                <w:szCs w:val="20"/>
              </w:rPr>
              <w:t>21号】</w:t>
            </w:r>
          </w:p>
          <w:p w14:paraId="1E8B6F5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639FFA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56.企业名称：【浙江玉环农村商业银行股份有限公司】</w:t>
            </w:r>
          </w:p>
          <w:p w14:paraId="5A111D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91331021704702414T】</w:t>
            </w:r>
          </w:p>
          <w:p w14:paraId="5DA6B3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住所：【浙江省玉环市玉城街道珠港大道</w:t>
            </w:r>
            <w:r>
              <w:rPr>
                <w:rFonts w:ascii="楷体_GB2312" w:eastAsia="楷体_GB2312" w:cs="楷体_GB2312"/>
                <w:color w:val="000000" w:themeColor="text1"/>
                <w:sz w:val="20"/>
                <w:szCs w:val="20"/>
              </w:rPr>
              <w:t>26号】</w:t>
            </w:r>
          </w:p>
          <w:p w14:paraId="5F50D2C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AB1F92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57.企业名称：【浙江诸暨农村商业银行股份有限公司】</w:t>
            </w:r>
          </w:p>
          <w:p w14:paraId="58B0FC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91330600146217704F】</w:t>
            </w:r>
          </w:p>
          <w:p w14:paraId="18D878B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住所：【浙江省诸暨市暨阳街道大桥东路</w:t>
            </w:r>
            <w:r>
              <w:rPr>
                <w:rFonts w:ascii="楷体_GB2312" w:eastAsia="楷体_GB2312" w:cs="楷体_GB2312"/>
                <w:color w:val="000000" w:themeColor="text1"/>
                <w:sz w:val="20"/>
                <w:szCs w:val="20"/>
              </w:rPr>
              <w:t>2号】</w:t>
            </w:r>
          </w:p>
          <w:p w14:paraId="439AEDB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99EC0B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58.企业名称：【浙江临海农村商业银行股份有限公司】</w:t>
            </w:r>
          </w:p>
          <w:p w14:paraId="4A54765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91331000147999461D】</w:t>
            </w:r>
          </w:p>
          <w:p w14:paraId="254CA81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住所：【浙江省台州市临海市大洋街道河阳路</w:t>
            </w:r>
            <w:r>
              <w:rPr>
                <w:rFonts w:ascii="楷体_GB2312" w:eastAsia="楷体_GB2312" w:cs="楷体_GB2312"/>
                <w:color w:val="000000" w:themeColor="text1"/>
                <w:sz w:val="20"/>
                <w:szCs w:val="20"/>
              </w:rPr>
              <w:t>299号】</w:t>
            </w:r>
          </w:p>
          <w:p w14:paraId="08DA6FC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EFFCA5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59.企业名称：【浙江建德农村商业银行股份有限公司】</w:t>
            </w:r>
          </w:p>
          <w:p w14:paraId="76022E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统一社会信用代码：【</w:t>
            </w:r>
            <w:r>
              <w:rPr>
                <w:rFonts w:ascii="楷体_GB2312" w:eastAsia="楷体_GB2312" w:cs="楷体_GB2312"/>
                <w:color w:val="000000" w:themeColor="text1"/>
                <w:sz w:val="20"/>
                <w:szCs w:val="20"/>
              </w:rPr>
              <w:t>9133018270429246XA】</w:t>
            </w:r>
          </w:p>
          <w:p w14:paraId="4CB6C0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住所：【浙江省建德市新安江街道江滨中路</w:t>
            </w:r>
            <w:r>
              <w:rPr>
                <w:rFonts w:ascii="楷体_GB2312" w:eastAsia="楷体_GB2312" w:cs="楷体_GB2312"/>
                <w:color w:val="000000" w:themeColor="text1"/>
                <w:sz w:val="20"/>
                <w:szCs w:val="20"/>
              </w:rPr>
              <w:t>176号】</w:t>
            </w:r>
          </w:p>
          <w:p w14:paraId="19F26D3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455B8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60.企业名称：【浙江文成农村商业银行股份有限公司】</w:t>
            </w:r>
          </w:p>
          <w:p w14:paraId="678253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91330328145827746X】</w:t>
            </w:r>
          </w:p>
          <w:p w14:paraId="0DCF85A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住所：【浙江省温州市文成县大</w:t>
            </w:r>
            <w:r>
              <w:rPr>
                <w:rFonts w:ascii="微软雅黑" w:eastAsia="微软雅黑" w:hAnsi="微软雅黑" w:cs="微软雅黑" w:hint="eastAsia"/>
                <w:color w:val="000000" w:themeColor="text1"/>
                <w:sz w:val="20"/>
                <w:szCs w:val="20"/>
              </w:rPr>
              <w:t>峃</w:t>
            </w:r>
            <w:r>
              <w:rPr>
                <w:rFonts w:ascii="楷体_GB2312" w:eastAsia="楷体_GB2312" w:hAnsi="楷体_GB2312" w:cs="楷体_GB2312" w:hint="eastAsia"/>
                <w:color w:val="000000" w:themeColor="text1"/>
                <w:sz w:val="20"/>
                <w:szCs w:val="20"/>
              </w:rPr>
              <w:t>镇伯温路</w:t>
            </w:r>
            <w:r>
              <w:rPr>
                <w:rFonts w:ascii="楷体_GB2312" w:eastAsia="楷体_GB2312" w:cs="楷体_GB2312"/>
                <w:color w:val="000000" w:themeColor="text1"/>
                <w:sz w:val="20"/>
                <w:szCs w:val="20"/>
              </w:rPr>
              <w:t>6号】</w:t>
            </w:r>
          </w:p>
          <w:p w14:paraId="6D475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50897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61.企业名称：【浙江萧山农村商业银行股份有限公司】</w:t>
            </w:r>
          </w:p>
          <w:p w14:paraId="15A601B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91330100143568234F】</w:t>
            </w:r>
          </w:p>
          <w:p w14:paraId="1C9DCB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住所：【浙江省杭州市萧山区人民路</w:t>
            </w:r>
            <w:r>
              <w:rPr>
                <w:rFonts w:ascii="楷体_GB2312" w:eastAsia="楷体_GB2312" w:cs="楷体_GB2312"/>
                <w:color w:val="000000" w:themeColor="text1"/>
                <w:sz w:val="20"/>
                <w:szCs w:val="20"/>
              </w:rPr>
              <w:t>258号】</w:t>
            </w:r>
          </w:p>
          <w:p w14:paraId="6C8F737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64E984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62.企业名称：【浙江乐清农村商业银行股份有限公司】</w:t>
            </w:r>
          </w:p>
          <w:p w14:paraId="20344D5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91330300712576278B】</w:t>
            </w:r>
          </w:p>
          <w:p w14:paraId="11878D8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住所：【乐清市城南街道伯乐西路</w:t>
            </w:r>
            <w:r>
              <w:rPr>
                <w:rFonts w:ascii="楷体_GB2312" w:eastAsia="楷体_GB2312" w:cs="楷体_GB2312"/>
                <w:color w:val="000000" w:themeColor="text1"/>
                <w:sz w:val="20"/>
                <w:szCs w:val="20"/>
              </w:rPr>
              <w:t>99号】</w:t>
            </w:r>
          </w:p>
          <w:p w14:paraId="184DFB4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2AD3D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63.企业名称：【宁波余姚农村商业银行股份有限公司】</w:t>
            </w:r>
          </w:p>
          <w:p w14:paraId="4B1DB45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91330281768530578N】</w:t>
            </w:r>
          </w:p>
          <w:p w14:paraId="4D9B463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住所：【余姚市新建路</w:t>
            </w:r>
            <w:r>
              <w:rPr>
                <w:rFonts w:ascii="楷体_GB2312" w:eastAsia="楷体_GB2312" w:cs="楷体_GB2312"/>
                <w:color w:val="000000" w:themeColor="text1"/>
                <w:sz w:val="20"/>
                <w:szCs w:val="20"/>
              </w:rPr>
              <w:t>69号】</w:t>
            </w:r>
          </w:p>
          <w:p w14:paraId="58E1A5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38645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64.企业名称：【浙江桐庐农村商业银行股份有限公司】</w:t>
            </w:r>
          </w:p>
          <w:p w14:paraId="3113252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913301228436000474】</w:t>
            </w:r>
          </w:p>
          <w:p w14:paraId="46858D4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住所：【浙江省杭州市桐庐县城迎春南路</w:t>
            </w:r>
            <w:r>
              <w:rPr>
                <w:rFonts w:ascii="楷体_GB2312" w:eastAsia="楷体_GB2312" w:cs="楷体_GB2312"/>
                <w:color w:val="000000" w:themeColor="text1"/>
                <w:sz w:val="20"/>
                <w:szCs w:val="20"/>
              </w:rPr>
              <w:t>278号】</w:t>
            </w:r>
          </w:p>
          <w:p w14:paraId="0C88DE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9BA0C6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65.企业名称：【杭州联合农村商业银行股份有限公司】</w:t>
            </w:r>
          </w:p>
          <w:p w14:paraId="717ABA2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91330100773585469H】</w:t>
            </w:r>
          </w:p>
          <w:p w14:paraId="0C44A2B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住所：【浙江省杭州市上城区建国中路</w:t>
            </w:r>
            <w:r>
              <w:rPr>
                <w:rFonts w:ascii="楷体_GB2312" w:eastAsia="楷体_GB2312" w:cs="楷体_GB2312"/>
                <w:color w:val="000000" w:themeColor="text1"/>
                <w:sz w:val="20"/>
                <w:szCs w:val="20"/>
              </w:rPr>
              <w:t>99号】</w:t>
            </w:r>
          </w:p>
          <w:p w14:paraId="40232F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0CF221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66.企业名称：【浙江温州鹿城农村商业银行股份有限公司】</w:t>
            </w:r>
          </w:p>
          <w:p w14:paraId="455C89D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91330300777212117L】</w:t>
            </w:r>
          </w:p>
          <w:p w14:paraId="0A2054F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住所：【浙江省温州市鹿城区会展路</w:t>
            </w:r>
            <w:r>
              <w:rPr>
                <w:rFonts w:ascii="楷体_GB2312" w:eastAsia="楷体_GB2312" w:cs="楷体_GB2312"/>
                <w:color w:val="000000" w:themeColor="text1"/>
                <w:sz w:val="20"/>
                <w:szCs w:val="20"/>
              </w:rPr>
              <w:t>1500号富银大厦】</w:t>
            </w:r>
          </w:p>
          <w:p w14:paraId="156793F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1A4529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67.企业名称：【浙江绍兴瑞丰农村商业银行股份有限公司】</w:t>
            </w:r>
          </w:p>
          <w:p w14:paraId="5800EE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91330600145965997H】</w:t>
            </w:r>
          </w:p>
          <w:p w14:paraId="36CB87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住所：【浙江省绍兴市柯桥区柯桥笛扬路</w:t>
            </w:r>
            <w:r>
              <w:rPr>
                <w:rFonts w:ascii="楷体_GB2312" w:eastAsia="楷体_GB2312" w:cs="楷体_GB2312"/>
                <w:color w:val="000000" w:themeColor="text1"/>
                <w:sz w:val="20"/>
                <w:szCs w:val="20"/>
              </w:rPr>
              <w:t>1363号】</w:t>
            </w:r>
          </w:p>
          <w:p w14:paraId="390938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1C459E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68.企业名称：【浙江禾城农村商业银行股份有限公司】</w:t>
            </w:r>
          </w:p>
          <w:p w14:paraId="54B987A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91330400146466356E】</w:t>
            </w:r>
          </w:p>
          <w:p w14:paraId="6C96B76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住所：【浙江省嘉兴市经济技术开发区文昌路</w:t>
            </w:r>
            <w:r>
              <w:rPr>
                <w:rFonts w:ascii="楷体_GB2312" w:eastAsia="楷体_GB2312" w:cs="楷体_GB2312"/>
                <w:color w:val="000000" w:themeColor="text1"/>
                <w:sz w:val="20"/>
                <w:szCs w:val="20"/>
              </w:rPr>
              <w:t xml:space="preserve"> 1229 号】</w:t>
            </w:r>
          </w:p>
          <w:p w14:paraId="6D062C0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0D2F0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69.企业名称：【浙江泰顺农村商业银行股份有限公司】</w:t>
            </w:r>
          </w:p>
          <w:p w14:paraId="5761BCD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913303297043793629】</w:t>
            </w:r>
          </w:p>
          <w:p w14:paraId="5B954EA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住所：【浙江省温州市泰顺县罗阳镇新城区文祥大道</w:t>
            </w:r>
            <w:r>
              <w:rPr>
                <w:rFonts w:ascii="楷体_GB2312" w:eastAsia="楷体_GB2312" w:cs="楷体_GB2312"/>
                <w:color w:val="000000" w:themeColor="text1"/>
                <w:sz w:val="20"/>
                <w:szCs w:val="20"/>
              </w:rPr>
              <w:t>181号】</w:t>
            </w:r>
          </w:p>
          <w:p w14:paraId="09F652E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9D633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70.企业名称：【浙江嵊州农村商业银行股份有限公司】</w:t>
            </w:r>
          </w:p>
          <w:p w14:paraId="398DB31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91330683146384641Y】</w:t>
            </w:r>
          </w:p>
          <w:p w14:paraId="0C1D14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住所：【浙江省嵊州市剡湖街道官河路</w:t>
            </w:r>
            <w:r>
              <w:rPr>
                <w:rFonts w:ascii="楷体_GB2312" w:eastAsia="楷体_GB2312" w:cs="楷体_GB2312"/>
                <w:color w:val="000000" w:themeColor="text1"/>
                <w:sz w:val="20"/>
                <w:szCs w:val="20"/>
              </w:rPr>
              <w:t>398号】</w:t>
            </w:r>
          </w:p>
          <w:p w14:paraId="529A49D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客户服务热线：【</w:t>
            </w:r>
            <w:r>
              <w:rPr>
                <w:rFonts w:ascii="楷体_GB2312" w:eastAsia="楷体_GB2312" w:cs="楷体_GB2312"/>
                <w:color w:val="000000" w:themeColor="text1"/>
                <w:sz w:val="20"/>
                <w:szCs w:val="20"/>
              </w:rPr>
              <w:t>0571-96596】</w:t>
            </w:r>
          </w:p>
          <w:p w14:paraId="040EE59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71.企业名称：【浙江庆元农村商业银行股份有限公司】</w:t>
            </w:r>
          </w:p>
          <w:p w14:paraId="4A8AA5B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91331126609962015U】</w:t>
            </w:r>
          </w:p>
          <w:p w14:paraId="4403A7A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住所：【浙江省丽水市庆元县</w:t>
            </w:r>
            <w:r>
              <w:rPr>
                <w:rFonts w:ascii="微软雅黑" w:eastAsia="微软雅黑" w:hAnsi="微软雅黑" w:cs="微软雅黑" w:hint="eastAsia"/>
                <w:color w:val="000000" w:themeColor="text1"/>
                <w:sz w:val="20"/>
                <w:szCs w:val="20"/>
              </w:rPr>
              <w:t>濛</w:t>
            </w:r>
            <w:r>
              <w:rPr>
                <w:rFonts w:ascii="楷体_GB2312" w:eastAsia="楷体_GB2312" w:hAnsi="楷体_GB2312" w:cs="楷体_GB2312" w:hint="eastAsia"/>
                <w:color w:val="000000" w:themeColor="text1"/>
                <w:sz w:val="20"/>
                <w:szCs w:val="20"/>
              </w:rPr>
              <w:t>洲街道云鹤路</w:t>
            </w:r>
            <w:r>
              <w:rPr>
                <w:rFonts w:ascii="楷体_GB2312" w:eastAsia="楷体_GB2312" w:cs="楷体_GB2312"/>
                <w:color w:val="000000" w:themeColor="text1"/>
                <w:sz w:val="20"/>
                <w:szCs w:val="20"/>
              </w:rPr>
              <w:t>3号】</w:t>
            </w:r>
          </w:p>
          <w:p w14:paraId="5B44AE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4E295D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72.企业名称：【浙江温州瓯海农村商业银行股份有限公司】</w:t>
            </w:r>
          </w:p>
          <w:p w14:paraId="339BCB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91330300776489333D】</w:t>
            </w:r>
          </w:p>
          <w:p w14:paraId="7ADAB85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住所：【浙江省温州市瓯海区瓯海大道</w:t>
            </w:r>
            <w:r>
              <w:rPr>
                <w:rFonts w:ascii="楷体_GB2312" w:eastAsia="楷体_GB2312" w:cs="楷体_GB2312"/>
                <w:color w:val="000000" w:themeColor="text1"/>
                <w:sz w:val="20"/>
                <w:szCs w:val="20"/>
              </w:rPr>
              <w:t>989号】</w:t>
            </w:r>
          </w:p>
          <w:p w14:paraId="33DF402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6AC913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73.企业名称：【浙江云和农村商业银行股份有限公司】</w:t>
            </w:r>
          </w:p>
          <w:p w14:paraId="754B2F7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9133112514848825XE】</w:t>
            </w:r>
          </w:p>
          <w:p w14:paraId="60699FB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住所：【浙江省丽水市云和县浮云街道新建路</w:t>
            </w:r>
            <w:r>
              <w:rPr>
                <w:rFonts w:ascii="楷体_GB2312" w:eastAsia="楷体_GB2312" w:cs="楷体_GB2312"/>
                <w:color w:val="000000" w:themeColor="text1"/>
                <w:sz w:val="20"/>
                <w:szCs w:val="20"/>
              </w:rPr>
              <w:t>72号】</w:t>
            </w:r>
          </w:p>
          <w:p w14:paraId="4F20BF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6689F7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74.企业名称：【宁波慈溪农村商业银行股份有限公司】</w:t>
            </w:r>
          </w:p>
          <w:p w14:paraId="66BA37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91330200144756720Q】</w:t>
            </w:r>
          </w:p>
          <w:p w14:paraId="10F4D31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住所：【浙江省慈溪市浒山街道南城路</w:t>
            </w:r>
            <w:r>
              <w:rPr>
                <w:rFonts w:ascii="楷体_GB2312" w:eastAsia="楷体_GB2312" w:cs="楷体_GB2312"/>
                <w:color w:val="000000" w:themeColor="text1"/>
                <w:sz w:val="20"/>
                <w:szCs w:val="20"/>
              </w:rPr>
              <w:t>25号、59号5-6楼】</w:t>
            </w:r>
          </w:p>
          <w:p w14:paraId="1B52C44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14127C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75.企业名称：【浙江温州龙湾农村商业银行股份有限公司 】</w:t>
            </w:r>
          </w:p>
          <w:p w14:paraId="4BA079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913303007772078015】</w:t>
            </w:r>
          </w:p>
          <w:p w14:paraId="6664ECA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住所：【浙江省温州市龙湾区永中街道永宁西路</w:t>
            </w:r>
            <w:r>
              <w:rPr>
                <w:rFonts w:ascii="楷体_GB2312" w:eastAsia="楷体_GB2312" w:cs="楷体_GB2312"/>
                <w:color w:val="000000" w:themeColor="text1"/>
                <w:sz w:val="20"/>
                <w:szCs w:val="20"/>
              </w:rPr>
              <w:t>555号】</w:t>
            </w:r>
          </w:p>
          <w:p w14:paraId="48D753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7AC36D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76.企业名称：【浙江苍南农村商业银行股份有限公司】</w:t>
            </w:r>
          </w:p>
          <w:p w14:paraId="74C1876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913303007043722167】</w:t>
            </w:r>
          </w:p>
          <w:p w14:paraId="3F75B4A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住所：【浙江省苍南县灵溪镇人民大道</w:t>
            </w:r>
            <w:r>
              <w:rPr>
                <w:rFonts w:ascii="楷体_GB2312" w:eastAsia="楷体_GB2312" w:cs="楷体_GB2312"/>
                <w:color w:val="000000" w:themeColor="text1"/>
                <w:sz w:val="20"/>
                <w:szCs w:val="20"/>
              </w:rPr>
              <w:t>425号】</w:t>
            </w:r>
          </w:p>
          <w:p w14:paraId="219FF99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136823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77.企业名称：【上海浦东发展银行股份有限公司】</w:t>
            </w:r>
          </w:p>
          <w:p w14:paraId="732EAE4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913303007043722167】</w:t>
            </w:r>
          </w:p>
          <w:p w14:paraId="60E0D7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住所：【上海市黄浦区中山东一路</w:t>
            </w:r>
            <w:r>
              <w:rPr>
                <w:rFonts w:ascii="楷体_GB2312" w:eastAsia="楷体_GB2312" w:cs="楷体_GB2312"/>
                <w:color w:val="000000" w:themeColor="text1"/>
                <w:sz w:val="20"/>
                <w:szCs w:val="20"/>
              </w:rPr>
              <w:t>12号】</w:t>
            </w:r>
          </w:p>
          <w:p w14:paraId="2CB341D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95528】</w:t>
            </w:r>
          </w:p>
          <w:p w14:paraId="73F17E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78.企业名称：【宁波银行股份有限公司】</w:t>
            </w:r>
          </w:p>
          <w:p w14:paraId="129EBE7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91330200711192037M】</w:t>
            </w:r>
          </w:p>
          <w:p w14:paraId="6EFE6F0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住所：【浙江省宁波市鄞州区宁东路</w:t>
            </w:r>
            <w:r>
              <w:rPr>
                <w:rFonts w:ascii="楷体_GB2312" w:eastAsia="楷体_GB2312" w:cs="楷体_GB2312"/>
                <w:color w:val="000000" w:themeColor="text1"/>
                <w:sz w:val="20"/>
                <w:szCs w:val="20"/>
              </w:rPr>
              <w:t>345号】</w:t>
            </w:r>
          </w:p>
          <w:p w14:paraId="62D2A6A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95574】</w:t>
            </w:r>
          </w:p>
          <w:p w14:paraId="386D05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79</w:t>
            </w:r>
            <w:r>
              <w:rPr>
                <w:rFonts w:ascii="楷体_GB2312" w:eastAsia="楷体_GB2312" w:cs="楷体_GB2312" w:hint="eastAsia"/>
                <w:color w:val="000000" w:themeColor="text1"/>
                <w:sz w:val="20"/>
                <w:szCs w:val="20"/>
              </w:rPr>
              <w:t>.企业名称：【信银理财有限责任公司】</w:t>
            </w:r>
          </w:p>
          <w:p w14:paraId="4965D16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622029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06D870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5C6C940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80.企业名称：【深圳农村商业银行股份有限公司】</w:t>
            </w:r>
          </w:p>
          <w:p w14:paraId="4C7788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91440300782792953J】</w:t>
            </w:r>
          </w:p>
          <w:p w14:paraId="20BCFDB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住所：【广东省深圳市宝安区新安街道海旺社区海秀路</w:t>
            </w:r>
            <w:r>
              <w:rPr>
                <w:rFonts w:ascii="楷体_GB2312" w:eastAsia="楷体_GB2312" w:cs="楷体_GB2312"/>
                <w:color w:val="000000" w:themeColor="text1"/>
                <w:sz w:val="20"/>
                <w:szCs w:val="20"/>
              </w:rPr>
              <w:t>2028号农商银行大厦】</w:t>
            </w:r>
          </w:p>
          <w:p w14:paraId="385BE23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4001961200】</w:t>
            </w:r>
          </w:p>
          <w:p w14:paraId="05A883DE"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8028C4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】）合作销售机构信息：</w:t>
            </w:r>
          </w:p>
          <w:p w14:paraId="54CB9AD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200F6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1A08697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住所：【上海市黄浦区中山东二路600号1幢35层、36层】</w:t>
            </w:r>
          </w:p>
          <w:p w14:paraId="4FC1E78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BA1B95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2.企业名称：【青海银行股份有限公司】</w:t>
            </w:r>
          </w:p>
          <w:p w14:paraId="2650341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916300007104015549】</w:t>
            </w:r>
          </w:p>
          <w:p w14:paraId="6DEB4F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住所：【青海省西宁市城西区西关大街</w:t>
            </w:r>
            <w:r>
              <w:rPr>
                <w:rFonts w:ascii="楷体_GB2312" w:eastAsia="楷体_GB2312" w:cs="楷体_GB2312"/>
                <w:color w:val="000000" w:themeColor="text1"/>
                <w:sz w:val="20"/>
                <w:szCs w:val="20"/>
              </w:rPr>
              <w:t>130号2号楼】</w:t>
            </w:r>
          </w:p>
          <w:p w14:paraId="0B3221A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0971-96399】</w:t>
            </w:r>
          </w:p>
          <w:p w14:paraId="6EE872AB"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1D410A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】）合作销售机构信息：</w:t>
            </w:r>
          </w:p>
          <w:p w14:paraId="632EA2B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0F2594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2FBA53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1A142FE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3579BC0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2.企业名称：【江苏紫金农村商业银行股份有限公司】</w:t>
            </w:r>
          </w:p>
          <w:p w14:paraId="450812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统一社会信用代码：【91320000571433432L】</w:t>
            </w:r>
          </w:p>
          <w:p w14:paraId="4FFFB36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住所：【南京市建邺区江东中路381号】</w:t>
            </w:r>
          </w:p>
          <w:p w14:paraId="4240F6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客户服务热线：【96008】</w:t>
            </w:r>
          </w:p>
          <w:p w14:paraId="543184B7" w14:textId="417F597F"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9A46AC">
              <w:rPr>
                <w:rFonts w:ascii="楷体_GB2312" w:eastAsia="楷体_GB2312" w:cs="楷体_GB2312"/>
                <w:color w:val="000000" w:themeColor="text1"/>
                <w:sz w:val="20"/>
                <w:szCs w:val="20"/>
              </w:rPr>
              <w:t>.企业名称：【江苏如东农村商业银行股份有限公司】</w:t>
            </w:r>
          </w:p>
          <w:p w14:paraId="0ABD3B86"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91320600050214904J】</w:t>
            </w:r>
          </w:p>
          <w:p w14:paraId="18A12B65"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住所：【江苏省如东县掘港镇钟山路</w:t>
            </w:r>
            <w:r w:rsidRPr="009A46AC">
              <w:rPr>
                <w:rFonts w:ascii="楷体_GB2312" w:eastAsia="楷体_GB2312" w:cs="楷体_GB2312"/>
                <w:color w:val="000000" w:themeColor="text1"/>
                <w:sz w:val="20"/>
                <w:szCs w:val="20"/>
              </w:rPr>
              <w:t>66号】</w:t>
            </w:r>
          </w:p>
          <w:p w14:paraId="137E374A" w14:textId="7A0A7F81" w:rsidR="00A47A16"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0513-96008】</w:t>
            </w:r>
          </w:p>
          <w:p w14:paraId="7FCA7271" w14:textId="77777777" w:rsidR="009A46AC" w:rsidRDefault="009A46AC" w:rsidP="009A46AC">
            <w:pPr>
              <w:spacing w:line="300" w:lineRule="exact"/>
              <w:ind w:leftChars="-1" w:left="-2" w:rightChars="15" w:right="36"/>
              <w:rPr>
                <w:rFonts w:ascii="楷体_GB2312" w:eastAsia="楷体_GB2312" w:cs="楷体_GB2312"/>
                <w:color w:val="000000" w:themeColor="text1"/>
                <w:sz w:val="20"/>
                <w:szCs w:val="20"/>
              </w:rPr>
            </w:pPr>
          </w:p>
          <w:p w14:paraId="6C1BD63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】）合作销售机构信息：</w:t>
            </w:r>
          </w:p>
          <w:p w14:paraId="02F5EF0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FDE7F9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5D153E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A8C3DB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3600E9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2.企业名称：【中原银行股份有限公司】</w:t>
            </w:r>
          </w:p>
          <w:p w14:paraId="5C15B6C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9141000031741675X6】</w:t>
            </w:r>
          </w:p>
          <w:p w14:paraId="481307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住所：【河南省郑州市郑东新区</w:t>
            </w:r>
            <w:r>
              <w:rPr>
                <w:rFonts w:ascii="楷体_GB2312" w:eastAsia="楷体_GB2312" w:cs="楷体_GB2312"/>
                <w:color w:val="000000" w:themeColor="text1"/>
                <w:sz w:val="20"/>
                <w:szCs w:val="20"/>
              </w:rPr>
              <w:t>CBD商务外环路23号中科金座大厦】</w:t>
            </w:r>
          </w:p>
          <w:p w14:paraId="6B8CA8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95186】</w:t>
            </w:r>
          </w:p>
          <w:p w14:paraId="2324F4B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3.企业名称：【湖南银行股份有限公司】</w:t>
            </w:r>
          </w:p>
          <w:p w14:paraId="5BCD73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914300005617419921】</w:t>
            </w:r>
          </w:p>
          <w:p w14:paraId="73DDF04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住所：【湖南省长沙市天心区湘江中路二段</w:t>
            </w:r>
            <w:r>
              <w:rPr>
                <w:rFonts w:ascii="楷体_GB2312" w:eastAsia="楷体_GB2312" w:cs="楷体_GB2312"/>
                <w:color w:val="000000" w:themeColor="text1"/>
                <w:sz w:val="20"/>
                <w:szCs w:val="20"/>
              </w:rPr>
              <w:t>210号】</w:t>
            </w:r>
          </w:p>
          <w:p w14:paraId="3C85846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0731-96599】</w:t>
            </w:r>
          </w:p>
          <w:p w14:paraId="528A7326"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444E81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P类份额（份额代码【AM244095P】）合作销售机构信息：</w:t>
            </w:r>
          </w:p>
          <w:p w14:paraId="12DBD1C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160B41F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48EF756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1A7A3A0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275F6D73"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6C824BF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A47A16" w14:paraId="7C23E3F8" w14:textId="77777777">
        <w:trPr>
          <w:trHeight w:val="361"/>
        </w:trPr>
        <w:tc>
          <w:tcPr>
            <w:tcW w:w="1127" w:type="pct"/>
            <w:vAlign w:val="center"/>
          </w:tcPr>
          <w:p w14:paraId="6454A043"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7F7CC76B"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70FB4B9B"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73905D56"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理财产品认/申购、赎回等业务办理；</w:t>
            </w:r>
          </w:p>
          <w:p w14:paraId="045998F8"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协助管理人与投资者订立相关协议；</w:t>
            </w:r>
          </w:p>
          <w:p w14:paraId="7C4E04C8"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协助管理人与投资者沟通及进行信息披露；</w:t>
            </w:r>
          </w:p>
          <w:p w14:paraId="28878C48"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1D951A6F"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A47A16" w14:paraId="5F49170D" w14:textId="77777777">
        <w:trPr>
          <w:trHeight w:val="361"/>
        </w:trPr>
        <w:tc>
          <w:tcPr>
            <w:tcW w:w="1127" w:type="pct"/>
            <w:vAlign w:val="center"/>
          </w:tcPr>
          <w:p w14:paraId="176BB47F"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托管人</w:t>
            </w:r>
          </w:p>
        </w:tc>
        <w:tc>
          <w:tcPr>
            <w:tcW w:w="3873" w:type="pct"/>
            <w:vAlign w:val="center"/>
          </w:tcPr>
          <w:p w14:paraId="53EC2F3A"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企业名称：【中信银行股份有限公司】</w:t>
            </w:r>
          </w:p>
          <w:p w14:paraId="26DC9FDC"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8ED81F3"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纳税人识别号：【</w:t>
            </w:r>
            <w:r>
              <w:rPr>
                <w:rFonts w:ascii="楷体_GB2312" w:eastAsia="楷体_GB2312" w:cs="楷体_GB2312"/>
                <w:color w:val="000000" w:themeColor="text1"/>
                <w:sz w:val="20"/>
                <w:szCs w:val="20"/>
              </w:rPr>
              <w:t>91110000101690725E】</w:t>
            </w:r>
          </w:p>
          <w:p w14:paraId="4A9F4EF9"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法定代表人：【方合英】</w:t>
            </w:r>
          </w:p>
          <w:p w14:paraId="19F82250"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tc>
      </w:tr>
      <w:tr w:rsidR="00A47A16" w14:paraId="04A6C349" w14:textId="77777777">
        <w:trPr>
          <w:trHeight w:val="361"/>
        </w:trPr>
        <w:tc>
          <w:tcPr>
            <w:tcW w:w="1127" w:type="pct"/>
            <w:vAlign w:val="center"/>
          </w:tcPr>
          <w:p w14:paraId="12062C36"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w:t>
            </w:r>
            <w:r>
              <w:rPr>
                <w:rFonts w:ascii="楷体_GB2312" w:eastAsia="楷体_GB2312" w:cs="楷体_GB2312"/>
                <w:color w:val="000000" w:themeColor="text1"/>
                <w:sz w:val="20"/>
                <w:szCs w:val="20"/>
              </w:rPr>
              <w:t>/申购、赎回价格等数据，及时核查认/申购、赎回以及投资资金的支付和到账情况；</w:t>
            </w:r>
          </w:p>
          <w:p w14:paraId="0EC08985"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w:t>
            </w:r>
            <w:r>
              <w:rPr>
                <w:rFonts w:ascii="楷体_GB2312" w:eastAsia="楷体_GB2312" w:cs="楷体_GB2312"/>
                <w:color w:val="000000" w:themeColor="text1"/>
                <w:sz w:val="20"/>
                <w:szCs w:val="20"/>
              </w:rPr>
              <w:t>15</w:t>
            </w:r>
            <w:r>
              <w:rPr>
                <w:rFonts w:ascii="楷体_GB2312" w:eastAsia="楷体_GB2312" w:cs="楷体_GB2312" w:hint="eastAsia"/>
                <w:color w:val="000000" w:themeColor="text1"/>
                <w:sz w:val="20"/>
                <w:szCs w:val="20"/>
              </w:rPr>
              <w:t>年以上；</w:t>
            </w:r>
          </w:p>
          <w:p w14:paraId="0CDACD75"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．国务院银行业监督管理机构规定的其他职责。</w:t>
            </w:r>
          </w:p>
        </w:tc>
      </w:tr>
      <w:tr w:rsidR="00A47A16" w14:paraId="164E4EA1" w14:textId="77777777">
        <w:trPr>
          <w:trHeight w:val="361"/>
        </w:trPr>
        <w:tc>
          <w:tcPr>
            <w:tcW w:w="1127" w:type="pct"/>
            <w:vAlign w:val="center"/>
          </w:tcPr>
          <w:p w14:paraId="5DD3C0F4"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A47A16" w14:paraId="5B212DE4" w14:textId="77777777">
        <w:trPr>
          <w:trHeight w:val="361"/>
        </w:trPr>
        <w:tc>
          <w:tcPr>
            <w:tcW w:w="1127" w:type="pct"/>
            <w:vAlign w:val="center"/>
          </w:tcPr>
          <w:p w14:paraId="6D47F05A"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A47A16" w14:paraId="36BFB163" w14:textId="77777777">
        <w:trPr>
          <w:trHeight w:val="361"/>
        </w:trPr>
        <w:tc>
          <w:tcPr>
            <w:tcW w:w="1127" w:type="pct"/>
            <w:vAlign w:val="center"/>
          </w:tcPr>
          <w:p w14:paraId="4AD38458"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A47A16" w:rsidRDefault="00E74674">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A47A16" w14:paraId="6BFD9BFE" w14:textId="77777777">
        <w:trPr>
          <w:trHeight w:val="361"/>
        </w:trPr>
        <w:tc>
          <w:tcPr>
            <w:tcW w:w="1127" w:type="pct"/>
            <w:vAlign w:val="center"/>
          </w:tcPr>
          <w:p w14:paraId="12711384"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w:t>
            </w:r>
            <w:r>
              <w:rPr>
                <w:rFonts w:ascii="楷体_GB2312" w:eastAsia="楷体_GB2312" w:cs="楷体_GB2312" w:hint="eastAsia"/>
                <w:color w:val="000000" w:themeColor="text1"/>
                <w:sz w:val="20"/>
                <w:szCs w:val="20"/>
              </w:rPr>
              <w:lastRenderedPageBreak/>
              <w:t>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A47A16" w14:paraId="086030E0" w14:textId="77777777">
        <w:trPr>
          <w:trHeight w:val="361"/>
        </w:trPr>
        <w:tc>
          <w:tcPr>
            <w:tcW w:w="1127" w:type="pct"/>
            <w:vAlign w:val="center"/>
          </w:tcPr>
          <w:p w14:paraId="0C9E6CD6"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信息披露</w:t>
            </w:r>
          </w:p>
        </w:tc>
        <w:tc>
          <w:tcPr>
            <w:tcW w:w="3873" w:type="pct"/>
            <w:vAlign w:val="center"/>
          </w:tcPr>
          <w:p w14:paraId="34C212C1" w14:textId="77777777" w:rsidR="00A47A16" w:rsidRDefault="00E74674">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将通过【信银理财官方网站（http://www.citic-wealth.com】披露本理财产品的各类信息。</w:t>
            </w:r>
          </w:p>
          <w:p w14:paraId="19C6D1AE" w14:textId="77777777" w:rsidR="00A47A16" w:rsidRDefault="00E74674">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工作日向投资者发出</w:t>
            </w:r>
            <w:r>
              <w:rPr>
                <w:rFonts w:ascii="楷体_GB2312" w:eastAsia="楷体_GB2312" w:cs="楷体_GB2312"/>
                <w:color w:val="000000" w:themeColor="text1"/>
                <w:sz w:val="20"/>
                <w:szCs w:val="20"/>
              </w:rPr>
              <w:t>通知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符合监管规定的方式</w:t>
            </w:r>
            <w:r>
              <w:rPr>
                <w:rFonts w:ascii="楷体_GB2312" w:eastAsia="楷体_GB2312" w:cs="楷体_GB2312" w:hint="eastAsia"/>
                <w:color w:val="000000" w:themeColor="text1"/>
                <w:sz w:val="20"/>
                <w:szCs w:val="20"/>
              </w:rPr>
              <w:t>对说明书条款进行补充、说明和修改，投资者不接受的，可于最近</w:t>
            </w:r>
            <w:r>
              <w:rPr>
                <w:rFonts w:ascii="楷体_GB2312" w:eastAsia="楷体_GB2312" w:cs="楷体_GB2312"/>
                <w:color w:val="000000" w:themeColor="text1"/>
                <w:sz w:val="20"/>
                <w:szCs w:val="20"/>
              </w:rPr>
              <w:t>一个</w:t>
            </w:r>
            <w:r>
              <w:rPr>
                <w:rFonts w:ascii="楷体_GB2312" w:eastAsia="楷体_GB2312" w:cs="楷体_GB2312" w:hint="eastAsia"/>
                <w:color w:val="000000" w:themeColor="text1"/>
                <w:sz w:val="20"/>
                <w:szCs w:val="20"/>
              </w:rPr>
              <w:t>开放日赎回理财产品。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w:t>
            </w:r>
            <w:r>
              <w:rPr>
                <w:rFonts w:ascii="楷体_GB2312" w:eastAsia="楷体_GB2312" w:cs="楷体_GB2312"/>
                <w:color w:val="000000" w:themeColor="text1"/>
                <w:sz w:val="20"/>
                <w:szCs w:val="20"/>
              </w:rPr>
              <w:t>根据情况决定增加临时开放日。</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、监管</w:t>
            </w:r>
            <w:r>
              <w:rPr>
                <w:rFonts w:ascii="楷体_GB2312" w:eastAsia="楷体_GB2312" w:cs="楷体_GB2312"/>
                <w:color w:val="000000" w:themeColor="text1"/>
                <w:sz w:val="20"/>
                <w:szCs w:val="20"/>
              </w:rPr>
              <w:t>规定</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强制性要求</w:t>
            </w:r>
            <w:r>
              <w:rPr>
                <w:rFonts w:ascii="楷体_GB2312" w:eastAsia="楷体_GB2312" w:cs="楷体_GB2312" w:hint="eastAsia"/>
                <w:color w:val="000000" w:themeColor="text1"/>
                <w:sz w:val="20"/>
                <w:szCs w:val="20"/>
              </w:rPr>
              <w:t>对产品</w:t>
            </w:r>
            <w:r>
              <w:rPr>
                <w:rFonts w:ascii="楷体_GB2312" w:eastAsia="楷体_GB2312" w:cs="楷体_GB2312"/>
                <w:color w:val="000000" w:themeColor="text1"/>
                <w:sz w:val="20"/>
                <w:szCs w:val="20"/>
              </w:rPr>
              <w:t>说明书做出修改的，无须</w:t>
            </w:r>
            <w:r>
              <w:rPr>
                <w:rFonts w:ascii="楷体_GB2312" w:eastAsia="楷体_GB2312" w:cs="楷体_GB2312" w:hint="eastAsia"/>
                <w:color w:val="000000" w:themeColor="text1"/>
                <w:sz w:val="20"/>
                <w:szCs w:val="20"/>
              </w:rPr>
              <w:t>取得</w:t>
            </w:r>
            <w:r>
              <w:rPr>
                <w:rFonts w:ascii="楷体_GB2312" w:eastAsia="楷体_GB2312" w:cs="楷体_GB2312"/>
                <w:color w:val="000000" w:themeColor="text1"/>
                <w:sz w:val="20"/>
                <w:szCs w:val="20"/>
              </w:rPr>
              <w:t>投资</w:t>
            </w:r>
            <w:r>
              <w:rPr>
                <w:rFonts w:ascii="楷体_GB2312" w:eastAsia="楷体_GB2312" w:cs="楷体_GB2312" w:hint="eastAsia"/>
                <w:color w:val="000000" w:themeColor="text1"/>
                <w:sz w:val="20"/>
                <w:szCs w:val="20"/>
              </w:rPr>
              <w:t>者</w:t>
            </w:r>
            <w:r>
              <w:rPr>
                <w:rFonts w:ascii="楷体_GB2312" w:eastAsia="楷体_GB2312" w:cs="楷体_GB2312"/>
                <w:color w:val="000000" w:themeColor="text1"/>
                <w:sz w:val="20"/>
                <w:szCs w:val="20"/>
              </w:rPr>
              <w:t>同意。</w:t>
            </w:r>
          </w:p>
          <w:p w14:paraId="13D45125" w14:textId="77777777" w:rsidR="00A47A16" w:rsidRDefault="00E74674">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决定理财产品不成立，将在决定本理财产品不成立后的【2】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内向</w:t>
            </w:r>
            <w:r>
              <w:rPr>
                <w:rFonts w:ascii="楷体_GB2312" w:eastAsia="楷体_GB2312" w:cs="楷体_GB2312"/>
                <w:color w:val="000000" w:themeColor="text1"/>
                <w:sz w:val="20"/>
                <w:szCs w:val="20"/>
              </w:rPr>
              <w:t>投资者发布信息。</w:t>
            </w:r>
          </w:p>
          <w:p w14:paraId="5339B1C3"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决定提前</w:t>
            </w:r>
            <w:r>
              <w:rPr>
                <w:rFonts w:ascii="楷体_GB2312" w:eastAsia="楷体_GB2312" w:cs="楷体_GB2312" w:hint="eastAsia"/>
                <w:color w:val="000000" w:themeColor="text1"/>
                <w:sz w:val="20"/>
                <w:szCs w:val="20"/>
              </w:rPr>
              <w:t>结束募集期或</w:t>
            </w:r>
            <w:r>
              <w:rPr>
                <w:rFonts w:ascii="楷体_GB2312" w:eastAsia="楷体_GB2312" w:cs="楷体_GB2312"/>
                <w:color w:val="000000" w:themeColor="text1"/>
                <w:sz w:val="20"/>
                <w:szCs w:val="20"/>
              </w:rPr>
              <w:t>延长募集期</w:t>
            </w:r>
            <w:r>
              <w:rPr>
                <w:rFonts w:ascii="楷体_GB2312" w:eastAsia="楷体_GB2312" w:cs="楷体_GB2312" w:hint="eastAsia"/>
                <w:color w:val="000000" w:themeColor="text1"/>
                <w:sz w:val="20"/>
                <w:szCs w:val="20"/>
              </w:rPr>
              <w:t>的，将在</w:t>
            </w:r>
            <w:r>
              <w:rPr>
                <w:rFonts w:ascii="楷体_GB2312" w:eastAsia="楷体_GB2312" w:cs="楷体_GB2312"/>
                <w:color w:val="000000" w:themeColor="text1"/>
                <w:sz w:val="20"/>
                <w:szCs w:val="20"/>
              </w:rPr>
              <w:t>决定调整募集期后的【2】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w:t>
            </w:r>
            <w:r>
              <w:rPr>
                <w:rFonts w:ascii="楷体_GB2312" w:eastAsia="楷体_GB2312" w:cs="楷体_GB2312" w:hint="eastAsia"/>
                <w:color w:val="000000" w:themeColor="text1"/>
                <w:sz w:val="20"/>
                <w:szCs w:val="20"/>
              </w:rPr>
              <w:t>投资者发布</w:t>
            </w:r>
            <w:r>
              <w:rPr>
                <w:rFonts w:ascii="楷体_GB2312" w:eastAsia="楷体_GB2312" w:cs="楷体_GB2312"/>
                <w:color w:val="000000" w:themeColor="text1"/>
                <w:sz w:val="20"/>
                <w:szCs w:val="20"/>
              </w:rPr>
              <w:t>相关信息。</w:t>
            </w:r>
          </w:p>
          <w:p w14:paraId="67655DF4"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在本产品成立后【5】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内披露发行公告。</w:t>
            </w:r>
          </w:p>
          <w:p w14:paraId="3C8E9F02"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产品成立后，</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每个开放日结束后【2】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该开放日的份额净值、份额累计净值、认购/申购价格和赎回价格</w:t>
            </w:r>
            <w:r>
              <w:rPr>
                <w:rFonts w:ascii="楷体_GB2312" w:eastAsia="楷体_GB2312" w:cs="楷体_GB2312" w:hint="eastAsia"/>
                <w:color w:val="000000" w:themeColor="text1"/>
                <w:sz w:val="20"/>
                <w:szCs w:val="20"/>
              </w:rPr>
              <w:t>。</w:t>
            </w:r>
          </w:p>
          <w:p w14:paraId="3D4F0675"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如本产品合作销售机构有新增、减少和变更，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4676D556"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决定提前终止本产品，将于提前终止日前【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工作日向投资者发布相关信息。</w:t>
            </w:r>
          </w:p>
          <w:p w14:paraId="57E31444"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如本产品需延期清算，将于原定到期日前【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3D8D4E3E"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将在本产品终止</w:t>
            </w:r>
            <w:r>
              <w:rPr>
                <w:rFonts w:ascii="楷体_GB2312" w:eastAsia="楷体_GB2312" w:cs="楷体_GB2312"/>
                <w:color w:val="000000" w:themeColor="text1"/>
                <w:sz w:val="20"/>
                <w:szCs w:val="20"/>
              </w:rPr>
              <w:t>（包括</w:t>
            </w:r>
            <w:r>
              <w:rPr>
                <w:rFonts w:ascii="楷体_GB2312" w:eastAsia="楷体_GB2312" w:cs="楷体_GB2312" w:hint="eastAsia"/>
                <w:color w:val="000000" w:themeColor="text1"/>
                <w:sz w:val="20"/>
                <w:szCs w:val="20"/>
              </w:rPr>
              <w:t>到期和</w:t>
            </w:r>
            <w:r>
              <w:rPr>
                <w:rFonts w:ascii="楷体_GB2312" w:eastAsia="楷体_GB2312" w:cs="楷体_GB2312"/>
                <w:color w:val="000000" w:themeColor="text1"/>
                <w:sz w:val="20"/>
                <w:szCs w:val="20"/>
              </w:rPr>
              <w:t>提前终止）</w:t>
            </w:r>
            <w:r>
              <w:rPr>
                <w:rFonts w:ascii="楷体_GB2312" w:eastAsia="楷体_GB2312" w:cs="楷体_GB2312" w:hint="eastAsia"/>
                <w:color w:val="000000" w:themeColor="text1"/>
                <w:sz w:val="20"/>
                <w:szCs w:val="20"/>
              </w:rPr>
              <w:t>日后【</w:t>
            </w:r>
            <w:r>
              <w:rPr>
                <w:rFonts w:ascii="楷体_GB2312" w:eastAsia="楷体_GB2312" w:cs="楷体_GB2312"/>
                <w:color w:val="000000" w:themeColor="text1"/>
                <w:sz w:val="20"/>
                <w:szCs w:val="20"/>
              </w:rPr>
              <w:t>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工作日内，向投资者披露</w:t>
            </w:r>
            <w:r>
              <w:rPr>
                <w:rFonts w:ascii="楷体_GB2312" w:eastAsia="楷体_GB2312" w:cs="楷体_GB2312"/>
                <w:color w:val="000000" w:themeColor="text1"/>
                <w:sz w:val="20"/>
                <w:szCs w:val="20"/>
              </w:rPr>
              <w:t>到期公告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到期日产</w:t>
            </w:r>
            <w:proofErr w:type="gramStart"/>
            <w:r>
              <w:rPr>
                <w:rFonts w:ascii="楷体_GB2312" w:eastAsia="楷体_GB2312" w:cs="楷体_GB2312"/>
                <w:color w:val="000000" w:themeColor="text1"/>
                <w:sz w:val="20"/>
                <w:szCs w:val="20"/>
              </w:rPr>
              <w:t>品单位</w:t>
            </w:r>
            <w:proofErr w:type="gramEnd"/>
            <w:r>
              <w:rPr>
                <w:rFonts w:ascii="楷体_GB2312" w:eastAsia="楷体_GB2312" w:cs="楷体_GB2312"/>
                <w:color w:val="000000" w:themeColor="text1"/>
                <w:sz w:val="20"/>
                <w:szCs w:val="20"/>
              </w:rPr>
              <w:t>净值在内的</w:t>
            </w:r>
            <w:r>
              <w:rPr>
                <w:rFonts w:ascii="楷体_GB2312" w:eastAsia="楷体_GB2312" w:cs="楷体_GB2312" w:hint="eastAsia"/>
                <w:color w:val="000000" w:themeColor="text1"/>
                <w:sz w:val="20"/>
                <w:szCs w:val="20"/>
              </w:rPr>
              <w:t>到期相关信息。</w:t>
            </w:r>
          </w:p>
          <w:p w14:paraId="70FF7CAF"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在运用收取短期赎回费等措施后，</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交易日内告知投资者；在运用暂停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拒绝认/申购、延期办理巨额赎回申请、暂停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拒绝接受赎回申请、延缓支付赎回款项、暂停理财产品估值等措施后，</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Pr>
                <w:rFonts w:ascii="楷体_GB2312" w:eastAsia="楷体_GB2312" w:cs="楷体_GB2312" w:hint="eastAsia"/>
                <w:color w:val="000000" w:themeColor="text1"/>
                <w:sz w:val="20"/>
                <w:szCs w:val="20"/>
              </w:rPr>
              <w:t>。</w:t>
            </w:r>
          </w:p>
          <w:p w14:paraId="145F2F73"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w:t>
            </w:r>
          </w:p>
          <w:p w14:paraId="22AC1B95"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在产品</w:t>
            </w:r>
            <w:r>
              <w:rPr>
                <w:rFonts w:ascii="楷体_GB2312" w:eastAsia="楷体_GB2312" w:cs="楷体_GB2312"/>
                <w:color w:val="000000" w:themeColor="text1"/>
                <w:sz w:val="20"/>
                <w:szCs w:val="20"/>
              </w:rPr>
              <w:t>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市场情况对投资范围、投资品种或投资比例进行调整</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提前【2】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工作日告知</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w:t>
            </w:r>
          </w:p>
          <w:p w14:paraId="3FAADD93"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如因法律法规、规范性文件的规定或市场变化等原因，</w:t>
            </w:r>
            <w:proofErr w:type="gramStart"/>
            <w:r>
              <w:rPr>
                <w:rFonts w:ascii="楷体_GB2312" w:eastAsia="楷体_GB2312" w:hint="eastAsia"/>
                <w:color w:val="000000" w:themeColor="text1"/>
                <w:sz w:val="20"/>
                <w:szCs w:val="20"/>
              </w:rPr>
              <w:t>信银理财</w:t>
            </w:r>
            <w:proofErr w:type="gramEnd"/>
            <w:r>
              <w:rPr>
                <w:rFonts w:ascii="楷体_GB2312" w:eastAsia="楷体_GB2312" w:hint="eastAsia"/>
                <w:color w:val="000000" w:themeColor="text1"/>
                <w:sz w:val="20"/>
                <w:szCs w:val="20"/>
              </w:rPr>
              <w:t>确需调整本产品说明书项下收费标准的，应在变更</w:t>
            </w:r>
            <w:r>
              <w:rPr>
                <w:rFonts w:ascii="楷体_GB2312" w:eastAsia="楷体_GB2312"/>
                <w:color w:val="000000" w:themeColor="text1"/>
                <w:sz w:val="20"/>
                <w:szCs w:val="20"/>
              </w:rPr>
              <w:t>生效前</w:t>
            </w: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proofErr w:type="gramStart"/>
            <w:r>
              <w:rPr>
                <w:rFonts w:ascii="楷体_GB2312" w:eastAsia="楷体_GB2312" w:hint="eastAsia"/>
                <w:color w:val="000000" w:themeColor="text1"/>
                <w:sz w:val="20"/>
                <w:szCs w:val="20"/>
              </w:rPr>
              <w:t>个</w:t>
            </w:r>
            <w:proofErr w:type="gramEnd"/>
            <w:r>
              <w:rPr>
                <w:rFonts w:ascii="楷体_GB2312" w:eastAsia="楷体_GB2312"/>
                <w:color w:val="000000" w:themeColor="text1"/>
                <w:sz w:val="20"/>
                <w:szCs w:val="20"/>
              </w:rPr>
              <w:t>工作日</w:t>
            </w:r>
            <w:r>
              <w:rPr>
                <w:rFonts w:ascii="楷体_GB2312" w:eastAsia="楷体_GB2312" w:hint="eastAsia"/>
                <w:color w:val="000000" w:themeColor="text1"/>
                <w:sz w:val="20"/>
                <w:szCs w:val="20"/>
              </w:rPr>
              <w:t>告知投资者。</w:t>
            </w:r>
          </w:p>
          <w:p w14:paraId="19031DF5"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将在【</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proofErr w:type="gramStart"/>
            <w:r>
              <w:rPr>
                <w:rFonts w:ascii="楷体_GB2312" w:eastAsia="楷体_GB2312" w:hAnsi="Times New Roman" w:cs="楷体_GB2312" w:hint="eastAsia"/>
                <w:color w:val="000000" w:themeColor="text1"/>
                <w:sz w:val="20"/>
                <w:szCs w:val="20"/>
              </w:rPr>
              <w:t>个</w:t>
            </w:r>
            <w:proofErr w:type="gramEnd"/>
            <w:r>
              <w:rPr>
                <w:rFonts w:ascii="楷体_GB2312" w:eastAsia="楷体_GB2312" w:hAnsi="Times New Roman" w:cs="楷体_GB2312" w:hint="eastAsia"/>
                <w:color w:val="000000" w:themeColor="text1"/>
                <w:sz w:val="20"/>
                <w:szCs w:val="20"/>
              </w:rPr>
              <w:t>工作日内告知投资者。</w:t>
            </w:r>
          </w:p>
          <w:p w14:paraId="27A0F368"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Pr>
                <w:rFonts w:ascii="楷体_GB2312" w:eastAsia="楷体_GB2312" w:hAnsi="Times New Roman" w:cs="楷体_GB2312" w:hint="eastAsia"/>
                <w:color w:val="000000" w:themeColor="text1"/>
                <w:sz w:val="20"/>
                <w:szCs w:val="20"/>
              </w:rPr>
              <w:t>通过信银理财</w:t>
            </w:r>
            <w:proofErr w:type="gramEnd"/>
            <w:r>
              <w:rPr>
                <w:rFonts w:ascii="楷体_GB2312" w:eastAsia="楷体_GB2312" w:hAnsi="Times New Roman" w:cs="楷体_GB2312" w:hint="eastAsia"/>
                <w:color w:val="000000" w:themeColor="text1"/>
                <w:sz w:val="20"/>
                <w:szCs w:val="20"/>
              </w:rPr>
              <w:t>营业网点等渠道进行查询，也可</w:t>
            </w:r>
            <w:proofErr w:type="gramStart"/>
            <w:r>
              <w:rPr>
                <w:rFonts w:ascii="楷体_GB2312" w:eastAsia="楷体_GB2312" w:hAnsi="Times New Roman" w:cs="楷体_GB2312" w:hint="eastAsia"/>
                <w:color w:val="000000" w:themeColor="text1"/>
                <w:sz w:val="20"/>
                <w:szCs w:val="20"/>
              </w:rPr>
              <w:lastRenderedPageBreak/>
              <w:t>致电信银</w:t>
            </w:r>
            <w:proofErr w:type="gramEnd"/>
            <w:r>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C750048"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将向投资者</w:t>
            </w:r>
            <w:r>
              <w:rPr>
                <w:rFonts w:ascii="楷体_GB2312" w:eastAsia="楷体_GB2312" w:cs="楷体_GB2312" w:hint="eastAsia"/>
                <w:color w:val="000000" w:themeColor="text1"/>
                <w:sz w:val="20"/>
                <w:szCs w:val="20"/>
              </w:rPr>
              <w:t>发布</w:t>
            </w:r>
            <w:r>
              <w:rPr>
                <w:rFonts w:ascii="楷体_GB2312" w:eastAsia="楷体_GB2312" w:cs="楷体_GB2312"/>
                <w:color w:val="000000" w:themeColor="text1"/>
                <w:sz w:val="20"/>
                <w:szCs w:val="20"/>
              </w:rPr>
              <w:t>定期报告，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但不限于季度、半年和年度报告。</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半年和年度报告中，</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披露</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产品前10名投资者的类别、持有份额及占总份额的比例等信息。产品存续期间，如出现单一投资者持有产品份额达到或者超过该产品总份额20%的情形，为保障其他投资者的权益，</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在定期报告中披露该投资者的类别、持有份额及占比、持有份额变化情况及产品风险等信息，国务院银行业监督管理机构认定的特殊情形除外</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将在理财产品季度、半年和年度报告中披露理财产品组合资产情况及其流动性风险分析等；</w:t>
            </w:r>
            <w:r>
              <w:rPr>
                <w:rFonts w:ascii="楷体_GB2312" w:eastAsia="楷体_GB2312" w:cs="楷体_GB2312" w:hint="eastAsia"/>
                <w:color w:val="000000" w:themeColor="text1"/>
                <w:sz w:val="20"/>
                <w:szCs w:val="20"/>
              </w:rPr>
              <w:t>理财产品成立不足</w:t>
            </w:r>
            <w:r>
              <w:rPr>
                <w:rFonts w:ascii="楷体_GB2312" w:eastAsia="楷体_GB2312" w:cs="楷体_GB2312"/>
                <w:color w:val="000000" w:themeColor="text1"/>
                <w:sz w:val="20"/>
                <w:szCs w:val="20"/>
              </w:rPr>
              <w:t>90日或者剩余存续期不超过90日的，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可以不编制理财产品当期的季度、半年和年度报告</w:t>
            </w:r>
            <w:r>
              <w:rPr>
                <w:rFonts w:ascii="楷体_GB2312" w:eastAsia="楷体_GB2312" w:cs="楷体_GB2312" w:hint="eastAsia"/>
                <w:color w:val="000000" w:themeColor="text1"/>
                <w:sz w:val="20"/>
                <w:szCs w:val="20"/>
              </w:rPr>
              <w:t>。</w:t>
            </w:r>
          </w:p>
          <w:p w14:paraId="1870C382"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本产品拟投资于主体信用评级低于</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的商业银行的银行存款与同业存单</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，在履行必要程序后，</w:t>
            </w:r>
            <w:r>
              <w:rPr>
                <w:rFonts w:ascii="楷体_GB2312" w:eastAsia="楷体_GB2312" w:cs="楷体_GB2312"/>
                <w:color w:val="000000" w:themeColor="text1"/>
                <w:sz w:val="20"/>
                <w:szCs w:val="20"/>
              </w:rPr>
              <w:t>将作为重大事项履行信息披露程序</w:t>
            </w:r>
            <w:r>
              <w:rPr>
                <w:rFonts w:ascii="楷体_GB2312" w:eastAsia="楷体_GB2312" w:cs="楷体_GB2312" w:hint="eastAsia"/>
                <w:color w:val="000000" w:themeColor="text1"/>
                <w:sz w:val="20"/>
                <w:szCs w:val="20"/>
              </w:rPr>
              <w:t>。</w:t>
            </w:r>
          </w:p>
          <w:p w14:paraId="631B37FE" w14:textId="77777777" w:rsidR="00A47A16" w:rsidRDefault="00E74674">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19. </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本理财产品存续</w:t>
            </w:r>
            <w:proofErr w:type="gramStart"/>
            <w:r>
              <w:rPr>
                <w:rFonts w:ascii="楷体_GB2312" w:eastAsia="楷体_GB2312" w:cs="楷体_GB2312"/>
                <w:color w:val="000000" w:themeColor="text1"/>
                <w:sz w:val="20"/>
                <w:szCs w:val="20"/>
              </w:rPr>
              <w:t>期间</w:t>
            </w:r>
            <w:r>
              <w:rPr>
                <w:rFonts w:ascii="楷体_GB2312" w:eastAsia="楷体_GB2312" w:cs="楷体_GB2312" w:hint="eastAsia"/>
                <w:color w:val="000000" w:themeColor="text1"/>
                <w:sz w:val="20"/>
                <w:szCs w:val="20"/>
              </w:rPr>
              <w:t>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获知</w:t>
            </w:r>
            <w:r>
              <w:rPr>
                <w:rFonts w:ascii="楷体_GB2312" w:eastAsia="楷体_GB2312" w:cs="楷体_GB2312" w:hint="eastAsia"/>
                <w:color w:val="000000" w:themeColor="text1"/>
                <w:sz w:val="20"/>
                <w:szCs w:val="20"/>
              </w:rPr>
              <w:t>并</w:t>
            </w:r>
            <w:proofErr w:type="gramStart"/>
            <w:r>
              <w:rPr>
                <w:rFonts w:ascii="楷体_GB2312" w:eastAsia="楷体_GB2312" w:cs="楷体_GB2312"/>
                <w:color w:val="000000" w:themeColor="text1"/>
                <w:sz w:val="20"/>
                <w:szCs w:val="20"/>
              </w:rPr>
              <w:t>经</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合理判断认为对</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产品、投资者权益、投资收益等有重大影响的事件，将</w:t>
            </w:r>
            <w:r>
              <w:rPr>
                <w:rFonts w:ascii="楷体_GB2312" w:eastAsia="楷体_GB2312" w:cs="楷体_GB2312" w:hint="eastAsia"/>
                <w:color w:val="000000" w:themeColor="text1"/>
                <w:sz w:val="20"/>
                <w:szCs w:val="20"/>
              </w:rPr>
              <w:t>按照</w:t>
            </w:r>
            <w:r>
              <w:rPr>
                <w:rFonts w:ascii="楷体_GB2312" w:eastAsia="楷体_GB2312" w:cs="楷体_GB2312"/>
                <w:color w:val="000000" w:themeColor="text1"/>
                <w:sz w:val="20"/>
                <w:szCs w:val="20"/>
              </w:rPr>
              <w:t>法律法规、监管规定及时向投资者发布相关信息。</w:t>
            </w:r>
          </w:p>
          <w:p w14:paraId="6ABA4E71" w14:textId="77777777" w:rsidR="00A47A16" w:rsidRDefault="00E74674">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20. </w:t>
            </w:r>
            <w:r>
              <w:rPr>
                <w:rFonts w:ascii="楷体_GB2312" w:eastAsia="楷体_GB2312" w:cs="楷体_GB2312" w:hint="eastAsia"/>
                <w:color w:val="000000" w:themeColor="text1"/>
                <w:sz w:val="20"/>
                <w:szCs w:val="20"/>
              </w:rPr>
              <w:t>法律法规、</w:t>
            </w:r>
            <w:r>
              <w:rPr>
                <w:rFonts w:ascii="楷体_GB2312" w:eastAsia="楷体_GB2312" w:cs="楷体_GB2312"/>
                <w:color w:val="000000" w:themeColor="text1"/>
                <w:sz w:val="20"/>
                <w:szCs w:val="20"/>
              </w:rPr>
              <w:t>规范性文件、</w:t>
            </w:r>
            <w:r>
              <w:rPr>
                <w:rFonts w:ascii="楷体_GB2312" w:eastAsia="楷体_GB2312" w:cs="楷体_GB2312" w:hint="eastAsia"/>
                <w:color w:val="000000" w:themeColor="text1"/>
                <w:sz w:val="20"/>
                <w:szCs w:val="20"/>
              </w:rPr>
              <w:t>监管政策规定或本说明书约定其他应向投资者进行</w:t>
            </w:r>
            <w:r>
              <w:rPr>
                <w:rFonts w:ascii="楷体_GB2312" w:eastAsia="楷体_GB2312" w:cs="楷体_GB2312"/>
                <w:color w:val="000000" w:themeColor="text1"/>
                <w:sz w:val="20"/>
                <w:szCs w:val="20"/>
              </w:rPr>
              <w:t>信息</w:t>
            </w:r>
            <w:r>
              <w:rPr>
                <w:rFonts w:ascii="楷体_GB2312" w:eastAsia="楷体_GB2312" w:cs="楷体_GB2312" w:hint="eastAsia"/>
                <w:color w:val="000000" w:themeColor="text1"/>
                <w:sz w:val="20"/>
                <w:szCs w:val="20"/>
              </w:rPr>
              <w:t>披露的情形</w:t>
            </w:r>
            <w:r>
              <w:rPr>
                <w:rFonts w:ascii="楷体_GB2312" w:eastAsia="楷体_GB2312" w:cs="楷体_GB2312"/>
                <w:color w:val="000000" w:themeColor="text1"/>
                <w:sz w:val="20"/>
                <w:szCs w:val="20"/>
              </w:rPr>
              <w:t>的，</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将根据上述规定向投资者发布相关信息</w:t>
            </w:r>
            <w:r>
              <w:rPr>
                <w:rFonts w:ascii="楷体_GB2312" w:eastAsia="楷体_GB2312" w:cs="楷体_GB2312" w:hint="eastAsia"/>
                <w:color w:val="000000" w:themeColor="text1"/>
                <w:sz w:val="20"/>
                <w:szCs w:val="20"/>
              </w:rPr>
              <w:t>。</w:t>
            </w:r>
          </w:p>
        </w:tc>
      </w:tr>
    </w:tbl>
    <w:p w14:paraId="08880B46" w14:textId="77777777" w:rsidR="00A47A16" w:rsidRDefault="00A47A16">
      <w:pPr>
        <w:snapToGrid w:val="0"/>
        <w:ind w:leftChars="-1" w:left="-2" w:rightChars="22" w:right="53"/>
        <w:outlineLvl w:val="0"/>
        <w:rPr>
          <w:rFonts w:ascii="黑体" w:eastAsia="黑体" w:hAnsi="Times New Roman" w:cs="黑体"/>
          <w:color w:val="000000" w:themeColor="text1"/>
          <w:sz w:val="20"/>
          <w:szCs w:val="20"/>
        </w:rPr>
      </w:pPr>
    </w:p>
    <w:p w14:paraId="66252184" w14:textId="77777777" w:rsidR="00A47A16" w:rsidRDefault="00E74674">
      <w:pPr>
        <w:pStyle w:val="ab"/>
        <w:numPr>
          <w:ilvl w:val="0"/>
          <w:numId w:val="6"/>
        </w:numPr>
        <w:snapToGrid w:val="0"/>
        <w:ind w:rightChars="22" w:right="53" w:firstLineChars="0"/>
        <w:outlineLvl w:val="0"/>
        <w:rPr>
          <w:b/>
          <w:color w:val="000000" w:themeColor="text1"/>
        </w:rPr>
      </w:pPr>
      <w:r>
        <w:rPr>
          <w:rFonts w:ascii="黑体" w:eastAsia="黑体" w:hAnsi="Times New Roman" w:cs="黑体" w:hint="eastAsia"/>
          <w:b/>
          <w:color w:val="000000" w:themeColor="text1"/>
          <w:sz w:val="20"/>
          <w:szCs w:val="20"/>
        </w:rPr>
        <w:t>理财产品管理人</w:t>
      </w:r>
    </w:p>
    <w:p w14:paraId="19E8B405" w14:textId="77777777" w:rsidR="00A47A16" w:rsidRDefault="00E74674">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本理财产品的投资管理</w:t>
      </w:r>
      <w:proofErr w:type="gramStart"/>
      <w:r>
        <w:rPr>
          <w:rFonts w:ascii="Times New Roman" w:eastAsia="楷体_GB2312" w:hAnsi="Times New Roman" w:cs="楷体_GB2312" w:hint="eastAsia"/>
          <w:b/>
          <w:color w:val="000000" w:themeColor="text1"/>
          <w:sz w:val="20"/>
          <w:szCs w:val="20"/>
        </w:rPr>
        <w:t>人为信银理财</w:t>
      </w:r>
      <w:proofErr w:type="gramEnd"/>
      <w:r>
        <w:rPr>
          <w:rFonts w:ascii="Times New Roman" w:eastAsia="楷体_GB2312" w:hAnsi="Times New Roman" w:cs="楷体_GB2312" w:hint="eastAsia"/>
          <w:b/>
          <w:color w:val="000000" w:themeColor="text1"/>
          <w:sz w:val="20"/>
          <w:szCs w:val="20"/>
        </w:rPr>
        <w:t>。</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理财享有以下权利：</w:t>
      </w:r>
    </w:p>
    <w:p w14:paraId="0636A6D4"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按照理财产品说明书的约定，管理、运用和处分理财资金；</w:t>
      </w:r>
    </w:p>
    <w:p w14:paraId="66E9817D"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代表理财产品签订投资和资产管理过程中涉及到的协议、合同等文本；</w:t>
      </w:r>
    </w:p>
    <w:p w14:paraId="2A65A0D7"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、各类基金（</w:t>
      </w:r>
      <w:proofErr w:type="gramStart"/>
      <w:r>
        <w:rPr>
          <w:rFonts w:ascii="Times New Roman" w:eastAsia="楷体_GB2312" w:hAnsi="Times New Roman" w:cs="楷体_GB2312" w:hint="eastAsia"/>
          <w:b/>
          <w:color w:val="000000" w:themeColor="text1"/>
          <w:sz w:val="20"/>
          <w:szCs w:val="20"/>
        </w:rPr>
        <w:t>含公募基金</w:t>
      </w:r>
      <w:proofErr w:type="gramEnd"/>
      <w:r>
        <w:rPr>
          <w:rFonts w:ascii="Times New Roman" w:eastAsia="楷体_GB2312" w:hAnsi="Times New Roman" w:cs="楷体_GB2312" w:hint="eastAsia"/>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61D972BA"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执行的权利）或者实施风险处置，行使、放弃、变更相关权利义务等其他法律行为，产生的合理费用由理财产品承担；</w:t>
      </w:r>
    </w:p>
    <w:p w14:paraId="031EBE03"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按照理财产品说明书的约定，及时、足额获得投资管理费和本产品说明书约定的其他费用（如有）；</w:t>
      </w:r>
    </w:p>
    <w:p w14:paraId="11FEFE1C"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管理人以其固有财产先行垫付因处理本理财产品相关事务所支出的费用及税费的，对理财产品资金享有优先受偿的权利；</w:t>
      </w:r>
    </w:p>
    <w:p w14:paraId="4AA17D96"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lastRenderedPageBreak/>
        <w:t>管理人有权按照法律规定和监管机构的要求将投资者的信息向有权部门或相关机构披露。</w:t>
      </w:r>
    </w:p>
    <w:p w14:paraId="67F580BF" w14:textId="77777777" w:rsidR="00A47A16" w:rsidRDefault="00A47A16">
      <w:pPr>
        <w:snapToGrid w:val="0"/>
        <w:spacing w:line="300" w:lineRule="exact"/>
        <w:ind w:leftChars="-1" w:left="-2" w:rightChars="22" w:right="53" w:firstLineChars="200" w:firstLine="400"/>
        <w:outlineLvl w:val="0"/>
        <w:rPr>
          <w:rFonts w:ascii="楷体_GB2312" w:eastAsia="楷体_GB2312"/>
          <w:color w:val="000000" w:themeColor="text1"/>
          <w:sz w:val="20"/>
          <w:szCs w:val="20"/>
        </w:rPr>
      </w:pPr>
    </w:p>
    <w:p w14:paraId="5059183F" w14:textId="77777777" w:rsidR="00A47A16" w:rsidRDefault="00E74674">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四、理财产品的认购、申购</w:t>
      </w:r>
    </w:p>
    <w:p w14:paraId="0B6F6B0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份额确认日后投资者可向销售</w:t>
      </w:r>
      <w:r>
        <w:rPr>
          <w:rFonts w:ascii="楷体_GB2312" w:eastAsia="楷体_GB2312" w:cs="楷体_GB2312" w:hint="eastAsia"/>
          <w:color w:val="000000" w:themeColor="text1"/>
          <w:sz w:val="20"/>
          <w:szCs w:val="20"/>
        </w:rPr>
        <w:t>机构</w:t>
      </w:r>
      <w:r>
        <w:rPr>
          <w:rFonts w:ascii="楷体_GB2312" w:eastAsia="楷体_GB2312" w:cs="楷体_GB2312"/>
          <w:color w:val="000000" w:themeColor="text1"/>
          <w:sz w:val="20"/>
          <w:szCs w:val="20"/>
        </w:rPr>
        <w:t>查询认购是否成功。</w:t>
      </w:r>
    </w:p>
    <w:p w14:paraId="05D54C27"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w:t>
      </w:r>
      <w:r>
        <w:rPr>
          <w:rFonts w:ascii="楷体_GB2312" w:eastAsia="楷体_GB2312" w:cs="楷体_GB2312"/>
          <w:color w:val="000000" w:themeColor="text1"/>
          <w:sz w:val="20"/>
          <w:szCs w:val="20"/>
        </w:rPr>
        <w:t>交易</w:t>
      </w:r>
      <w:proofErr w:type="gramEnd"/>
      <w:r>
        <w:rPr>
          <w:rFonts w:ascii="楷体_GB2312" w:eastAsia="楷体_GB2312" w:cs="楷体_GB2312"/>
          <w:color w:val="000000" w:themeColor="text1"/>
          <w:sz w:val="20"/>
          <w:szCs w:val="20"/>
        </w:rPr>
        <w:t>时间提交的申购申请将于下一个申购开放日正式受理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代销机构有另行规定的，以代销机构的规定为准。本产品按金额申购，按【</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500万元申购本产品，申购费率为0%，则投资者获得的申购份额=5,000,000.00</w:t>
      </w:r>
      <w:r>
        <w:rPr>
          <w:rFonts w:ascii="楷体_GB2312" w:eastAsia="楷体_GB2312" w:cs="楷体_GB2312"/>
          <w:sz w:val="20"/>
          <w:szCs w:val="20"/>
        </w:rPr>
        <w:t>×</w:t>
      </w:r>
      <w:r>
        <w:rPr>
          <w:rFonts w:ascii="楷体_GB2312" w:eastAsia="楷体_GB2312" w:cs="楷体_GB2312"/>
          <w:sz w:val="20"/>
          <w:szCs w:val="20"/>
        </w:rPr>
        <w:t>（1-0%）/1.00=5,000,000.00份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02B443A1" w14:textId="77777777" w:rsidR="00A47A16" w:rsidRDefault="00E74674">
      <w:pPr>
        <w:spacing w:line="300" w:lineRule="exact"/>
        <w:ind w:leftChars="-1" w:left="-2"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D2EB5C4"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A47A16" w:rsidRDefault="00A47A16">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A47A16" w:rsidRDefault="00E74674">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2097E1FF"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B类份额单次最低赎回份额为【0.01】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A类份额单次最低赎回份额为【0.01】</w:t>
      </w:r>
      <w:r>
        <w:rPr>
          <w:rFonts w:ascii="楷体_GB2312" w:eastAsia="楷体_GB2312" w:cs="楷体_GB2312" w:hint="eastAsia"/>
          <w:color w:val="000000" w:themeColor="text1"/>
          <w:sz w:val="20"/>
          <w:szCs w:val="20"/>
        </w:rPr>
        <w:t>份，D类份额单次最低赎回份额为【0.01】份，H类份额单次最低赎回份额为【0.01】份，</w:t>
      </w:r>
      <w:r>
        <w:rPr>
          <w:rFonts w:ascii="楷体_GB2312" w:eastAsia="楷体_GB2312" w:cs="楷体_GB2312"/>
          <w:color w:val="000000" w:themeColor="text1"/>
          <w:sz w:val="20"/>
          <w:szCs w:val="20"/>
        </w:rPr>
        <w:t>L类份额单次最低赎回份额为【0.01】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P</w:t>
      </w:r>
      <w:r>
        <w:rPr>
          <w:rFonts w:ascii="楷体_GB2312" w:eastAsia="楷体_GB2312" w:cs="楷体_GB2312" w:hint="eastAsia"/>
          <w:color w:val="000000" w:themeColor="text1"/>
          <w:sz w:val="20"/>
          <w:szCs w:val="20"/>
        </w:rPr>
        <w:t>类份额单次最低赎回份额为【0.01】份。</w:t>
      </w:r>
    </w:p>
    <w:p w14:paraId="3BE78815"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67F6CF39"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赎回份额×1</w:t>
      </w:r>
      <w:r>
        <w:rPr>
          <w:rFonts w:ascii="楷体_GB2312" w:eastAsia="楷体_GB2312" w:cs="楷体_GB2312"/>
          <w:color w:val="000000" w:themeColor="text1"/>
          <w:sz w:val="20"/>
          <w:szCs w:val="20"/>
        </w:rPr>
        <w:t>.00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赎回费率）-浮动管理费（如有）。</w:t>
      </w:r>
    </w:p>
    <w:p w14:paraId="3C5C6D03"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p>
    <w:p w14:paraId="40CEEEB2"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例如，【某开放日投资者成功赎回所持有</w:t>
      </w:r>
      <w:r>
        <w:rPr>
          <w:rFonts w:ascii="楷体_GB2312" w:eastAsia="楷体_GB2312" w:cs="楷体_GB2312"/>
          <w:color w:val="000000" w:themeColor="text1"/>
          <w:sz w:val="20"/>
          <w:szCs w:val="20"/>
        </w:rPr>
        <w:t>500万份本产品份额，赎回费率为0%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无浮动管理费，则投资者获得的赎回金额=5,000,000.00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（1-0%）=5,000,000.00元】</w:t>
      </w:r>
      <w:r>
        <w:rPr>
          <w:rFonts w:ascii="楷体_GB2312" w:eastAsia="楷体_GB2312" w:cs="楷体_GB2312" w:hint="eastAsia"/>
          <w:color w:val="000000" w:themeColor="text1"/>
          <w:sz w:val="20"/>
          <w:szCs w:val="20"/>
        </w:rPr>
        <w:t>。</w:t>
      </w:r>
    </w:p>
    <w:p w14:paraId="581D779E"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28021646"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当理财产品份额全部被赎回时，为保证投资者利益，管理人有权调整单位净值小数点取位规则。</w:t>
      </w:r>
    </w:p>
    <w:p w14:paraId="2105B1BB"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w:t>
      </w:r>
      <w:r>
        <w:rPr>
          <w:rFonts w:ascii="楷体_GB2312" w:eastAsia="楷体_GB2312"/>
          <w:sz w:val="20"/>
          <w:szCs w:val="20"/>
        </w:rPr>
        <w:t>赎回申请正式受理的开放日后第一个工作</w:t>
      </w:r>
      <w:r>
        <w:rPr>
          <w:rFonts w:ascii="楷体_GB2312" w:eastAsia="楷体_GB2312" w:hint="eastAsia"/>
          <w:color w:val="000000" w:themeColor="text1"/>
          <w:sz w:val="20"/>
          <w:szCs w:val="20"/>
        </w:rPr>
        <w:t>日】即为赎回确认日，赎回份额确认日后投资者可向产品销售机构查询赎回是否成功。管理人按照</w:t>
      </w:r>
      <w:r>
        <w:rPr>
          <w:rFonts w:ascii="楷体_GB2312" w:eastAsia="楷体_GB2312"/>
          <w:color w:val="000000" w:themeColor="text1"/>
          <w:sz w:val="20"/>
          <w:szCs w:val="20"/>
        </w:rPr>
        <w:t>【</w:t>
      </w:r>
      <w:r>
        <w:rPr>
          <w:rFonts w:ascii="楷体_GB2312" w:eastAsia="楷体_GB2312"/>
          <w:color w:val="000000" w:themeColor="text1"/>
          <w:sz w:val="20"/>
          <w:szCs w:val="20"/>
        </w:rPr>
        <w:t>“</w:t>
      </w:r>
      <w:r>
        <w:rPr>
          <w:rFonts w:ascii="楷体_GB2312" w:eastAsia="楷体_GB2312"/>
          <w:color w:val="000000" w:themeColor="text1"/>
          <w:sz w:val="20"/>
          <w:szCs w:val="20"/>
        </w:rPr>
        <w:t>后进先出</w:t>
      </w:r>
      <w:r>
        <w:rPr>
          <w:rFonts w:ascii="楷体_GB2312" w:eastAsia="楷体_GB2312"/>
          <w:color w:val="000000" w:themeColor="text1"/>
          <w:sz w:val="20"/>
          <w:szCs w:val="20"/>
        </w:rPr>
        <w:t>”</w:t>
      </w:r>
      <w:r>
        <w:rPr>
          <w:rFonts w:ascii="楷体_GB2312" w:eastAsia="楷体_GB2312"/>
          <w:color w:val="000000" w:themeColor="text1"/>
          <w:sz w:val="20"/>
          <w:szCs w:val="20"/>
        </w:rPr>
        <w:t>的原则处理投资者持有份额的赎回，即份额注册日期在后的份额先赎回，份额注册日期在前的份额后赎回】。</w:t>
      </w:r>
      <w:r>
        <w:rPr>
          <w:rFonts w:ascii="楷体_GB2312" w:eastAsia="楷体_GB2312" w:hint="eastAsia"/>
          <w:color w:val="000000" w:themeColor="text1"/>
          <w:sz w:val="20"/>
          <w:szCs w:val="20"/>
        </w:rPr>
        <w:t>当日交易</w:t>
      </w:r>
      <w:r>
        <w:rPr>
          <w:rFonts w:ascii="楷体_GB2312" w:eastAsia="楷体_GB2312"/>
          <w:color w:val="000000" w:themeColor="text1"/>
          <w:sz w:val="20"/>
          <w:szCs w:val="20"/>
        </w:rPr>
        <w:t>时间内提交</w:t>
      </w:r>
      <w:r>
        <w:rPr>
          <w:rFonts w:ascii="楷体_GB2312" w:eastAsia="楷体_GB2312" w:hint="eastAsia"/>
          <w:color w:val="000000" w:themeColor="text1"/>
          <w:sz w:val="20"/>
          <w:szCs w:val="20"/>
        </w:rPr>
        <w:t>且有效的赎回申请</w:t>
      </w:r>
      <w:r>
        <w:rPr>
          <w:rFonts w:ascii="楷体_GB2312" w:eastAsia="楷体_GB2312"/>
          <w:color w:val="000000" w:themeColor="text1"/>
          <w:sz w:val="20"/>
          <w:szCs w:val="20"/>
        </w:rPr>
        <w:t>对应</w:t>
      </w:r>
      <w:r>
        <w:rPr>
          <w:rFonts w:ascii="楷体_GB2312" w:eastAsia="楷体_GB2312" w:hint="eastAsia"/>
          <w:color w:val="000000" w:themeColor="text1"/>
          <w:sz w:val="20"/>
          <w:szCs w:val="20"/>
        </w:rPr>
        <w:t>的份额自下一个交易日起不享有分配权益，国务院银行业监督管理机构认定的特殊现金管理类产品除外。</w:t>
      </w:r>
    </w:p>
    <w:p w14:paraId="10C82FF4"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14:textId="77777777" w:rsidR="00A47A16" w:rsidRDefault="00E74674">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w:t>
      </w:r>
      <w:r>
        <w:rPr>
          <w:rFonts w:ascii="楷体_GB2312" w:eastAsia="楷体_GB2312" w:cs="楷体_GB2312"/>
          <w:color w:val="000000" w:themeColor="text1"/>
          <w:sz w:val="20"/>
          <w:szCs w:val="20"/>
        </w:rPr>
        <w:t>将在该开放日后【2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工作日内支付赎回款项，</w:t>
      </w:r>
      <w:r>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r>
        <w:rPr>
          <w:rFonts w:ascii="楷体_GB2312" w:eastAsia="楷体_GB2312" w:hint="eastAsia"/>
          <w:color w:val="000000" w:themeColor="text1"/>
          <w:sz w:val="20"/>
          <w:szCs w:val="20"/>
        </w:rPr>
        <w:t>，</w:t>
      </w:r>
      <w:r>
        <w:rPr>
          <w:rFonts w:ascii="楷体_GB2312" w:eastAsia="楷体_GB2312"/>
          <w:color w:val="000000" w:themeColor="text1"/>
          <w:sz w:val="20"/>
          <w:szCs w:val="20"/>
        </w:rPr>
        <w:t>本说明书另有</w:t>
      </w:r>
      <w:r>
        <w:rPr>
          <w:rFonts w:ascii="楷体_GB2312" w:eastAsia="楷体_GB2312" w:hint="eastAsia"/>
          <w:color w:val="000000" w:themeColor="text1"/>
          <w:sz w:val="20"/>
          <w:szCs w:val="20"/>
        </w:rPr>
        <w:t>限制性约定</w:t>
      </w:r>
      <w:r>
        <w:rPr>
          <w:rFonts w:ascii="楷体_GB2312" w:eastAsia="楷体_GB2312"/>
          <w:color w:val="000000" w:themeColor="text1"/>
          <w:sz w:val="20"/>
          <w:szCs w:val="20"/>
        </w:rPr>
        <w:t>的除外。</w:t>
      </w:r>
    </w:p>
    <w:p w14:paraId="145F3714" w14:textId="77777777" w:rsidR="00A47A16" w:rsidRDefault="00E74674">
      <w:pPr>
        <w:spacing w:line="300" w:lineRule="exact"/>
        <w:ind w:left="-2" w:firstLineChars="214" w:firstLine="428"/>
        <w:jc w:val="both"/>
        <w:rPr>
          <w:color w:val="000000" w:themeColor="text1"/>
        </w:rPr>
      </w:pPr>
      <w:r>
        <w:rPr>
          <w:rFonts w:ascii="楷体_GB2312" w:eastAsia="楷体_GB2312"/>
          <w:color w:val="000000" w:themeColor="text1"/>
          <w:sz w:val="20"/>
          <w:szCs w:val="20"/>
        </w:rPr>
        <w:t>7．本产品支持</w:t>
      </w:r>
      <w:r>
        <w:rPr>
          <w:rFonts w:ascii="楷体_GB2312" w:eastAsia="楷体_GB2312"/>
          <w:color w:val="000000" w:themeColor="text1"/>
          <w:sz w:val="20"/>
          <w:szCs w:val="20"/>
        </w:rPr>
        <w:t>“</w:t>
      </w:r>
      <w:r>
        <w:rPr>
          <w:rFonts w:ascii="楷体_GB2312" w:eastAsia="楷体_GB2312"/>
          <w:color w:val="000000" w:themeColor="text1"/>
          <w:sz w:val="20"/>
          <w:szCs w:val="20"/>
        </w:rPr>
        <w:t>快速赎回</w:t>
      </w:r>
      <w:r>
        <w:rPr>
          <w:rFonts w:ascii="楷体_GB2312" w:eastAsia="楷体_GB2312"/>
          <w:color w:val="000000" w:themeColor="text1"/>
          <w:sz w:val="20"/>
          <w:szCs w:val="20"/>
        </w:rPr>
        <w:t>”</w:t>
      </w:r>
      <w:r>
        <w:rPr>
          <w:rFonts w:ascii="楷体_GB2312" w:eastAsia="楷体_GB2312"/>
          <w:color w:val="000000" w:themeColor="text1"/>
          <w:sz w:val="20"/>
          <w:szCs w:val="20"/>
        </w:rPr>
        <w:t>增值服务。单个投资者在单个销售机构持有的本产品单个自然日的赎回金额上限为【1万元】，即单个投资者在单个销售机构针对本产品在当日交易时间内提交的有效赎回申请在当日可取得的赎回金额上限为【1万元】。</w:t>
      </w:r>
    </w:p>
    <w:p w14:paraId="1A422E66"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．管理人保留不接受赎回申请的权利。</w:t>
      </w:r>
    </w:p>
    <w:p w14:paraId="77FAAE8E" w14:textId="77777777" w:rsidR="00A47A16" w:rsidRDefault="00A47A16">
      <w:pPr>
        <w:spacing w:line="300" w:lineRule="exact"/>
        <w:ind w:rightChars="40" w:right="96" w:firstLineChars="213" w:firstLine="426"/>
        <w:rPr>
          <w:rFonts w:ascii="楷体_GB2312" w:eastAsia="楷体_GB2312"/>
          <w:color w:val="000000" w:themeColor="text1"/>
          <w:sz w:val="20"/>
          <w:szCs w:val="20"/>
        </w:rPr>
      </w:pPr>
    </w:p>
    <w:p w14:paraId="670783EE" w14:textId="77777777" w:rsidR="00A47A16" w:rsidRDefault="00E74674">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0E555E25"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14:paraId="6ED31218"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26A1B94"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2BB0D628"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3A148AC2"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411C003B"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6A41A369"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55CE9B10"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3．本产品连续【2】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14:paraId="37EB6407" w14:textId="77777777" w:rsidR="00A47A16" w:rsidRDefault="00A47A16">
      <w:pPr>
        <w:spacing w:line="300" w:lineRule="exact"/>
        <w:ind w:rightChars="15" w:right="36" w:firstLineChars="213" w:firstLine="426"/>
        <w:rPr>
          <w:rFonts w:ascii="楷体_GB2312" w:eastAsia="楷体_GB2312"/>
          <w:color w:val="000000" w:themeColor="text1"/>
          <w:sz w:val="20"/>
          <w:szCs w:val="20"/>
        </w:rPr>
      </w:pPr>
    </w:p>
    <w:p w14:paraId="721F9312" w14:textId="77777777" w:rsidR="00A47A16" w:rsidRDefault="00E74674">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lastRenderedPageBreak/>
        <w:t>七、拒绝或暂停接受认、申购或赎回申请、延缓支付赎回款项等情形及处理</w:t>
      </w:r>
    </w:p>
    <w:p w14:paraId="748843B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405A06B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申购可能对理财产品业绩产生影响；</w:t>
      </w:r>
    </w:p>
    <w:p w14:paraId="40B5654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w:t>
      </w:r>
    </w:p>
    <w:p w14:paraId="0E588687"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购金额将导致单笔认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购金额上限、单个投资者持仓上限、计划募集金额上限、产品规模上限等各指标超限时，或单笔认</w:t>
      </w:r>
      <w:r>
        <w:rPr>
          <w:rFonts w:ascii="楷体_GB2312" w:eastAsia="楷体_GB2312" w:cs="楷体_GB2312"/>
          <w:color w:val="000000" w:themeColor="text1"/>
          <w:sz w:val="20"/>
          <w:szCs w:val="20"/>
        </w:rPr>
        <w:t>/申购金额不足认/申购金额起点金额时，</w:t>
      </w:r>
      <w:r>
        <w:rPr>
          <w:rFonts w:ascii="楷体_GB2312" w:eastAsia="楷体_GB2312" w:cs="楷体_GB2312" w:hint="eastAsia"/>
          <w:color w:val="000000" w:themeColor="text1"/>
          <w:sz w:val="20"/>
          <w:szCs w:val="20"/>
        </w:rPr>
        <w:t>管理人有权拒绝投资者的认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购申请；</w:t>
      </w:r>
    </w:p>
    <w:p w14:paraId="567CE686"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3C715FA0"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5421922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w:t>
      </w:r>
      <w:r>
        <w:rPr>
          <w:rFonts w:ascii="楷体_GB2312" w:eastAsia="楷体_GB2312" w:cs="楷体_GB2312" w:hint="eastAsia"/>
          <w:color w:val="000000" w:themeColor="text1"/>
          <w:sz w:val="20"/>
          <w:szCs w:val="20"/>
        </w:rPr>
        <w:t>；</w:t>
      </w:r>
    </w:p>
    <w:p w14:paraId="09FBC70A"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A47A16" w:rsidRDefault="00E74674">
      <w:pPr>
        <w:spacing w:line="300" w:lineRule="exact"/>
        <w:ind w:firstLineChars="284" w:firstLine="568"/>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05192715"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EC5AFE5"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61F23F8F" w14:textId="77777777" w:rsidR="00A47A16" w:rsidRDefault="00E74674">
      <w:pPr>
        <w:spacing w:line="300" w:lineRule="exact"/>
        <w:ind w:firstLineChars="200" w:firstLine="400"/>
        <w:jc w:val="both"/>
        <w:rPr>
          <w:rFonts w:ascii="楷体_GB2312" w:eastAsia="楷体_GB2312" w:cs="楷体_GB2312"/>
          <w:b/>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3D70DAD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5825614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528581C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w:t>
      </w:r>
      <w:r>
        <w:rPr>
          <w:rFonts w:ascii="楷体_GB2312" w:eastAsia="楷体_GB2312" w:cs="楷体_GB2312"/>
          <w:color w:val="000000" w:themeColor="text1"/>
          <w:sz w:val="20"/>
          <w:szCs w:val="20"/>
        </w:rPr>
        <w:t>负偏离度绝对值连续两个交易日超过0.5%时</w:t>
      </w:r>
      <w:r>
        <w:rPr>
          <w:rFonts w:ascii="楷体_GB2312" w:eastAsia="楷体_GB2312" w:cs="楷体_GB2312" w:hint="eastAsia"/>
          <w:color w:val="000000" w:themeColor="text1"/>
          <w:sz w:val="20"/>
          <w:szCs w:val="20"/>
        </w:rPr>
        <w:t>。</w:t>
      </w:r>
    </w:p>
    <w:p w14:paraId="19EDE78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法律法规规定或管理人基于审慎考虑认定的其他情形。</w:t>
      </w:r>
    </w:p>
    <w:p w14:paraId="1BC29E63"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Ansi="楷体"/>
          <w:color w:val="000000"/>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当本产品前</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名投资者的持有份额合计超过该产品总份额</w:t>
      </w:r>
      <w:r>
        <w:rPr>
          <w:rFonts w:ascii="楷体_GB2312" w:eastAsia="楷体_GB2312" w:hAnsi="Times New Roman" w:cs="楷体_GB2312"/>
          <w:color w:val="000000" w:themeColor="text1"/>
          <w:sz w:val="20"/>
          <w:szCs w:val="20"/>
        </w:rPr>
        <w:t>50%</w:t>
      </w:r>
      <w:r>
        <w:rPr>
          <w:rFonts w:ascii="楷体_GB2312" w:eastAsia="楷体_GB2312" w:hAnsi="Times New Roman" w:cs="楷体_GB2312" w:hint="eastAsia"/>
          <w:color w:val="000000" w:themeColor="text1"/>
          <w:sz w:val="20"/>
          <w:szCs w:val="20"/>
        </w:rPr>
        <w:t>的，投资组合中现金、国债、中央银行票据、政策性金融债券以及</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个交易日内到期的其他金融工具占该产品资产净值的比例合计低于</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且偏离度为负时，管理人将对投资者超过该产品总份额</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以上的赎回申请征收</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的强制赎回费用。</w:t>
      </w:r>
      <w:r>
        <w:rPr>
          <w:rFonts w:ascii="楷体_GB2312" w:eastAsia="楷体_GB2312" w:cs="楷体_GB2312"/>
          <w:color w:val="000000" w:themeColor="text1"/>
          <w:sz w:val="20"/>
          <w:szCs w:val="20"/>
        </w:rPr>
        <w:t>上述赎回费用全额计入本产品财产。</w:t>
      </w:r>
    </w:p>
    <w:p w14:paraId="6CFCE88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5</w:t>
      </w:r>
      <w:r>
        <w:rPr>
          <w:rFonts w:ascii="楷体_GB2312" w:eastAsia="楷体_GB2312" w:cs="楷体_GB2312" w:hint="eastAsia"/>
          <w:color w:val="000000" w:themeColor="text1"/>
          <w:sz w:val="20"/>
          <w:szCs w:val="20"/>
        </w:rPr>
        <w:t>．当本产品持有的现金、国债、中央银行票据、政策性金融债券以及</w:t>
      </w:r>
      <w:r>
        <w:rPr>
          <w:rFonts w:ascii="楷体_GB2312" w:eastAsia="楷体_GB2312" w:cs="楷体_GB2312"/>
          <w:color w:val="000000" w:themeColor="text1"/>
          <w:sz w:val="20"/>
          <w:szCs w:val="20"/>
        </w:rPr>
        <w:t>5个交易日内到期的其他金融工具占本产品资产净值的比例合计低于5%且偏离度为负时，管理人</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对当日投资者申请赎回份额超过本产品总份额1%以上的赎回申请征收1%的强制赎回费用，上述赎回费用全额计入本产品财产。但管理人与托管机构协商确认上述做法无益于本产品利益最大化的情形除外。</w:t>
      </w:r>
    </w:p>
    <w:p w14:paraId="010C2ADC" w14:textId="77777777" w:rsidR="00A47A16" w:rsidRDefault="00A47A16">
      <w:pPr>
        <w:spacing w:line="300" w:lineRule="exact"/>
        <w:ind w:rightChars="40" w:right="96"/>
        <w:rPr>
          <w:rFonts w:ascii="楷体_GB2312" w:eastAsia="楷体_GB2312"/>
          <w:color w:val="000000" w:themeColor="text1"/>
          <w:sz w:val="20"/>
          <w:szCs w:val="20"/>
        </w:rPr>
      </w:pPr>
    </w:p>
    <w:p w14:paraId="37E9FB15" w14:textId="77777777" w:rsidR="00A47A16" w:rsidRDefault="00E74674">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八、理财资金分配</w:t>
      </w:r>
    </w:p>
    <w:p w14:paraId="26211046" w14:textId="77777777" w:rsidR="00A47A16" w:rsidRDefault="00E74674">
      <w:pPr>
        <w:numPr>
          <w:ilvl w:val="0"/>
          <w:numId w:val="8"/>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6C36282C" w14:textId="77777777" w:rsidR="00A47A16" w:rsidRDefault="00E74674">
      <w:pPr>
        <w:spacing w:line="300" w:lineRule="exact"/>
        <w:ind w:firstLineChars="200" w:firstLine="400"/>
        <w:jc w:val="both"/>
        <w:rPr>
          <w:rFonts w:ascii="楷体_GB2312"/>
          <w:sz w:val="20"/>
        </w:rPr>
      </w:pPr>
      <w:r>
        <w:rPr>
          <w:rFonts w:ascii="楷体_GB2312"/>
          <w:sz w:val="20"/>
        </w:rPr>
        <w:t>1</w:t>
      </w:r>
      <w:r>
        <w:rPr>
          <w:rFonts w:ascii="楷体_GB2312" w:hint="eastAsia"/>
          <w:sz w:val="20"/>
        </w:rPr>
        <w:t>．</w:t>
      </w:r>
      <w:r>
        <w:rPr>
          <w:rFonts w:ascii="楷体_GB2312" w:eastAsia="楷体_GB2312"/>
          <w:color w:val="000000" w:themeColor="text1"/>
          <w:sz w:val="20"/>
          <w:szCs w:val="20"/>
          <w:u w:val="single"/>
        </w:rPr>
        <w:t>本产品存续期间理财收益的分配方式：</w:t>
      </w:r>
      <w:r>
        <w:rPr>
          <w:rFonts w:ascii="楷体_GB2312" w:eastAsia="楷体_GB2312" w:hint="eastAsia"/>
          <w:color w:val="000000" w:themeColor="text1"/>
          <w:sz w:val="20"/>
          <w:szCs w:val="20"/>
          <w:u w:val="single"/>
        </w:rPr>
        <w:t>【红利再投资】</w:t>
      </w:r>
      <w:r>
        <w:rPr>
          <w:rFonts w:ascii="楷体_GB2312" w:eastAsia="楷体_GB2312"/>
          <w:sz w:val="20"/>
          <w:szCs w:val="20"/>
        </w:rPr>
        <w:t xml:space="preserve">。 </w:t>
      </w:r>
    </w:p>
    <w:p w14:paraId="2633327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2.本产品存续期间理财收益分配的具体规则及投资者赎回时未付收益处理规则如下：</w:t>
      </w:r>
    </w:p>
    <w:p w14:paraId="2A41E8B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hint="eastAsia"/>
          <w:color w:val="000000" w:themeColor="text1"/>
          <w:sz w:val="20"/>
          <w:szCs w:val="20"/>
        </w:rPr>
        <w:t>（1）本理财产品每个自然日进行收益分配；</w:t>
      </w:r>
    </w:p>
    <w:p w14:paraId="0480A8D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（2）投资者持有理财产品每个自然日分配的收益=【当日总未付理财收益/理财产品总份额×投资者持有理财产品份额】（保留两位小数，去尾并进行再次分配，直到分完为止）。</w:t>
      </w:r>
    </w:p>
    <w:p w14:paraId="4DA3775A"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（3）投资者每个自然日分配的收益结转为理财产品份额并参与下一个自然</w:t>
      </w:r>
      <w:proofErr w:type="gramStart"/>
      <w:r>
        <w:rPr>
          <w:rFonts w:ascii="楷体_GB2312" w:eastAsia="楷体_GB2312" w:cs="楷体_GB2312" w:hint="eastAsia"/>
          <w:color w:val="000000" w:themeColor="text1"/>
          <w:sz w:val="20"/>
          <w:szCs w:val="20"/>
        </w:rPr>
        <w:t>日收益</w:t>
      </w:r>
      <w:proofErr w:type="gramEnd"/>
      <w:r>
        <w:rPr>
          <w:rFonts w:ascii="楷体_GB2312" w:eastAsia="楷体_GB2312" w:cs="楷体_GB2312" w:hint="eastAsia"/>
          <w:color w:val="000000" w:themeColor="text1"/>
          <w:sz w:val="20"/>
          <w:szCs w:val="20"/>
        </w:rPr>
        <w:t>分配；</w:t>
      </w:r>
    </w:p>
    <w:p w14:paraId="26E076E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14:paraId="499F671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（5）当日申购的理财份额自下一个工作日起，享有理财的收益分配权益；当日赎回的理财份额自下一个工作日起，不享有理财的收益分配权益。】</w:t>
      </w:r>
    </w:p>
    <w:p w14:paraId="4B71AF26"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符合法律法规</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约定，并对理财产品投资者利益无实质不利影响</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前提下，管理人可提前【 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对期间</w:t>
      </w:r>
      <w:proofErr w:type="gramEnd"/>
      <w:r>
        <w:rPr>
          <w:rFonts w:ascii="楷体_GB2312" w:eastAsia="楷体_GB2312" w:cs="楷体_GB2312"/>
          <w:color w:val="000000" w:themeColor="text1"/>
          <w:sz w:val="20"/>
          <w:szCs w:val="20"/>
        </w:rPr>
        <w:t>收益分配原则及方式进行调整。</w:t>
      </w:r>
    </w:p>
    <w:p w14:paraId="6C5C53E7" w14:textId="77777777" w:rsidR="00A47A16" w:rsidRDefault="00E74674">
      <w:pPr>
        <w:numPr>
          <w:ilvl w:val="0"/>
          <w:numId w:val="8"/>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A47A16" w:rsidRDefault="00E74674">
      <w:pPr>
        <w:pStyle w:val="ab"/>
        <w:numPr>
          <w:ilvl w:val="0"/>
          <w:numId w:val="9"/>
        </w:numPr>
        <w:spacing w:line="300" w:lineRule="exact"/>
        <w:ind w:firstLineChars="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A47A16" w:rsidRDefault="00E74674">
      <w:pPr>
        <w:pStyle w:val="ab"/>
        <w:numPr>
          <w:ilvl w:val="0"/>
          <w:numId w:val="9"/>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A47A16" w:rsidRDefault="00E74674">
      <w:pPr>
        <w:pStyle w:val="ab"/>
        <w:numPr>
          <w:ilvl w:val="0"/>
          <w:numId w:val="9"/>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0E55459A" w14:textId="77777777" w:rsidR="00A47A16" w:rsidRDefault="00E74674">
      <w:pPr>
        <w:pStyle w:val="ab"/>
        <w:spacing w:line="300" w:lineRule="exact"/>
        <w:ind w:left="758" w:firstLineChars="0" w:firstLine="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p>
    <w:p w14:paraId="5D2314FB" w14:textId="77777777" w:rsidR="00A47A16" w:rsidRDefault="00E74674">
      <w:pPr>
        <w:pStyle w:val="ab"/>
        <w:numPr>
          <w:ilvl w:val="0"/>
          <w:numId w:val="9"/>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78063639" w14:textId="77777777" w:rsidR="00A47A16" w:rsidRDefault="00E74674">
      <w:pPr>
        <w:pStyle w:val="ab"/>
        <w:numPr>
          <w:ilvl w:val="0"/>
          <w:numId w:val="9"/>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A47A16" w:rsidRDefault="00A47A16">
      <w:pPr>
        <w:spacing w:line="300" w:lineRule="exact"/>
        <w:ind w:leftChars="-1" w:left="-2" w:rightChars="15" w:right="36"/>
        <w:rPr>
          <w:color w:val="000000" w:themeColor="text1"/>
        </w:rPr>
      </w:pPr>
    </w:p>
    <w:p w14:paraId="077AB4B2" w14:textId="77777777" w:rsidR="00A47A16" w:rsidRDefault="00E74674">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约定可以列入的其他费用。管理人因管理、运营理财产品发生的税费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33E6E7A9"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：B类份额不收取认购费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，D类份额不收取认购费，H类份额不收取认购费，</w:t>
      </w:r>
      <w:r>
        <w:rPr>
          <w:rFonts w:ascii="楷体_GB2312" w:eastAsia="楷体_GB2312" w:cs="楷体_GB2312"/>
          <w:b/>
          <w:color w:val="000000" w:themeColor="text1"/>
          <w:sz w:val="20"/>
          <w:szCs w:val="20"/>
        </w:rPr>
        <w:t>L类份额不收取认购费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类份额不收取认购费。</w:t>
      </w:r>
    </w:p>
    <w:p w14:paraId="3C520487"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：B类份额不收取申购费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，D类份额不收取申购费，H类份额不收取申购费，</w:t>
      </w:r>
      <w:r>
        <w:rPr>
          <w:rFonts w:ascii="楷体_GB2312" w:eastAsia="楷体_GB2312" w:cs="楷体_GB2312"/>
          <w:b/>
          <w:color w:val="000000" w:themeColor="text1"/>
          <w:sz w:val="20"/>
          <w:szCs w:val="20"/>
        </w:rPr>
        <w:t>L类份额不收取申购费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类份额不收取申购费。</w:t>
      </w:r>
    </w:p>
    <w:p w14:paraId="0E9E9CF0"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4．赎回费：B类份额不收取赎回费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，D类份额不收取赎回费，H类份额不收取赎回费，</w:t>
      </w:r>
      <w:r>
        <w:rPr>
          <w:rFonts w:ascii="楷体_GB2312" w:eastAsia="楷体_GB2312" w:cs="楷体_GB2312"/>
          <w:b/>
          <w:color w:val="000000" w:themeColor="text1"/>
          <w:sz w:val="20"/>
          <w:szCs w:val="20"/>
        </w:rPr>
        <w:t>L类份额不收取赎回费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449B16BD"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0CC42F73"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B类份额费率【0.40%】/年，</w:t>
      </w:r>
      <w:r>
        <w:rPr>
          <w:rFonts w:ascii="楷体_GB2312" w:eastAsia="楷体_GB2312" w:cs="楷体_GB2312" w:hint="eastAsia"/>
          <w:b/>
          <w:color w:val="000000" w:themeColor="text1"/>
          <w:sz w:val="20"/>
          <w:szCs w:val="20"/>
        </w:rPr>
        <w:t>A</w:t>
      </w:r>
      <w:r>
        <w:rPr>
          <w:rFonts w:ascii="楷体_GB2312" w:eastAsia="楷体_GB2312" w:cs="楷体_GB2312"/>
          <w:b/>
          <w:color w:val="000000" w:themeColor="text1"/>
          <w:sz w:val="20"/>
          <w:szCs w:val="20"/>
        </w:rPr>
        <w:t>类份额费率【0.40%】/年，</w:t>
      </w:r>
      <w:r>
        <w:rPr>
          <w:rFonts w:ascii="楷体_GB2312" w:eastAsia="楷体_GB2312" w:cs="楷体_GB2312" w:hint="eastAsia"/>
          <w:b/>
          <w:color w:val="000000" w:themeColor="text1"/>
          <w:sz w:val="20"/>
          <w:szCs w:val="20"/>
        </w:rPr>
        <w:t>D类份额费率【0.40%】/年，H类份额费率【0.30%】/年，</w:t>
      </w:r>
      <w:r>
        <w:rPr>
          <w:rFonts w:ascii="楷体_GB2312" w:eastAsia="楷体_GB2312" w:cs="楷体_GB2312"/>
          <w:b/>
          <w:color w:val="000000" w:themeColor="text1"/>
          <w:sz w:val="20"/>
          <w:szCs w:val="20"/>
        </w:rPr>
        <w:t>L</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计算方式为【每日销售费=当日理财产品份额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销售费率/365</w:t>
      </w:r>
      <w:r>
        <w:rPr>
          <w:rFonts w:ascii="楷体_GB2312" w:eastAsia="楷体_GB2312" w:cs="楷体_GB2312" w:hint="eastAsia"/>
          <w:b/>
          <w:color w:val="000000" w:themeColor="text1"/>
          <w:sz w:val="20"/>
          <w:szCs w:val="20"/>
        </w:rPr>
        <w:t>。（在首个起息日计算销售服务费时，以产品成立日的实收本金为计提基础，计算托管费、固定管理费时亦参照执行）】</w:t>
      </w:r>
    </w:p>
    <w:p w14:paraId="5D5CF9A3"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w:t>
      </w:r>
      <w:r>
        <w:rPr>
          <w:rFonts w:ascii="楷体_GB2312" w:eastAsia="楷体_GB2312" w:cs="楷体_GB2312"/>
          <w:b/>
          <w:color w:val="000000" w:themeColor="text1"/>
          <w:sz w:val="20"/>
          <w:szCs w:val="20"/>
        </w:rPr>
        <w:t>的销售相关费用以代销机构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p>
    <w:p w14:paraId="350B36B9" w14:textId="77777777" w:rsidR="00A47A16" w:rsidRDefault="00E74674">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2E1B828"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3862BD7C"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w:t>
      </w:r>
      <w:r>
        <w:rPr>
          <w:rFonts w:ascii="楷体_GB2312" w:eastAsia="楷体_GB2312" w:cs="楷体_GB2312"/>
          <w:b/>
          <w:color w:val="000000" w:themeColor="text1"/>
          <w:sz w:val="20"/>
          <w:szCs w:val="20"/>
        </w:rPr>
        <w:t>【0.05%】/年，计算方式为【</w:t>
      </w:r>
      <w:r>
        <w:rPr>
          <w:rFonts w:ascii="楷体_GB2312" w:eastAsia="楷体_GB2312" w:cs="楷体_GB2312" w:hint="eastAsia"/>
          <w:b/>
          <w:color w:val="000000" w:themeColor="text1"/>
          <w:sz w:val="20"/>
          <w:szCs w:val="20"/>
        </w:rPr>
        <w:t>每日托管费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托管费率/365】</w:t>
      </w:r>
      <w:r>
        <w:rPr>
          <w:rFonts w:ascii="楷体_GB2312" w:eastAsia="楷体_GB2312" w:cs="楷体_GB2312" w:hint="eastAsia"/>
          <w:b/>
          <w:color w:val="000000" w:themeColor="text1"/>
          <w:sz w:val="20"/>
          <w:szCs w:val="20"/>
        </w:rPr>
        <w:t>。</w:t>
      </w:r>
    </w:p>
    <w:p w14:paraId="3F0C078D" w14:textId="77777777" w:rsidR="00A47A16" w:rsidRDefault="00E74674">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托管费每日计提，按【年】支付，由管理人向托管人发送指令，托管人复核后从资产中一次性支付。</w:t>
      </w:r>
    </w:p>
    <w:p w14:paraId="4B8A8D54"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．固定管理费</w:t>
      </w:r>
    </w:p>
    <w:p w14:paraId="1D5CB8F1"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每日固定管理费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固定管理费率/365】</w:t>
      </w:r>
      <w:r>
        <w:rPr>
          <w:rFonts w:ascii="楷体_GB2312" w:eastAsia="楷体_GB2312" w:cs="楷体_GB2312" w:hint="eastAsia"/>
          <w:b/>
          <w:color w:val="000000" w:themeColor="text1"/>
          <w:sz w:val="20"/>
          <w:szCs w:val="20"/>
        </w:rPr>
        <w:t>。</w:t>
      </w:r>
    </w:p>
    <w:p w14:paraId="092FBED6"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固定管理费每日计提，按【月】支付，由管理人向托管人发送指令，托管人复核后从资产中一次性支付。</w:t>
      </w:r>
    </w:p>
    <w:p w14:paraId="07B8BD96"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8</w:t>
      </w:r>
      <w:r>
        <w:rPr>
          <w:rFonts w:ascii="楷体_GB2312" w:eastAsia="楷体_GB2312" w:cs="楷体_GB2312" w:hint="eastAsia"/>
          <w:bCs/>
          <w:color w:val="000000" w:themeColor="text1"/>
          <w:sz w:val="20"/>
          <w:szCs w:val="20"/>
        </w:rPr>
        <w:t>．</w:t>
      </w:r>
      <w:r>
        <w:rPr>
          <w:rFonts w:ascii="楷体_GB2312" w:eastAsia="楷体_GB2312" w:cs="楷体_GB2312" w:hint="eastAsia"/>
          <w:b/>
          <w:color w:val="000000" w:themeColor="text1"/>
          <w:sz w:val="20"/>
          <w:szCs w:val="20"/>
        </w:rPr>
        <w:t>浮动管理费</w:t>
      </w:r>
    </w:p>
    <w:p w14:paraId="179E48AC"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r>
        <w:rPr>
          <w:rFonts w:ascii="楷体_GB2312" w:eastAsia="楷体_GB2312" w:cs="楷体_GB2312" w:hint="eastAsia"/>
          <w:b/>
          <w:color w:val="000000" w:themeColor="text1"/>
          <w:sz w:val="20"/>
          <w:szCs w:val="20"/>
        </w:rPr>
        <w:t>。</w:t>
      </w:r>
    </w:p>
    <w:p w14:paraId="3264B1CB"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67779BA9"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D类份额不收取浮动管理费。</w:t>
      </w:r>
    </w:p>
    <w:p w14:paraId="15267DC1"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H类份额不收取浮动管理费。</w:t>
      </w:r>
    </w:p>
    <w:p w14:paraId="00B31EC6"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72B0343E"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028149A5"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类份额不收取浮动管理费。</w:t>
      </w:r>
    </w:p>
    <w:p w14:paraId="34F2E2C2"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类份额不收取浮动管理费。</w:t>
      </w:r>
    </w:p>
    <w:p w14:paraId="0CE3DCDD"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类份额不收取浮动管理费。</w:t>
      </w:r>
    </w:p>
    <w:p w14:paraId="7A578090"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类份额不收取浮动管理费。</w:t>
      </w:r>
    </w:p>
    <w:p w14:paraId="0E5981A1"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9.</w:t>
      </w:r>
      <w:r>
        <w:rPr>
          <w:rFonts w:ascii="楷体_GB2312" w:eastAsia="楷体_GB2312" w:cs="楷体_GB2312" w:hint="eastAsia"/>
          <w:b/>
          <w:color w:val="000000" w:themeColor="text1"/>
          <w:sz w:val="20"/>
          <w:szCs w:val="20"/>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约定应由产品承担的费用等，按照实际发生时从产品资产中列支。</w:t>
      </w:r>
    </w:p>
    <w:p w14:paraId="5BE6C0E6" w14:textId="77777777" w:rsidR="00A47A16" w:rsidRDefault="00A47A16">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A47A16" w:rsidRDefault="00E74674">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6F4FD646"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2F819987"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本产品的估值日为产品开放日、净值披露日和收益分配日</w:t>
      </w:r>
      <w:r>
        <w:rPr>
          <w:rFonts w:ascii="楷体_GB2312" w:eastAsia="楷体_GB2312" w:cs="楷体_GB2312"/>
          <w:color w:val="000000" w:themeColor="text1"/>
          <w:sz w:val="20"/>
          <w:szCs w:val="20"/>
        </w:rPr>
        <w:t>。</w:t>
      </w:r>
    </w:p>
    <w:p w14:paraId="44B247B3"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0F0DEB4D"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lastRenderedPageBreak/>
        <w:t>【</w:t>
      </w:r>
      <w:proofErr w:type="gramEnd"/>
      <w:r>
        <w:rPr>
          <w:rFonts w:ascii="楷体_GB2312" w:eastAsia="楷体_GB2312" w:cs="楷体_GB2312"/>
          <w:color w:val="000000" w:themeColor="text1"/>
          <w:sz w:val="20"/>
          <w:szCs w:val="20"/>
        </w:rPr>
        <w:t>本产品投资的各类资产采用</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摊余成本法</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进行计量，即计价对象以买入成本列示，按照票面利率或协议利率并考虑其买入时的溢价与折价，在剩余存续期内按照实际利率法摊销，每日计提损益。</w:t>
      </w:r>
    </w:p>
    <w:p w14:paraId="2408B002"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7C54F7B1"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62AF3FA1"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7828E6EA"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采用“摊余成本法”计量。</w:t>
      </w:r>
    </w:p>
    <w:p w14:paraId="542FA0A2"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3）未上市基金估值</w:t>
      </w:r>
    </w:p>
    <w:p w14:paraId="423249FB"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1E4D07F0"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0C364F4B"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5）其它符合监管要求的资产，以产品管理人和托管人共同认可的满足法律法规以及监管部门最新规定的方法估值。</w:t>
      </w:r>
    </w:p>
    <w:p w14:paraId="1A8CA034"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F38883F"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ascii="楷体_GB2312" w:eastAsia="楷体_GB2312" w:cs="楷体_GB2312" w:hint="eastAsia"/>
          <w:color w:val="000000" w:themeColor="text1"/>
          <w:sz w:val="20"/>
          <w:szCs w:val="20"/>
        </w:rPr>
        <w:t>】</w:t>
      </w:r>
    </w:p>
    <w:p w14:paraId="1C2E5254"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本产品对投资对象采用摊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法计量的，可能会出现被计价对象的其他可参考公允价值指标</w:t>
      </w:r>
      <w:proofErr w:type="gramStart"/>
      <w:r>
        <w:rPr>
          <w:rFonts w:ascii="楷体_GB2312" w:eastAsia="楷体_GB2312" w:cs="楷体_GB2312" w:hint="eastAsia"/>
          <w:color w:val="000000" w:themeColor="text1"/>
          <w:sz w:val="20"/>
          <w:szCs w:val="20"/>
        </w:rPr>
        <w:t>和摊余成本</w:t>
      </w:r>
      <w:proofErr w:type="gramEnd"/>
      <w:r>
        <w:rPr>
          <w:rFonts w:ascii="楷体_GB2312" w:eastAsia="楷体_GB2312" w:cs="楷体_GB2312" w:hint="eastAsia"/>
          <w:color w:val="000000" w:themeColor="text1"/>
          <w:sz w:val="20"/>
          <w:szCs w:val="20"/>
        </w:rPr>
        <w:t>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应当暂停接受认购/申购并在5个交易日内将正偏离度绝对值调整到0.5%以内。当负偏离度绝对值达到0.25%时，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应当在5个交易日内将负偏离度绝对值调整到0.25%以内。当负偏离度绝对值达到0.5%时，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应当采取相应措施，将负偏离度绝对值控制在0.5%以内。当负偏离度绝对值连续两个交易日超过0.5%时，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应当采用公允价值估值方法对持有投资组合的账面价值进行调整</w:t>
      </w:r>
      <w:r>
        <w:rPr>
          <w:rFonts w:ascii="楷体_GB2312" w:eastAsia="楷体_GB2312" w:cs="楷体_GB2312" w:hint="eastAsia"/>
          <w:color w:val="000000" w:themeColor="text1"/>
          <w:sz w:val="20"/>
          <w:szCs w:val="20"/>
        </w:rPr>
        <w:t>，或者采取暂停接受所有赎回申请并终止产品合同进行财产清算等措施。当</w:t>
      </w:r>
      <w:r>
        <w:rPr>
          <w:rFonts w:ascii="楷体_GB2312" w:eastAsia="楷体_GB2312" w:cs="楷体_GB2312"/>
          <w:color w:val="000000" w:themeColor="text1"/>
          <w:sz w:val="20"/>
          <w:szCs w:val="20"/>
        </w:rPr>
        <w:t>发生</w:t>
      </w:r>
      <w:r>
        <w:rPr>
          <w:rFonts w:ascii="楷体_GB2312" w:eastAsia="楷体_GB2312" w:cs="楷体_GB2312" w:hint="eastAsia"/>
          <w:color w:val="000000" w:themeColor="text1"/>
          <w:sz w:val="20"/>
          <w:szCs w:val="20"/>
        </w:rPr>
        <w:t>上述情形时，管理人将及时通知投资者。</w:t>
      </w:r>
    </w:p>
    <w:p w14:paraId="262A45CF"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w:t>
      </w:r>
      <w:r>
        <w:rPr>
          <w:rFonts w:ascii="楷体_GB2312" w:eastAsia="楷体_GB2312" w:cs="楷体_GB2312"/>
          <w:color w:val="000000" w:themeColor="text1"/>
          <w:sz w:val="20"/>
          <w:szCs w:val="20"/>
        </w:rPr>
        <w:t>估值方法进行估值</w:t>
      </w:r>
      <w:r>
        <w:rPr>
          <w:rFonts w:ascii="楷体_GB2312" w:eastAsia="楷体_GB2312" w:cs="楷体_GB2312" w:hint="eastAsia"/>
          <w:color w:val="000000" w:themeColor="text1"/>
          <w:sz w:val="20"/>
          <w:szCs w:val="20"/>
        </w:rPr>
        <w:t>时</w:t>
      </w:r>
      <w:r>
        <w:rPr>
          <w:rFonts w:ascii="楷体_GB2312" w:eastAsia="楷体_GB2312" w:cs="楷体_GB2312"/>
          <w:color w:val="000000" w:themeColor="text1"/>
          <w:sz w:val="20"/>
          <w:szCs w:val="20"/>
        </w:rPr>
        <w:t>，所造成的误差不作为理财产品估值错误处理。</w:t>
      </w:r>
    </w:p>
    <w:p w14:paraId="3CF87670"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r>
        <w:rPr>
          <w:rFonts w:ascii="楷体_GB2312" w:eastAsia="楷体_GB2312" w:hint="eastAsia"/>
          <w:color w:val="000000" w:themeColor="text1"/>
          <w:sz w:val="20"/>
          <w:szCs w:val="20"/>
        </w:rPr>
        <w:t>；</w:t>
      </w:r>
    </w:p>
    <w:p w14:paraId="63CB2A87"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ascii="楷体_GB2312" w:eastAsia="楷体_GB2312" w:hint="eastAsia"/>
          <w:color w:val="000000" w:themeColor="text1"/>
          <w:sz w:val="20"/>
          <w:szCs w:val="20"/>
        </w:rPr>
        <w:t>；</w:t>
      </w:r>
    </w:p>
    <w:p w14:paraId="042B624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ascii="楷体_GB2312" w:eastAsia="楷体_GB2312" w:hint="eastAsia"/>
          <w:color w:val="000000" w:themeColor="text1"/>
          <w:sz w:val="20"/>
          <w:szCs w:val="20"/>
        </w:rPr>
        <w:t>；</w:t>
      </w:r>
    </w:p>
    <w:p w14:paraId="59AE89B9"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r>
        <w:rPr>
          <w:rFonts w:ascii="楷体_GB2312" w:eastAsia="楷体_GB2312" w:hint="eastAsia"/>
          <w:color w:val="000000" w:themeColor="text1"/>
          <w:sz w:val="20"/>
          <w:szCs w:val="20"/>
        </w:rPr>
        <w:t>；</w:t>
      </w:r>
    </w:p>
    <w:p w14:paraId="516D7DB3"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lastRenderedPageBreak/>
        <w:t>E按法律法规规定的其他原则处理估值错误。</w:t>
      </w:r>
    </w:p>
    <w:p w14:paraId="707C1CD5"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olor w:val="000000" w:themeColor="text1"/>
          <w:sz w:val="20"/>
          <w:szCs w:val="20"/>
        </w:rPr>
        <w:t>特殊情况的处理</w:t>
      </w:r>
    </w:p>
    <w:p w14:paraId="57C30470"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ascii="楷体_GB2312" w:eastAsia="楷体_GB2312" w:hint="eastAsia"/>
          <w:color w:val="000000" w:themeColor="text1"/>
          <w:sz w:val="20"/>
          <w:szCs w:val="20"/>
        </w:rPr>
        <w:t>；</w:t>
      </w:r>
    </w:p>
    <w:p w14:paraId="6F8E2FC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561F2DC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非因</w:t>
      </w:r>
      <w:r>
        <w:rPr>
          <w:rFonts w:ascii="楷体_GB2312" w:eastAsia="楷体_GB2312" w:cs="楷体_GB2312"/>
          <w:color w:val="000000" w:themeColor="text1"/>
          <w:sz w:val="20"/>
          <w:szCs w:val="20"/>
        </w:rPr>
        <w:t>管理人主观</w:t>
      </w:r>
      <w:r>
        <w:rPr>
          <w:rFonts w:ascii="楷体_GB2312" w:eastAsia="楷体_GB2312" w:cs="楷体_GB2312" w:hint="eastAsia"/>
          <w:color w:val="000000" w:themeColor="text1"/>
          <w:sz w:val="20"/>
          <w:szCs w:val="20"/>
        </w:rPr>
        <w:t>原因</w:t>
      </w:r>
      <w:r>
        <w:rPr>
          <w:rFonts w:ascii="楷体_GB2312" w:eastAsia="楷体_GB2312" w:cs="楷体_GB2312"/>
          <w:color w:val="000000" w:themeColor="text1"/>
          <w:sz w:val="20"/>
          <w:szCs w:val="20"/>
        </w:rPr>
        <w:t>导致</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A47A16" w:rsidRDefault="00A47A16">
      <w:pPr>
        <w:snapToGrid w:val="0"/>
        <w:spacing w:line="300" w:lineRule="exact"/>
        <w:ind w:firstLine="200"/>
        <w:jc w:val="both"/>
        <w:outlineLvl w:val="0"/>
        <w:rPr>
          <w:rFonts w:ascii="楷体_GB2312" w:eastAsia="楷体_GB2312"/>
          <w:color w:val="000000" w:themeColor="text1"/>
          <w:sz w:val="20"/>
          <w:szCs w:val="20"/>
        </w:rPr>
      </w:pPr>
    </w:p>
    <w:p w14:paraId="76AFFA33" w14:textId="77777777" w:rsidR="00A47A16" w:rsidRDefault="00E74674">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A47A16" w:rsidRDefault="00E74674">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A47A16" w:rsidRDefault="00E74674">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76E8E5A3" w14:textId="77777777" w:rsidR="00A47A16" w:rsidRDefault="00A47A16">
      <w:pPr>
        <w:spacing w:line="300" w:lineRule="exact"/>
        <w:ind w:leftChars="-1" w:left="-2" w:rightChars="15" w:right="36" w:firstLineChars="200" w:firstLine="480"/>
        <w:jc w:val="both"/>
        <w:rPr>
          <w:color w:val="000000" w:themeColor="text1"/>
        </w:rPr>
      </w:pPr>
    </w:p>
    <w:p w14:paraId="1A62C1FE" w14:textId="77777777" w:rsidR="00A47A16" w:rsidRDefault="00E74674">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1）遇不可抗力事件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2）遇国家金融政策出现重大调整，或本产品所投资资产市场价格大幅下滑，</w:t>
      </w:r>
      <w:proofErr w:type="gramStart"/>
      <w:r>
        <w:rPr>
          <w:rFonts w:ascii="楷体_GB2312" w:eastAsia="楷体_GB2312" w:cs="楷体_GB2312"/>
          <w:color w:val="000000" w:themeColor="text1"/>
          <w:sz w:val="20"/>
          <w:szCs w:val="20"/>
        </w:rPr>
        <w:t>或信银理财</w:t>
      </w:r>
      <w:proofErr w:type="gramEnd"/>
      <w:r>
        <w:rPr>
          <w:rFonts w:ascii="楷体_GB2312" w:eastAsia="楷体_GB2312" w:cs="楷体_GB2312"/>
          <w:color w:val="000000" w:themeColor="text1"/>
          <w:sz w:val="20"/>
          <w:szCs w:val="20"/>
        </w:rPr>
        <w:t>认为将影响理财产品正常运作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3）本产品所投资资产的信用状况发生恶化，</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合理判断可能影响到期正常兑付时；</w:t>
      </w:r>
    </w:p>
    <w:p w14:paraId="5E7D4182"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p>
    <w:p w14:paraId="06470840" w14:textId="77777777" w:rsidR="00A47A16" w:rsidRDefault="00E74674">
      <w:pPr>
        <w:snapToGrid w:val="0"/>
        <w:spacing w:line="300" w:lineRule="exact"/>
        <w:ind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5）因相关投资管理机构解散、破产、撤销、被取消业务资格等原因无法继续履行相应职责导致产品无法继续运作；</w:t>
      </w:r>
    </w:p>
    <w:p w14:paraId="6E142191"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6）相关投资管理机构或运用理财资金的第三</w:t>
      </w:r>
      <w:proofErr w:type="gramStart"/>
      <w:r>
        <w:rPr>
          <w:rFonts w:ascii="楷体_GB2312" w:eastAsia="楷体_GB2312" w:cs="楷体_GB2312"/>
          <w:color w:val="000000" w:themeColor="text1"/>
          <w:sz w:val="20"/>
          <w:szCs w:val="20"/>
        </w:rPr>
        <w:t>方主体</w:t>
      </w:r>
      <w:proofErr w:type="gramEnd"/>
      <w:r>
        <w:rPr>
          <w:rFonts w:ascii="楷体_GB2312" w:eastAsia="楷体_GB2312" w:cs="楷体_GB2312"/>
          <w:color w:val="000000" w:themeColor="text1"/>
          <w:sz w:val="20"/>
          <w:szCs w:val="20"/>
        </w:rPr>
        <w:t>实施符合法律法规规定或协议等相关文件约定的行为导致理财产品被动提前终止；</w:t>
      </w:r>
    </w:p>
    <w:p w14:paraId="155898DC"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7）提前终止产品比维持产品运作更有利于保护产品持有人的权益；</w:t>
      </w:r>
    </w:p>
    <w:p w14:paraId="02ECFA08"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8）法律法规规定或监管部门认定的其他情形。</w:t>
      </w:r>
    </w:p>
    <w:p w14:paraId="5840AAAB" w14:textId="77777777" w:rsidR="00A47A16" w:rsidRDefault="00E74674">
      <w:pPr>
        <w:snapToGrid w:val="0"/>
        <w:spacing w:line="300" w:lineRule="exact"/>
        <w:ind w:leftChars="-1" w:left="-2" w:firstLineChars="200" w:firstLine="400"/>
        <w:jc w:val="both"/>
        <w:outlineLvl w:val="0"/>
        <w:rPr>
          <w:color w:val="000000" w:themeColor="text1"/>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A47A16" w:rsidRDefault="00E74674">
      <w:pPr>
        <w:snapToGrid w:val="0"/>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3536177A" w14:textId="77777777" w:rsidR="00A47A16" w:rsidRDefault="00A47A16">
      <w:pPr>
        <w:snapToGrid w:val="0"/>
        <w:spacing w:line="300" w:lineRule="exact"/>
        <w:ind w:leftChars="-1" w:left="-2" w:firstLineChars="200" w:firstLine="400"/>
        <w:jc w:val="both"/>
        <w:rPr>
          <w:rFonts w:ascii="楷体_GB2312" w:eastAsia="楷体_GB2312" w:cs="楷体_GB2312"/>
          <w:color w:val="000000" w:themeColor="text1"/>
          <w:sz w:val="20"/>
          <w:szCs w:val="20"/>
        </w:rPr>
      </w:pPr>
    </w:p>
    <w:p w14:paraId="1399FA79" w14:textId="77777777" w:rsidR="00A47A16" w:rsidRDefault="00E74674">
      <w:pPr>
        <w:snapToGrid w:val="0"/>
        <w:spacing w:line="300" w:lineRule="exact"/>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A47A16" w:rsidRDefault="00E74674">
      <w:pPr>
        <w:snapToGrid w:val="0"/>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Times New Roman" w:eastAsia="楷体_GB2312" w:hAnsi="Times New Roman" w:cs="楷体_GB2312" w:hint="eastAsia"/>
          <w:color w:val="000000" w:themeColor="text1"/>
          <w:sz w:val="20"/>
          <w:szCs w:val="20"/>
        </w:rPr>
        <w:t>则信银理财</w:t>
      </w:r>
      <w:proofErr w:type="gramEnd"/>
      <w:r>
        <w:rPr>
          <w:rFonts w:ascii="Times New Roman" w:eastAsia="楷体_GB2312" w:hAnsi="Times New Roman"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A47A16" w:rsidRDefault="00E74674">
      <w:pPr>
        <w:spacing w:line="300" w:lineRule="exact"/>
        <w:ind w:left="402" w:rightChars="12" w:right="29" w:hangingChars="200" w:hanging="402"/>
        <w:rPr>
          <w:rFonts w:ascii="Times New Roman" w:hAnsi="Times New Roman"/>
          <w:b/>
          <w:bCs/>
          <w:color w:val="000000" w:themeColor="text1"/>
          <w:sz w:val="20"/>
          <w:szCs w:val="20"/>
        </w:rPr>
      </w:pPr>
      <w:r>
        <w:rPr>
          <w:rFonts w:ascii="Times New Roman" w:hAnsi="Times New Roman"/>
          <w:b/>
          <w:bCs/>
          <w:color w:val="000000" w:themeColor="text1"/>
          <w:sz w:val="20"/>
          <w:szCs w:val="20"/>
        </w:rPr>
        <w:t> </w:t>
      </w:r>
    </w:p>
    <w:p w14:paraId="7C7CD1E4" w14:textId="77777777" w:rsidR="00A47A16" w:rsidRDefault="00E74674">
      <w:pPr>
        <w:snapToGrid w:val="0"/>
        <w:spacing w:line="300" w:lineRule="exact"/>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产品管理人声明与保证</w:t>
      </w:r>
    </w:p>
    <w:p w14:paraId="4F0DBA95" w14:textId="77777777" w:rsidR="00A47A16" w:rsidRDefault="00E74674">
      <w:pPr>
        <w:snapToGrid w:val="0"/>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产品管理人具有开办理财业务的经营资质，保证以诚实守信、勤勉尽职的原则管理和运用理财资金；</w:t>
      </w:r>
    </w:p>
    <w:p w14:paraId="5CBBD146"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产品管理人具有完全适当的资格和能力订立与履行本理财产品合同。</w:t>
      </w:r>
    </w:p>
    <w:p w14:paraId="2C5860E5"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投资者声明与保证</w:t>
      </w:r>
    </w:p>
    <w:p w14:paraId="5589EB56"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投资者具有完全民事行为能力，有完全适当的资格与能力订立并履行本理财产品销售文件，不存在法律、行政法规有关规定禁止或限制投资理财产品的情形（适用于个人投资者）。</w:t>
      </w:r>
    </w:p>
    <w:p w14:paraId="27161A49"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15FB2668"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或资料发生变更，应当及时书面告知产品管理人或代销机构；</w:t>
      </w:r>
    </w:p>
    <w:p w14:paraId="5EFD2CFC"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投资者声明熟悉理财产品类型特征及不同销售渠道的法律法规规定；</w:t>
      </w:r>
    </w:p>
    <w:p w14:paraId="31B3AB25"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4）</w:t>
      </w:r>
      <w:r>
        <w:rPr>
          <w:rFonts w:ascii="Times New Roman" w:eastAsia="楷体_GB2312" w:hAnsi="Times New Roman" w:cs="楷体_GB2312" w:hint="eastAsia"/>
          <w:b/>
          <w:color w:val="000000" w:themeColor="text1"/>
          <w:sz w:val="20"/>
          <w:szCs w:val="20"/>
        </w:rPr>
        <w:t>投资者承诺：如委托他人购买本产品，代理人须出具具有法律效力的授权委托书；</w:t>
      </w:r>
    </w:p>
    <w:p w14:paraId="54B97DFC"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5）</w:t>
      </w:r>
      <w:r>
        <w:rPr>
          <w:rFonts w:ascii="Times New Roman" w:eastAsia="楷体_GB2312" w:hAnsi="Times New Roman" w:cs="楷体_GB2312" w:hint="eastAsia"/>
          <w:b/>
          <w:color w:val="000000" w:themeColor="text1"/>
          <w:sz w:val="20"/>
          <w:szCs w:val="20"/>
        </w:rPr>
        <w:t>投资者保证理财投资资金来源和用途合法，保证可向产品管理人和代销机构提供合法筹集的证明文件；</w:t>
      </w:r>
    </w:p>
    <w:p w14:paraId="6B231AB0"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6）</w:t>
      </w:r>
      <w:r>
        <w:rPr>
          <w:rFonts w:ascii="Times New Roman" w:eastAsia="楷体_GB2312" w:hAnsi="Times New Roman" w:cs="楷体_GB2312" w:hint="eastAsia"/>
          <w:b/>
          <w:color w:val="000000" w:themeColor="text1"/>
          <w:sz w:val="20"/>
          <w:szCs w:val="20"/>
        </w:rPr>
        <w:t>投资者不利用本理财业务及本理财产品销售文件项下理财产品从事违法活动；</w:t>
      </w:r>
    </w:p>
    <w:p w14:paraId="3CC3D297"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7）</w:t>
      </w:r>
      <w:r>
        <w:rPr>
          <w:rFonts w:ascii="Times New Roman" w:eastAsia="楷体_GB2312" w:hAnsi="Times New Roman" w:cs="楷体_GB2312" w:hint="eastAsia"/>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代销机构开展投资者身份识</w:t>
      </w:r>
      <w:r>
        <w:rPr>
          <w:rFonts w:ascii="Times New Roman" w:eastAsia="楷体_GB2312" w:hAnsi="Times New Roman" w:cs="楷体_GB2312" w:hint="eastAsia"/>
          <w:b/>
          <w:color w:val="000000" w:themeColor="text1"/>
          <w:sz w:val="20"/>
          <w:szCs w:val="20"/>
        </w:rPr>
        <w:lastRenderedPageBreak/>
        <w:t>别、交易记录保存、投资者身份及交易背景尽职调查、大额和可疑交易报告等各项反洗钱工作，并按要求提供相关证明材料；</w:t>
      </w:r>
    </w:p>
    <w:p w14:paraId="3F72C00D"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8）</w:t>
      </w:r>
      <w:r>
        <w:rPr>
          <w:rFonts w:ascii="Times New Roman" w:eastAsia="楷体_GB2312" w:hAnsi="Times New Roman" w:cs="楷体_GB2312" w:hint="eastAsia"/>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hint="eastAsia"/>
          <w:b/>
          <w:color w:val="000000" w:themeColor="text1"/>
          <w:sz w:val="20"/>
          <w:szCs w:val="20"/>
        </w:rPr>
        <w:t>涉恐及反洗</w:t>
      </w:r>
      <w:proofErr w:type="gramEnd"/>
      <w:r>
        <w:rPr>
          <w:rFonts w:ascii="Times New Roman" w:eastAsia="楷体_GB2312" w:hAnsi="Times New Roman" w:cs="楷体_GB2312" w:hint="eastAsia"/>
          <w:b/>
          <w:color w:val="000000" w:themeColor="text1"/>
          <w:sz w:val="20"/>
          <w:szCs w:val="20"/>
        </w:rPr>
        <w:t>钱相关风险名单内的企业或个人；</w:t>
      </w:r>
      <w:proofErr w:type="gramStart"/>
      <w:r>
        <w:rPr>
          <w:rFonts w:ascii="Times New Roman" w:eastAsia="楷体_GB2312" w:hAnsi="Times New Roman" w:cs="楷体_GB2312" w:hint="eastAsia"/>
          <w:b/>
          <w:color w:val="000000" w:themeColor="text1"/>
          <w:sz w:val="20"/>
          <w:szCs w:val="20"/>
        </w:rPr>
        <w:t>不</w:t>
      </w:r>
      <w:proofErr w:type="gramEnd"/>
      <w:r>
        <w:rPr>
          <w:rFonts w:ascii="Times New Roman" w:eastAsia="楷体_GB2312" w:hAnsi="Times New Roman" w:cs="楷体_GB2312" w:hint="eastAsia"/>
          <w:b/>
          <w:color w:val="000000" w:themeColor="text1"/>
          <w:sz w:val="20"/>
          <w:szCs w:val="20"/>
        </w:rPr>
        <w:t>位于被联合国、欧盟或美国等制裁的国家和地区；</w:t>
      </w:r>
    </w:p>
    <w:p w14:paraId="303E7A5B"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9）</w:t>
      </w:r>
      <w:r>
        <w:rPr>
          <w:rFonts w:ascii="Times New Roman" w:eastAsia="楷体_GB2312" w:hAnsi="Times New Roman" w:cs="楷体_GB2312" w:hint="eastAsia"/>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双方同意</w:t>
      </w:r>
    </w:p>
    <w:p w14:paraId="6750B681"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未经产品管理人同意，投资者不得向任何第三人转让、赠与本理财产品销售文件或本理财产品销售文件项下的任何权利、利益、权益（包括单独和整体）；</w:t>
      </w:r>
    </w:p>
    <w:p w14:paraId="3D469198"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产品管理人不承担对第三人支付本产品项下投资者清算产品后分配金额以及相关权益的责任，法律法规另有规定的除外。</w:t>
      </w:r>
    </w:p>
    <w:p w14:paraId="574C540D" w14:textId="77777777" w:rsidR="00A47A16" w:rsidRDefault="00A47A16">
      <w:pPr>
        <w:spacing w:line="300" w:lineRule="exact"/>
        <w:ind w:left="400" w:hangingChars="200" w:hanging="400"/>
        <w:jc w:val="both"/>
        <w:rPr>
          <w:rFonts w:ascii="黑体" w:eastAsia="黑体" w:cs="黑体"/>
          <w:color w:val="000000" w:themeColor="text1"/>
          <w:sz w:val="20"/>
          <w:szCs w:val="20"/>
        </w:rPr>
      </w:pPr>
    </w:p>
    <w:p w14:paraId="26415CC7" w14:textId="77777777" w:rsidR="00A47A16" w:rsidRDefault="00E74674">
      <w:pPr>
        <w:spacing w:line="300" w:lineRule="exact"/>
        <w:ind w:left="402" w:hangingChars="200" w:hanging="402"/>
        <w:jc w:val="both"/>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A47A16" w:rsidRDefault="00E74674">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A47A16" w:rsidRDefault="00E74674">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hint="eastAsia"/>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hint="eastAsia"/>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hint="eastAsia"/>
          <w:b/>
          <w:color w:val="000000" w:themeColor="text1"/>
          <w:sz w:val="20"/>
          <w:szCs w:val="20"/>
        </w:rPr>
        <w:t>）本产品说明书另有约定的。前述保密义务不因本理财产品销售文件或相关协议的无效、被撤销、终止而受影响。</w:t>
      </w:r>
    </w:p>
    <w:p w14:paraId="3A0FF350" w14:textId="77777777" w:rsidR="00A47A16" w:rsidRDefault="00E74674">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根据监管机构要求，管理人（特指除本理财产品的管理</w:t>
      </w:r>
      <w:proofErr w:type="gramStart"/>
      <w:r>
        <w:rPr>
          <w:rFonts w:ascii="Times New Roman" w:eastAsia="楷体_GB2312" w:hAnsi="Times New Roman" w:cs="楷体_GB2312" w:hint="eastAsia"/>
          <w:b/>
          <w:color w:val="000000" w:themeColor="text1"/>
          <w:sz w:val="20"/>
          <w:szCs w:val="20"/>
        </w:rPr>
        <w:t>人信银理财</w:t>
      </w:r>
      <w:proofErr w:type="gramEnd"/>
      <w:r>
        <w:rPr>
          <w:rFonts w:ascii="Times New Roman" w:eastAsia="楷体_GB2312" w:hAnsi="Times New Roman" w:cs="楷体_GB2312" w:hint="eastAsia"/>
          <w:b/>
          <w:color w:val="000000" w:themeColor="text1"/>
          <w:sz w:val="20"/>
          <w:szCs w:val="20"/>
        </w:rPr>
        <w:t>之外的其他管理人，包括但不限于本理财产品所投资的信托计划、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理财在前述范围内向相关方提供投资者身份信息、持仓信息等相关信息。</w:t>
      </w:r>
    </w:p>
    <w:p w14:paraId="39DC8A1D" w14:textId="77777777" w:rsidR="00A47A16" w:rsidRDefault="00A47A16">
      <w:pPr>
        <w:spacing w:line="300" w:lineRule="exact"/>
        <w:ind w:rightChars="12" w:right="29"/>
        <w:rPr>
          <w:rFonts w:ascii="黑体" w:eastAsia="黑体" w:cs="黑体"/>
          <w:color w:val="000000" w:themeColor="text1"/>
          <w:sz w:val="20"/>
          <w:szCs w:val="20"/>
        </w:rPr>
      </w:pPr>
    </w:p>
    <w:p w14:paraId="5CAB5F76" w14:textId="77777777" w:rsidR="00A47A16" w:rsidRDefault="00E74674">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A47A16" w:rsidRDefault="00E74674">
      <w:pPr>
        <w:spacing w:line="300" w:lineRule="exact"/>
        <w:ind w:rightChars="15" w:right="36" w:firstLineChars="200" w:firstLine="402"/>
        <w:jc w:val="both"/>
        <w:rPr>
          <w:b/>
          <w:color w:val="000000" w:themeColor="text1"/>
        </w:rPr>
      </w:pPr>
      <w:r>
        <w:rPr>
          <w:rFonts w:ascii="楷体_GB2312" w:eastAsia="楷体_GB2312" w:cs="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rPr>
        <w:t>不成立风险、</w:t>
      </w:r>
      <w:r>
        <w:rPr>
          <w:rFonts w:ascii="楷体_GB2312" w:eastAsia="楷体_GB2312" w:cs="楷体_GB2312" w:hint="eastAsia"/>
          <w:b/>
          <w:color w:val="000000" w:themeColor="text1"/>
          <w:sz w:val="20"/>
          <w:szCs w:val="20"/>
        </w:rPr>
        <w:t>不可抗力及</w:t>
      </w:r>
      <w:r>
        <w:rPr>
          <w:rFonts w:ascii="楷体_GB2312" w:eastAsia="楷体_GB2312" w:cs="楷体_GB2312"/>
          <w:b/>
          <w:color w:val="000000" w:themeColor="text1"/>
          <w:sz w:val="20"/>
          <w:szCs w:val="20"/>
        </w:rPr>
        <w:t>意外事件</w:t>
      </w:r>
      <w:r>
        <w:rPr>
          <w:rFonts w:ascii="楷体_GB2312" w:eastAsia="楷体_GB2312" w:cs="楷体_GB2312" w:hint="eastAsia"/>
          <w:b/>
          <w:color w:val="000000" w:themeColor="text1"/>
          <w:sz w:val="20"/>
          <w:szCs w:val="20"/>
        </w:rPr>
        <w:t>风险、理财本金全部损失风险、合作销售机构（代销机构）风险、</w:t>
      </w:r>
      <w:r>
        <w:rPr>
          <w:rFonts w:ascii="楷体_GB2312" w:eastAsia="楷体_GB2312" w:cs="楷体_GB2312"/>
          <w:b/>
          <w:color w:val="000000" w:themeColor="text1"/>
          <w:sz w:val="20"/>
          <w:szCs w:val="20"/>
        </w:rPr>
        <w:t>操作风险</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关联交易风险</w:t>
      </w:r>
      <w:r>
        <w:rPr>
          <w:rFonts w:ascii="楷体_GB2312" w:eastAsia="楷体_GB2312" w:cs="楷体_GB2312" w:hint="eastAsia"/>
          <w:b/>
          <w:color w:val="000000" w:themeColor="text1"/>
          <w:sz w:val="20"/>
          <w:szCs w:val="20"/>
        </w:rPr>
        <w:t>等风险，将可能导致投资者无法</w:t>
      </w:r>
      <w:r>
        <w:rPr>
          <w:rFonts w:ascii="楷体_GB2312" w:eastAsia="楷体_GB2312" w:cs="楷体_GB2312"/>
          <w:b/>
          <w:color w:val="000000" w:themeColor="text1"/>
          <w:sz w:val="20"/>
          <w:szCs w:val="20"/>
        </w:rPr>
        <w:t>取得收益，甚至</w:t>
      </w:r>
      <w:r>
        <w:rPr>
          <w:rFonts w:ascii="楷体_GB2312" w:eastAsia="楷体_GB2312" w:cs="楷体_GB2312" w:hint="eastAsia"/>
          <w:b/>
          <w:color w:val="000000" w:themeColor="text1"/>
          <w:sz w:val="20"/>
          <w:szCs w:val="20"/>
        </w:rPr>
        <w:t>本金蒙受部分或全部损失。由此产生的理财本金和收益损失的风险由投资者自行承担，</w:t>
      </w:r>
      <w:proofErr w:type="gramStart"/>
      <w:r>
        <w:rPr>
          <w:rFonts w:ascii="楷体_GB2312" w:eastAsia="楷体_GB2312" w:cs="楷体_GB2312" w:hint="eastAsia"/>
          <w:b/>
          <w:color w:val="000000" w:themeColor="text1"/>
          <w:sz w:val="20"/>
          <w:szCs w:val="20"/>
        </w:rPr>
        <w:t>信银理财</w:t>
      </w:r>
      <w:proofErr w:type="gramEnd"/>
      <w:r>
        <w:rPr>
          <w:rFonts w:ascii="楷体_GB2312" w:eastAsia="楷体_GB2312" w:cs="楷体_GB2312" w:hint="eastAsia"/>
          <w:b/>
          <w:color w:val="000000" w:themeColor="text1"/>
          <w:sz w:val="20"/>
          <w:szCs w:val="20"/>
        </w:rPr>
        <w:t>不承担任何返还理财本金及收益的保证责任。</w:t>
      </w:r>
      <w:r>
        <w:rPr>
          <w:rFonts w:ascii="楷体_GB2312" w:eastAsia="楷体_GB2312" w:cs="楷体_GB2312"/>
          <w:b/>
          <w:color w:val="000000" w:themeColor="text1"/>
          <w:sz w:val="20"/>
          <w:szCs w:val="20"/>
        </w:rPr>
        <w:t xml:space="preserve">  </w:t>
      </w:r>
    </w:p>
    <w:p w14:paraId="29F9E412" w14:textId="77777777" w:rsidR="00A47A16" w:rsidRDefault="00E74674">
      <w:pPr>
        <w:spacing w:line="300" w:lineRule="exact"/>
        <w:ind w:rightChars="15" w:right="36"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hint="eastAsia"/>
          <w:b/>
          <w:color w:val="000000" w:themeColor="text1"/>
          <w:sz w:val="20"/>
          <w:szCs w:val="20"/>
        </w:rPr>
        <w:t>构成信银</w:t>
      </w:r>
      <w:proofErr w:type="gramEnd"/>
      <w:r>
        <w:rPr>
          <w:rFonts w:ascii="楷体_GB2312" w:eastAsia="楷体_GB2312" w:cs="楷体_GB2312" w:hint="eastAsia"/>
          <w:b/>
          <w:color w:val="000000" w:themeColor="text1"/>
          <w:sz w:val="20"/>
          <w:szCs w:val="20"/>
        </w:rPr>
        <w:t>理财对本理财产品的任何收益承诺。</w:t>
      </w:r>
    </w:p>
    <w:p w14:paraId="72AF3F7B"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关于费用</w:t>
      </w:r>
    </w:p>
    <w:p w14:paraId="482353AF"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1）双方确认：本产品说明书约定的收费标准经双方协商确定，双方均认可该收费标准。</w:t>
      </w:r>
    </w:p>
    <w:p w14:paraId="0B19690B"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lastRenderedPageBreak/>
        <w:t>（</w:t>
      </w:r>
      <w:r>
        <w:rPr>
          <w:rFonts w:ascii="楷体_GB2312" w:eastAsia="楷体_GB2312"/>
          <w:b/>
          <w:color w:val="000000" w:themeColor="text1"/>
          <w:sz w:val="20"/>
          <w:szCs w:val="20"/>
        </w:rPr>
        <w:t>2</w:t>
      </w:r>
      <w:r>
        <w:rPr>
          <w:rFonts w:ascii="楷体_GB2312" w:eastAsia="楷体_GB2312" w:hint="eastAsia"/>
          <w:b/>
          <w:color w:val="000000" w:themeColor="text1"/>
          <w:sz w:val="20"/>
          <w:szCs w:val="20"/>
        </w:rPr>
        <w:t>）限制与例外条款：</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535CFF28"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咨询</w:t>
      </w:r>
      <w:r>
        <w:rPr>
          <w:rFonts w:ascii="楷体_GB2312" w:eastAsia="楷体_GB2312"/>
          <w:b/>
          <w:color w:val="000000" w:themeColor="text1"/>
          <w:sz w:val="20"/>
          <w:szCs w:val="20"/>
        </w:rPr>
        <w:t>与投诉：</w:t>
      </w:r>
      <w:r>
        <w:rPr>
          <w:rFonts w:ascii="楷体_GB2312" w:eastAsia="楷体_GB2312" w:hint="eastAsia"/>
          <w:b/>
          <w:color w:val="000000" w:themeColor="text1"/>
          <w:sz w:val="20"/>
          <w:szCs w:val="20"/>
        </w:rPr>
        <w:t>投资者对本理财产品有任何建议、意见或投诉，请联系信银</w:t>
      </w:r>
      <w:proofErr w:type="gramStart"/>
      <w:r>
        <w:rPr>
          <w:rFonts w:ascii="楷体_GB2312" w:eastAsia="楷体_GB2312" w:hint="eastAsia"/>
          <w:b/>
          <w:color w:val="000000" w:themeColor="text1"/>
          <w:sz w:val="20"/>
          <w:szCs w:val="20"/>
        </w:rPr>
        <w:t>理财理财</w:t>
      </w:r>
      <w:proofErr w:type="gramEnd"/>
      <w:r>
        <w:rPr>
          <w:rFonts w:ascii="楷体_GB2312" w:eastAsia="楷体_GB2312" w:hint="eastAsia"/>
          <w:b/>
          <w:color w:val="000000" w:themeColor="text1"/>
          <w:sz w:val="20"/>
          <w:szCs w:val="20"/>
        </w:rPr>
        <w:t>经理，或反馈</w:t>
      </w:r>
      <w:proofErr w:type="gramStart"/>
      <w:r>
        <w:rPr>
          <w:rFonts w:ascii="楷体_GB2312" w:eastAsia="楷体_GB2312" w:hint="eastAsia"/>
          <w:b/>
          <w:color w:val="000000" w:themeColor="text1"/>
          <w:sz w:val="20"/>
          <w:szCs w:val="20"/>
        </w:rPr>
        <w:t>至信银理财</w:t>
      </w:r>
      <w:proofErr w:type="gramEnd"/>
      <w:r>
        <w:rPr>
          <w:rFonts w:ascii="楷体_GB2312" w:eastAsia="楷体_GB2312" w:hint="eastAsia"/>
          <w:b/>
          <w:color w:val="000000" w:themeColor="text1"/>
          <w:sz w:val="20"/>
          <w:szCs w:val="20"/>
        </w:rPr>
        <w:t>营业场所，或</w:t>
      </w:r>
      <w:proofErr w:type="gramStart"/>
      <w:r>
        <w:rPr>
          <w:rFonts w:ascii="楷体_GB2312" w:eastAsia="楷体_GB2312" w:hint="eastAsia"/>
          <w:b/>
          <w:color w:val="000000" w:themeColor="text1"/>
          <w:sz w:val="20"/>
          <w:szCs w:val="20"/>
        </w:rPr>
        <w:t>拨打信银</w:t>
      </w:r>
      <w:proofErr w:type="gramEnd"/>
      <w:r>
        <w:rPr>
          <w:rFonts w:ascii="楷体_GB2312" w:eastAsia="楷体_GB2312" w:hint="eastAsia"/>
          <w:b/>
          <w:color w:val="000000" w:themeColor="text1"/>
          <w:sz w:val="20"/>
          <w:szCs w:val="20"/>
        </w:rPr>
        <w:t>理财客户服务热线【</w:t>
      </w:r>
      <w:r>
        <w:rPr>
          <w:rFonts w:ascii="楷体_GB2312" w:eastAsia="楷体_GB2312"/>
          <w:b/>
          <w:color w:val="000000" w:themeColor="text1"/>
          <w:sz w:val="20"/>
          <w:szCs w:val="20"/>
        </w:rPr>
        <w:t>950950，工作时间为工作日8：30-20：30</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理财网站【http://www.citic-wealth.com/</w:t>
      </w:r>
      <w:r>
        <w:rPr>
          <w:rFonts w:ascii="楷体_GB2312" w:eastAsia="楷体_GB2312" w:hint="eastAsia"/>
          <w:b/>
          <w:color w:val="000000" w:themeColor="text1"/>
          <w:sz w:val="20"/>
          <w:szCs w:val="20"/>
        </w:rPr>
        <w:t>】进行查询。</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w:t>
      </w:r>
      <w:r>
        <w:rPr>
          <w:rFonts w:ascii="楷体_GB2312" w:eastAsia="楷体_GB2312" w:cs="楷体_GB2312" w:hint="eastAsia"/>
          <w:b/>
          <w:bCs/>
          <w:color w:val="000000" w:themeColor="text1"/>
          <w:sz w:val="20"/>
          <w:szCs w:val="20"/>
        </w:rPr>
        <w:t>．</w:t>
      </w:r>
      <w:r>
        <w:rPr>
          <w:rFonts w:ascii="楷体_GB2312" w:eastAsia="楷体_GB2312"/>
          <w:b/>
          <w:color w:val="000000" w:themeColor="text1"/>
          <w:sz w:val="20"/>
          <w:szCs w:val="20"/>
        </w:rPr>
        <w:t>本产品说明书中</w:t>
      </w:r>
      <w:r>
        <w:rPr>
          <w:rFonts w:ascii="楷体_GB2312" w:eastAsia="楷体_GB2312" w:hint="eastAsia"/>
          <w:b/>
          <w:color w:val="000000" w:themeColor="text1"/>
          <w:sz w:val="20"/>
          <w:szCs w:val="20"/>
        </w:rPr>
        <w:t>关于</w:t>
      </w:r>
      <w:r>
        <w:rPr>
          <w:rFonts w:ascii="楷体_GB2312" w:eastAsia="楷体_GB2312"/>
          <w:b/>
          <w:color w:val="000000" w:themeColor="text1"/>
          <w:sz w:val="20"/>
          <w:szCs w:val="20"/>
        </w:rPr>
        <w:t>时间</w:t>
      </w:r>
      <w:r>
        <w:rPr>
          <w:rFonts w:ascii="楷体_GB2312" w:eastAsia="楷体_GB2312" w:hint="eastAsia"/>
          <w:b/>
          <w:color w:val="000000" w:themeColor="text1"/>
          <w:sz w:val="20"/>
          <w:szCs w:val="20"/>
        </w:rPr>
        <w:t>的</w:t>
      </w:r>
      <w:r>
        <w:rPr>
          <w:rFonts w:ascii="楷体_GB2312" w:eastAsia="楷体_GB2312"/>
          <w:b/>
          <w:color w:val="000000" w:themeColor="text1"/>
          <w:sz w:val="20"/>
          <w:szCs w:val="20"/>
        </w:rPr>
        <w:t>标准</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5CEFD091"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6</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w:t>
      </w:r>
      <w:r>
        <w:rPr>
          <w:rFonts w:ascii="楷体_GB2312" w:eastAsia="楷体_GB2312" w:hint="eastAsia"/>
          <w:b/>
          <w:color w:val="000000" w:themeColor="text1"/>
          <w:sz w:val="20"/>
          <w:szCs w:val="20"/>
        </w:rPr>
        <w:t>解释</w:t>
      </w:r>
      <w:r>
        <w:rPr>
          <w:rFonts w:ascii="楷体_GB2312" w:eastAsia="楷体_GB2312"/>
          <w:b/>
          <w:color w:val="000000" w:themeColor="text1"/>
          <w:sz w:val="20"/>
          <w:szCs w:val="20"/>
        </w:rPr>
        <w:t>。</w:t>
      </w:r>
    </w:p>
    <w:p w14:paraId="31B57527" w14:textId="77777777" w:rsidR="00A47A16" w:rsidRDefault="00A47A16">
      <w:pPr>
        <w:spacing w:line="300" w:lineRule="exact"/>
        <w:ind w:rightChars="12" w:right="29" w:firstLineChars="214" w:firstLine="428"/>
        <w:rPr>
          <w:rFonts w:ascii="黑体" w:eastAsia="黑体" w:hAnsi="Times New Roman" w:cs="黑体"/>
          <w:color w:val="000000" w:themeColor="text1"/>
          <w:sz w:val="20"/>
          <w:szCs w:val="20"/>
        </w:rPr>
      </w:pPr>
    </w:p>
    <w:p w14:paraId="195C27EC"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A47A16" w:rsidRDefault="00A47A16">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A47A16" w:rsidRDefault="00E74674">
      <w:pPr>
        <w:spacing w:line="300" w:lineRule="exact"/>
        <w:ind w:left="402" w:rightChars="12" w:right="29" w:hangingChars="200" w:hanging="402"/>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十八、免责内容</w:t>
      </w:r>
    </w:p>
    <w:p w14:paraId="29661E97" w14:textId="77777777" w:rsidR="00A47A16" w:rsidRDefault="00E74674">
      <w:pPr>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因法律法规或监管政策变化、自然灾害、意外事故、战争、系统故障、通讯故障等信银</w:t>
      </w:r>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客观不能预见、不能避免、不能克服的不可</w:t>
      </w:r>
      <w:r>
        <w:rPr>
          <w:rFonts w:ascii="楷体_GB2312" w:eastAsia="楷体_GB2312"/>
          <w:b/>
          <w:color w:val="000000" w:themeColor="text1"/>
          <w:sz w:val="20"/>
          <w:szCs w:val="20"/>
        </w:rPr>
        <w:t>抗</w:t>
      </w:r>
      <w:r>
        <w:rPr>
          <w:rFonts w:ascii="楷体_GB2312" w:eastAsia="楷体_GB2312" w:hint="eastAsia"/>
          <w:b/>
          <w:color w:val="000000" w:themeColor="text1"/>
          <w:sz w:val="20"/>
          <w:szCs w:val="20"/>
        </w:rPr>
        <w:t>力事件</w:t>
      </w:r>
      <w:r>
        <w:rPr>
          <w:rFonts w:ascii="楷体_GB2312" w:eastAsia="楷体_GB2312"/>
          <w:b/>
          <w:color w:val="000000" w:themeColor="text1"/>
          <w:sz w:val="20"/>
          <w:szCs w:val="20"/>
        </w:rPr>
        <w:t>或意外</w:t>
      </w:r>
      <w:r>
        <w:rPr>
          <w:rFonts w:ascii="楷体_GB2312" w:eastAsia="楷体_GB2312" w:hint="eastAsia"/>
          <w:b/>
          <w:color w:val="000000" w:themeColor="text1"/>
          <w:sz w:val="20"/>
          <w:szCs w:val="20"/>
        </w:rPr>
        <w:t>事件，</w:t>
      </w:r>
      <w:proofErr w:type="gramStart"/>
      <w:r>
        <w:rPr>
          <w:rFonts w:ascii="楷体_GB2312" w:eastAsia="楷体_GB2312" w:hint="eastAsia"/>
          <w:b/>
          <w:color w:val="000000" w:themeColor="text1"/>
          <w:sz w:val="20"/>
          <w:szCs w:val="20"/>
        </w:rPr>
        <w:t>导致信银</w:t>
      </w:r>
      <w:proofErr w:type="gramEnd"/>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无法或延后履行本产品说明书有关义务的，</w:t>
      </w:r>
      <w:proofErr w:type="gramStart"/>
      <w:r>
        <w:rPr>
          <w:rFonts w:ascii="楷体_GB2312" w:eastAsia="楷体_GB2312" w:hint="eastAsia"/>
          <w:b/>
          <w:color w:val="000000" w:themeColor="text1"/>
          <w:sz w:val="20"/>
          <w:szCs w:val="20"/>
        </w:rPr>
        <w:t>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w:t>
      </w:r>
      <w:r>
        <w:rPr>
          <w:rFonts w:ascii="楷体_GB2312" w:eastAsia="楷体_GB2312" w:hint="eastAsia"/>
          <w:b/>
          <w:color w:val="000000" w:themeColor="text1"/>
          <w:sz w:val="20"/>
          <w:szCs w:val="20"/>
        </w:rPr>
        <w:t>前述约定</w:t>
      </w:r>
      <w:proofErr w:type="gramStart"/>
      <w:r>
        <w:rPr>
          <w:rFonts w:ascii="楷体_GB2312" w:eastAsia="楷体_GB2312" w:hint="eastAsia"/>
          <w:b/>
          <w:color w:val="000000" w:themeColor="text1"/>
          <w:sz w:val="20"/>
          <w:szCs w:val="20"/>
        </w:rPr>
        <w:t>不</w:t>
      </w:r>
      <w:proofErr w:type="gramEnd"/>
      <w:r>
        <w:rPr>
          <w:rFonts w:ascii="楷体_GB2312" w:eastAsia="楷体_GB2312" w:hint="eastAsia"/>
          <w:b/>
          <w:color w:val="000000" w:themeColor="text1"/>
          <w:sz w:val="20"/>
          <w:szCs w:val="20"/>
        </w:rPr>
        <w:t>免除</w:t>
      </w:r>
      <w:proofErr w:type="gramStart"/>
      <w:r>
        <w:rPr>
          <w:rFonts w:ascii="楷体_GB2312" w:eastAsia="楷体_GB2312" w:hint="eastAsia"/>
          <w:b/>
          <w:color w:val="000000" w:themeColor="text1"/>
          <w:sz w:val="20"/>
          <w:szCs w:val="20"/>
        </w:rPr>
        <w:t>因信银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A47A16" w:rsidRDefault="00A47A16">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14:paraId="56CED952" w14:textId="77777777" w:rsidR="00A47A16" w:rsidRDefault="00E74674">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A47A16" w:rsidRDefault="00E74674">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A47A16" w:rsidRDefault="00A47A16">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2050AF65" w14:textId="77777777" w:rsidR="00A47A16" w:rsidRDefault="00E74674">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5265700F" w14:textId="77777777" w:rsidR="00A47A16" w:rsidRDefault="00E74674">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A47A16" w:rsidRDefault="00E74674">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p>
    <w:p w14:paraId="7B823334"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A47A16" w:rsidRDefault="00E74674">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p>
    <w:p w14:paraId="2A095DDA" w14:textId="77777777" w:rsidR="00A47A16" w:rsidRDefault="00E74674">
      <w:pPr>
        <w:rPr>
          <w:rFonts w:ascii="黑体" w:eastAsia="黑体"/>
          <w:b/>
          <w:bCs/>
          <w:color w:val="000000"/>
        </w:rPr>
      </w:pPr>
      <w:r>
        <w:rPr>
          <w:rFonts w:ascii="黑体" w:eastAsia="黑体" w:hint="eastAsia"/>
          <w:b/>
          <w:bCs/>
          <w:color w:val="000000"/>
        </w:rPr>
        <w:lastRenderedPageBreak/>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A47A16" w:rsidRDefault="00A47A16">
      <w:pPr>
        <w:spacing w:line="300" w:lineRule="exact"/>
        <w:ind w:leftChars="-1" w:left="-2" w:rightChars="15" w:right="36"/>
        <w:rPr>
          <w:rFonts w:ascii="黑体" w:eastAsia="黑体" w:hAnsi="Times New Roman"/>
          <w:color w:val="000000" w:themeColor="text1"/>
        </w:rPr>
      </w:pPr>
    </w:p>
    <w:p w14:paraId="07BABF14" w14:textId="77777777" w:rsidR="00A47A16" w:rsidRDefault="00E74674">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A47A16" w:rsidRDefault="00E74674">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A47A16" w:rsidRDefault="00E74674">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A47A16" w:rsidRDefault="00E74674">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A47A16" w:rsidRDefault="00A47A16">
      <w:pPr>
        <w:ind w:rightChars="-376" w:right="-902"/>
        <w:rPr>
          <w:rFonts w:ascii="黑体" w:eastAsia="黑体" w:hAnsi="Times New Roman"/>
          <w:color w:val="000000" w:themeColor="text1"/>
        </w:rPr>
      </w:pPr>
    </w:p>
    <w:p w14:paraId="699E1322" w14:textId="77777777" w:rsidR="00A47A16" w:rsidRDefault="00E74674">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A47A16" w:rsidRDefault="00E74674">
      <w:pPr>
        <w:ind w:rightChars="-376" w:right="-902"/>
        <w:rPr>
          <w:color w:val="000000" w:themeColor="text1"/>
        </w:rPr>
      </w:pPr>
      <w:r>
        <w:rPr>
          <w:rFonts w:ascii="黑体" w:eastAsia="黑体" w:hAnsi="Times New Roman"/>
          <w:color w:val="000000" w:themeColor="text1"/>
        </w:rPr>
        <w:t> </w:t>
      </w:r>
    </w:p>
    <w:p w14:paraId="6D494930" w14:textId="77777777" w:rsidR="00A47A16" w:rsidRDefault="00E74674">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A47A16" w:rsidRDefault="00E74674">
      <w:pPr>
        <w:ind w:rightChars="-376" w:right="-902"/>
        <w:rPr>
          <w:color w:val="000000" w:themeColor="text1"/>
        </w:rPr>
      </w:pPr>
      <w:r>
        <w:rPr>
          <w:rFonts w:ascii="黑体" w:eastAsia="黑体" w:hAnsi="Times New Roman"/>
          <w:color w:val="000000" w:themeColor="text1"/>
        </w:rPr>
        <w:t> </w:t>
      </w:r>
    </w:p>
    <w:p w14:paraId="4FA994EA" w14:textId="77777777" w:rsidR="00A47A16" w:rsidRDefault="00E74674">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A47A16" w:rsidRDefault="00A47A16">
      <w:pPr>
        <w:ind w:rightChars="-376" w:right="-902"/>
        <w:rPr>
          <w:rFonts w:ascii="黑体" w:eastAsia="黑体" w:hAnsi="Times New Roman"/>
          <w:color w:val="000000" w:themeColor="text1"/>
        </w:rPr>
      </w:pPr>
    </w:p>
    <w:p w14:paraId="10DB7BCE" w14:textId="77777777" w:rsidR="00A47A16" w:rsidRDefault="00A47A16">
      <w:pPr>
        <w:ind w:rightChars="-376" w:right="-902"/>
        <w:rPr>
          <w:color w:val="000000" w:themeColor="text1"/>
        </w:rPr>
      </w:pPr>
    </w:p>
    <w:p w14:paraId="37C2A661" w14:textId="77777777" w:rsidR="00A47A16" w:rsidRDefault="00A47A16">
      <w:pPr>
        <w:spacing w:line="300" w:lineRule="exact"/>
        <w:ind w:leftChars="-1" w:left="-2" w:rightChars="15" w:right="36"/>
        <w:rPr>
          <w:rFonts w:ascii="黑体" w:eastAsia="黑体" w:hAnsi="Times New Roman"/>
          <w:color w:val="000000" w:themeColor="text1"/>
        </w:rPr>
      </w:pPr>
    </w:p>
    <w:p w14:paraId="4175BB1E" w14:textId="77777777" w:rsidR="00A47A16" w:rsidRDefault="00A47A16">
      <w:pPr>
        <w:spacing w:line="300" w:lineRule="exact"/>
        <w:ind w:leftChars="-1" w:left="-2" w:rightChars="15" w:right="36"/>
        <w:rPr>
          <w:color w:val="000000" w:themeColor="text1"/>
        </w:rPr>
      </w:pPr>
    </w:p>
    <w:sectPr w:rsidR="00A47A16">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FD9EB" w14:textId="77777777" w:rsidR="00DD521B" w:rsidRDefault="00DD521B">
      <w:r>
        <w:separator/>
      </w:r>
    </w:p>
  </w:endnote>
  <w:endnote w:type="continuationSeparator" w:id="0">
    <w:p w14:paraId="004CEC51" w14:textId="77777777" w:rsidR="00DD521B" w:rsidRDefault="00DD5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D3A47" w14:textId="77777777" w:rsidR="00A47A16" w:rsidRDefault="00E74674">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2025CF" w:rsidRPr="002025CF">
      <w:rPr>
        <w:noProof/>
        <w:color w:val="000000" w:themeColor="text1"/>
        <w:lang w:val="zh-CN"/>
      </w:rPr>
      <w:t>4</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2025CF">
      <w:rPr>
        <w:noProof/>
        <w:color w:val="000000" w:themeColor="text1"/>
      </w:rPr>
      <w:t>4</w:t>
    </w:r>
    <w:r>
      <w:rPr>
        <w:color w:val="000000" w:themeColor="text1"/>
      </w:rPr>
      <w:fldChar w:fldCharType="end"/>
    </w:r>
    <w:r>
      <w:rPr>
        <w:rFonts w:hint="eastAsia"/>
        <w:color w:val="000000" w:themeColor="text1"/>
      </w:rPr>
      <w:t>页</w:t>
    </w:r>
  </w:p>
  <w:p w14:paraId="3F5FB0EA" w14:textId="77777777" w:rsidR="00A47A16" w:rsidRDefault="00A47A16">
    <w:pPr>
      <w:pStyle w:val="a5"/>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51D30" w14:textId="77777777" w:rsidR="00A47A16" w:rsidRDefault="00E74674">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2025CF" w:rsidRPr="002025CF">
      <w:rPr>
        <w:noProof/>
        <w:color w:val="000000" w:themeColor="text1"/>
        <w:lang w:val="zh-CN"/>
      </w:rPr>
      <w:t>15</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2025CF">
      <w:rPr>
        <w:noProof/>
        <w:color w:val="000000" w:themeColor="text1"/>
      </w:rPr>
      <w:t>36</w:t>
    </w:r>
    <w:r>
      <w:rPr>
        <w:color w:val="000000" w:themeColor="text1"/>
      </w:rPr>
      <w:fldChar w:fldCharType="end"/>
    </w:r>
    <w:r>
      <w:rPr>
        <w:rFonts w:hint="eastAsia"/>
        <w:color w:val="000000" w:themeColor="text1"/>
      </w:rPr>
      <w:t>页</w:t>
    </w:r>
  </w:p>
  <w:p w14:paraId="7ACD776D" w14:textId="77777777" w:rsidR="00A47A16" w:rsidRDefault="00A47A16">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4DB14" w14:textId="77777777" w:rsidR="00DD521B" w:rsidRDefault="00DD521B">
      <w:r>
        <w:separator/>
      </w:r>
    </w:p>
  </w:footnote>
  <w:footnote w:type="continuationSeparator" w:id="0">
    <w:p w14:paraId="2F31A56D" w14:textId="77777777" w:rsidR="00DD521B" w:rsidRDefault="00DD5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D73A0" w14:textId="77777777" w:rsidR="00A47A16" w:rsidRDefault="00E74674">
    <w:pPr>
      <w:pStyle w:val="a6"/>
      <w:jc w:val="right"/>
    </w:pPr>
    <w: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9DD0" w14:textId="77777777" w:rsidR="00A47A16" w:rsidRDefault="00E74674">
    <w:pPr>
      <w:pStyle w:val="a6"/>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07FD3"/>
    <w:multiLevelType w:val="singleLevel"/>
    <w:tmpl w:val="04007FD3"/>
    <w:lvl w:ilvl="0">
      <w:start w:val="2"/>
      <w:numFmt w:val="decimal"/>
      <w:lvlText w:val="%1."/>
      <w:lvlJc w:val="left"/>
      <w:pPr>
        <w:tabs>
          <w:tab w:val="left" w:pos="312"/>
        </w:tabs>
      </w:pPr>
    </w:lvl>
  </w:abstractNum>
  <w:abstractNum w:abstractNumId="1">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2">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3">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4">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5">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6">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9">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6"/>
  </w:num>
  <w:num w:numId="2">
    <w:abstractNumId w:val="2"/>
  </w:num>
  <w:num w:numId="3">
    <w:abstractNumId w:val="0"/>
  </w:num>
  <w:num w:numId="4">
    <w:abstractNumId w:val="5"/>
  </w:num>
  <w:num w:numId="5">
    <w:abstractNumId w:val="9"/>
  </w:num>
  <w:num w:numId="6">
    <w:abstractNumId w:val="8"/>
  </w:num>
  <w:num w:numId="7">
    <w:abstractNumId w:val="4"/>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B4F6EE6D"/>
    <w:rsid w:val="B7FFC826"/>
    <w:rsid w:val="BECFC637"/>
    <w:rsid w:val="CCF4A6B1"/>
    <w:rsid w:val="EADC2597"/>
    <w:rsid w:val="EB6C672A"/>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65CC2"/>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5173"/>
    <w:rsid w:val="001A720A"/>
    <w:rsid w:val="001A74E8"/>
    <w:rsid w:val="001A7BE3"/>
    <w:rsid w:val="001B01FF"/>
    <w:rsid w:val="001B1C1B"/>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5CF"/>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173F"/>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9AD"/>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5F69C5"/>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46AC"/>
    <w:rsid w:val="009A689E"/>
    <w:rsid w:val="009B0089"/>
    <w:rsid w:val="009B1DC4"/>
    <w:rsid w:val="009B4622"/>
    <w:rsid w:val="009B56EF"/>
    <w:rsid w:val="009B58EC"/>
    <w:rsid w:val="009B5B81"/>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47A16"/>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A3BFD"/>
    <w:rsid w:val="00AA5CB2"/>
    <w:rsid w:val="00AA6F26"/>
    <w:rsid w:val="00AA707F"/>
    <w:rsid w:val="00AA7BEB"/>
    <w:rsid w:val="00AB3DC6"/>
    <w:rsid w:val="00AB4AB1"/>
    <w:rsid w:val="00AB4C0B"/>
    <w:rsid w:val="00AB7DF7"/>
    <w:rsid w:val="00AC2BE4"/>
    <w:rsid w:val="00AC42F8"/>
    <w:rsid w:val="00AC550D"/>
    <w:rsid w:val="00AC6333"/>
    <w:rsid w:val="00AC6572"/>
    <w:rsid w:val="00AD05BE"/>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1ED"/>
    <w:rsid w:val="00B41274"/>
    <w:rsid w:val="00B41994"/>
    <w:rsid w:val="00B43C8F"/>
    <w:rsid w:val="00B45671"/>
    <w:rsid w:val="00B47537"/>
    <w:rsid w:val="00B51166"/>
    <w:rsid w:val="00B55BD2"/>
    <w:rsid w:val="00B55E40"/>
    <w:rsid w:val="00B574BD"/>
    <w:rsid w:val="00B57718"/>
    <w:rsid w:val="00B6170E"/>
    <w:rsid w:val="00B618B2"/>
    <w:rsid w:val="00B62647"/>
    <w:rsid w:val="00B640A5"/>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63F"/>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0FC"/>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46A1"/>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65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0D7C"/>
    <w:rsid w:val="00DB47F8"/>
    <w:rsid w:val="00DB7CB3"/>
    <w:rsid w:val="00DC075A"/>
    <w:rsid w:val="00DC1D1B"/>
    <w:rsid w:val="00DC2073"/>
    <w:rsid w:val="00DC3342"/>
    <w:rsid w:val="00DC3443"/>
    <w:rsid w:val="00DC61EB"/>
    <w:rsid w:val="00DD339B"/>
    <w:rsid w:val="00DD351D"/>
    <w:rsid w:val="00DD36EA"/>
    <w:rsid w:val="00DD521B"/>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4AD8"/>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4674"/>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2AD7"/>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16766474"/>
    <w:rsid w:val="29BFC1DD"/>
    <w:rsid w:val="2B7F3D56"/>
    <w:rsid w:val="39402337"/>
    <w:rsid w:val="3FE1C6CC"/>
    <w:rsid w:val="4DED180A"/>
    <w:rsid w:val="4FF7DBC1"/>
    <w:rsid w:val="54F974BE"/>
    <w:rsid w:val="578EADB6"/>
    <w:rsid w:val="598A78EB"/>
    <w:rsid w:val="5A380F0B"/>
    <w:rsid w:val="5B1C54E4"/>
    <w:rsid w:val="650B63FE"/>
    <w:rsid w:val="686B0D4F"/>
    <w:rsid w:val="6D53E079"/>
    <w:rsid w:val="6FA30FEF"/>
    <w:rsid w:val="75FB5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9EF612-9115-4DDE-B779-A6D66303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tic-wealth.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EF523735-00F4-4C19-86BA-5CAF65B5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42</Pages>
  <Words>7481</Words>
  <Characters>42644</Characters>
  <Application>Microsoft Office Word</Application>
  <DocSecurity>0</DocSecurity>
  <Lines>355</Lines>
  <Paragraphs>100</Paragraphs>
  <ScaleCrop>false</ScaleCrop>
  <Company>citicbank</Company>
  <LinksUpToDate>false</LinksUpToDate>
  <CharactersWithSpaces>50025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141</cp:revision>
  <cp:lastPrinted>2024-03-15T08:50:00Z</cp:lastPrinted>
  <dcterms:created xsi:type="dcterms:W3CDTF">2023-09-16T01:52:00Z</dcterms:created>
  <dcterms:modified xsi:type="dcterms:W3CDTF">2025-11-07T10:04:00Z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5B8703658C1AA1414AC0D367DCDDCAEF_42</vt:lpwstr>
  </property>
</Properties>
</file>