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84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:rsidR="00F60D4E" w:rsidRPr="00B623FD" w:rsidTr="0083109F">
        <w:trPr>
          <w:trHeight w:hRule="exact" w:val="1800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:rsidR="00F60D4E" w:rsidRPr="00B623FD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B623FD">
              <w:trPr>
                <w:trHeight w:hRule="exact" w:val="4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0E7CB5">
                  <w:pPr>
                    <w:jc w:val="left"/>
                    <w:rPr>
                      <w:rFonts w:asciiTheme="minorEastAsia" w:hAnsiTheme="minorEastAsia"/>
                    </w:rPr>
                  </w:pPr>
                  <w:r w:rsidRPr="00B623FD">
                    <w:rPr>
                      <w:rFonts w:asciiTheme="minorEastAsia" w:hAnsiTheme="minorEastAsia"/>
                      <w:noProof/>
                    </w:rPr>
                    <w:drawing>
                      <wp:inline distT="0" distB="0" distL="0" distR="0" wp14:anchorId="7A79D940" wp14:editId="2F906E8D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F60D4E" w:rsidRPr="00B623FD">
              <w:trPr>
                <w:trHeight w:hRule="exact" w:val="600"/>
              </w:trPr>
              <w:tc>
                <w:tcPr>
                  <w:tcW w:w="6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4000" w:type="dxa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12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60D4E" w:rsidRPr="00B623FD" w:rsidRDefault="007E34AB">
                  <w:pPr>
                    <w:jc w:val="center"/>
                    <w:rPr>
                      <w:rFonts w:asciiTheme="minorEastAsia" w:hAnsiTheme="minorEastAsia"/>
                    </w:rPr>
                  </w:pPr>
                  <w:r w:rsidRPr="00B623FD">
                    <w:rPr>
                      <w:rFonts w:asciiTheme="minorEastAsia" w:hAnsiTheme="minorEastAsia" w:cs="微软雅黑CD" w:hint="eastAsia"/>
                      <w:b/>
                      <w:color w:val="FFFFFF"/>
                      <w:sz w:val="36"/>
                    </w:rPr>
                    <w:t>理财产品临时</w:t>
                  </w:r>
                  <w:r w:rsidRPr="00B623FD">
                    <w:rPr>
                      <w:rFonts w:asciiTheme="minorEastAsia" w:hAnsiTheme="minorEastAsia" w:cs="微软雅黑CD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:rsidR="00F60D4E" w:rsidRPr="00B623FD" w:rsidRDefault="00F60D4E">
                  <w:pPr>
                    <w:pStyle w:val="EMPTYCELLSTYLE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  <w:tr w:rsidR="00F60D4E" w:rsidRPr="00B623FD" w:rsidTr="0083109F">
        <w:trPr>
          <w:trHeight w:hRule="exact" w:val="200"/>
        </w:trPr>
        <w:tc>
          <w:tcPr>
            <w:tcW w:w="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6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6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6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000" w:type="dxa"/>
          </w:tcPr>
          <w:p w:rsidR="00F60D4E" w:rsidRPr="00B623FD" w:rsidRDefault="00F60D4E">
            <w:pPr>
              <w:pStyle w:val="EMPTYCELLSTYLE"/>
              <w:rPr>
                <w:rFonts w:asciiTheme="minorEastAsia" w:eastAsiaTheme="minorEastAsia" w:hAnsiTheme="minorEastAsia"/>
              </w:rPr>
            </w:pPr>
          </w:p>
        </w:tc>
      </w:tr>
    </w:tbl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黑体"/>
          <w:sz w:val="32"/>
          <w:szCs w:val="32"/>
        </w:rPr>
      </w:pPr>
    </w:p>
    <w:p w:rsidR="00B30A36" w:rsidRDefault="000348C4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0348C4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信银理财日盈象天天利155号现金管理型理财产品</w:t>
      </w:r>
    </w:p>
    <w:p w:rsidR="0083109F" w:rsidRPr="00B623FD" w:rsidRDefault="0065712B" w:rsidP="0083109F">
      <w:pPr>
        <w:pStyle w:val="p0"/>
        <w:snapToGrid w:val="0"/>
        <w:spacing w:before="0" w:beforeAutospacing="0" w:after="0" w:afterAutospacing="0" w:line="560" w:lineRule="atLeast"/>
        <w:jc w:val="center"/>
        <w:rPr>
          <w:rFonts w:asciiTheme="minorEastAsia" w:eastAsiaTheme="minorEastAsia" w:hAnsiTheme="minorEastAsia" w:cs="微软雅黑CD"/>
          <w:b/>
          <w:color w:val="000000"/>
          <w:sz w:val="32"/>
          <w:szCs w:val="20"/>
        </w:rPr>
      </w:pPr>
      <w:r w:rsidRPr="00B623F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增加合作销售机构</w:t>
      </w:r>
      <w:r w:rsidR="004727B5" w:rsidRPr="00B623FD">
        <w:rPr>
          <w:rFonts w:asciiTheme="minorEastAsia" w:eastAsiaTheme="minorEastAsia" w:hAnsiTheme="minorEastAsia" w:cs="微软雅黑CD" w:hint="eastAsia"/>
          <w:b/>
          <w:color w:val="000000"/>
          <w:sz w:val="32"/>
          <w:szCs w:val="20"/>
        </w:rPr>
        <w:t>公告</w:t>
      </w: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jc w:val="both"/>
        <w:rPr>
          <w:rFonts w:asciiTheme="minorEastAsia" w:eastAsiaTheme="minorEastAsia" w:hAnsiTheme="minorEastAsia" w:cs="仿宋_GB2312"/>
          <w:sz w:val="28"/>
          <w:szCs w:val="28"/>
        </w:rPr>
      </w:pPr>
    </w:p>
    <w:p w:rsidR="0083109F" w:rsidRPr="00B623FD" w:rsidRDefault="0083109F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尊敬的客户：</w:t>
      </w:r>
    </w:p>
    <w:p w:rsidR="00693874" w:rsidRPr="00B623FD" w:rsidRDefault="00AF54B6" w:rsidP="00693874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我司决定对</w:t>
      </w:r>
      <w:r w:rsidR="000348C4" w:rsidRPr="000348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信银理财日盈象天天利155号现金管理型理财产品（产品代码：AM244095）</w:t>
      </w:r>
      <w:r w:rsidR="000348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L</w:t>
      </w:r>
      <w:r w:rsidR="000348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/</w:t>
      </w:r>
      <w:r w:rsidR="00E315B0">
        <w:rPr>
          <w:rFonts w:asciiTheme="minorEastAsia" w:eastAsiaTheme="minorEastAsia" w:hAnsiTheme="minorEastAsia" w:cs="微软雅黑CD"/>
          <w:color w:val="000000"/>
          <w:sz w:val="28"/>
          <w:szCs w:val="28"/>
        </w:rPr>
        <w:t>S</w:t>
      </w:r>
      <w:r w:rsidR="00693874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="00693874"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="00693874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增加合作销售机构，具体如下：</w:t>
      </w:r>
      <w:r w:rsidR="00693874"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CA4073" w:rsidRPr="00B623FD" w:rsidRDefault="00CA4073" w:rsidP="00CA4073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一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0348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</w:t>
      </w:r>
      <w:r w:rsidR="000348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AM244095</w:t>
      </w:r>
      <w:r w:rsidR="000348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L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）自202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0348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E315B0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  <w:r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E315B0" w:rsidRPr="00853841" w:rsidRDefault="000348C4" w:rsidP="00E315B0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F467BD">
        <w:rPr>
          <w:rFonts w:asciiTheme="minorEastAsia" w:hAnsiTheme="minorEastAsia" w:cs="微软雅黑CD" w:hint="eastAsia"/>
          <w:color w:val="000000"/>
          <w:sz w:val="28"/>
          <w:szCs w:val="28"/>
        </w:rPr>
        <w:t>1</w:t>
      </w:r>
      <w:r w:rsidR="00E315B0">
        <w:rPr>
          <w:rFonts w:asciiTheme="minorEastAsia" w:hAnsiTheme="minorEastAsia" w:cs="微软雅黑CD"/>
          <w:color w:val="000000"/>
          <w:sz w:val="28"/>
          <w:szCs w:val="28"/>
        </w:rPr>
        <w:t>.</w:t>
      </w:r>
      <w:r w:rsidR="00E315B0"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企业名称：【</w:t>
      </w:r>
      <w:r w:rsidR="00E315B0">
        <w:rPr>
          <w:rFonts w:asciiTheme="minorEastAsia" w:hAnsiTheme="minorEastAsia" w:cs="微软雅黑CD" w:hint="eastAsia"/>
          <w:color w:val="000000"/>
          <w:sz w:val="28"/>
          <w:szCs w:val="28"/>
        </w:rPr>
        <w:t>江苏</w:t>
      </w:r>
      <w:r w:rsidR="00E315B0">
        <w:rPr>
          <w:rFonts w:asciiTheme="minorEastAsia" w:hAnsiTheme="minorEastAsia" w:cs="微软雅黑CD" w:hint="eastAsia"/>
          <w:color w:val="000000"/>
          <w:sz w:val="28"/>
          <w:szCs w:val="28"/>
        </w:rPr>
        <w:t>扬中</w:t>
      </w:r>
      <w:r w:rsidR="00E315B0"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农村商业银行股份有限公司】</w:t>
      </w:r>
    </w:p>
    <w:p w:rsidR="00E315B0" w:rsidRPr="00853841" w:rsidRDefault="00E315B0" w:rsidP="00E315B0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统一社会信用代码：【</w:t>
      </w:r>
      <w:r>
        <w:rPr>
          <w:rFonts w:asciiTheme="minorEastAsia" w:hAnsiTheme="minorEastAsia" w:cs="微软雅黑CD"/>
          <w:color w:val="000000"/>
          <w:sz w:val="28"/>
          <w:szCs w:val="28"/>
        </w:rPr>
        <w:t>91321100591145817W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E315B0" w:rsidRDefault="00E315B0" w:rsidP="00E315B0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hAnsiTheme="minorEastAsia" w:cs="微软雅黑CD" w:hint="eastAsia"/>
          <w:color w:val="000000"/>
          <w:sz w:val="28"/>
          <w:szCs w:val="28"/>
        </w:rPr>
        <w:t>扬中市扬子西路7</w:t>
      </w:r>
      <w:r>
        <w:rPr>
          <w:rFonts w:asciiTheme="minorEastAsia" w:hAnsiTheme="minorEastAsia" w:cs="微软雅黑CD"/>
          <w:color w:val="000000"/>
          <w:sz w:val="28"/>
          <w:szCs w:val="28"/>
        </w:rPr>
        <w:t>9号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E315B0" w:rsidRDefault="00E315B0" w:rsidP="00E315B0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hAnsiTheme="minorEastAsia" w:cs="微软雅黑CD"/>
          <w:color w:val="000000"/>
          <w:sz w:val="28"/>
          <w:szCs w:val="28"/>
        </w:rPr>
        <w:t>051</w:t>
      </w:r>
      <w:r>
        <w:rPr>
          <w:rFonts w:asciiTheme="minorEastAsia" w:hAnsiTheme="minorEastAsia" w:cs="微软雅黑CD"/>
          <w:color w:val="000000"/>
          <w:sz w:val="28"/>
          <w:szCs w:val="28"/>
        </w:rPr>
        <w:t>1</w:t>
      </w:r>
      <w:r>
        <w:rPr>
          <w:rFonts w:asciiTheme="minorEastAsia" w:hAnsiTheme="minorEastAsia" w:cs="微软雅黑CD"/>
          <w:color w:val="000000"/>
          <w:sz w:val="28"/>
          <w:szCs w:val="28"/>
        </w:rPr>
        <w:t>-96008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E315B0" w:rsidRPr="00853841" w:rsidRDefault="000348C4" w:rsidP="00E315B0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hAnsiTheme="minorEastAsia" w:cs="微软雅黑CD"/>
          <w:color w:val="000000"/>
          <w:sz w:val="28"/>
          <w:szCs w:val="28"/>
        </w:rPr>
        <w:t>2</w:t>
      </w:r>
      <w:r w:rsidRPr="00657BA9">
        <w:rPr>
          <w:rFonts w:asciiTheme="minorEastAsia" w:hAnsiTheme="minorEastAsia" w:cs="微软雅黑CD" w:hint="eastAsia"/>
          <w:color w:val="000000"/>
          <w:sz w:val="28"/>
          <w:szCs w:val="28"/>
        </w:rPr>
        <w:t>.</w:t>
      </w:r>
      <w:r w:rsidR="00E315B0"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企业名称：【</w:t>
      </w:r>
      <w:r w:rsidR="00E315B0">
        <w:rPr>
          <w:rFonts w:asciiTheme="minorEastAsia" w:hAnsiTheme="minorEastAsia" w:cs="微软雅黑CD" w:hint="eastAsia"/>
          <w:color w:val="000000"/>
          <w:sz w:val="28"/>
          <w:szCs w:val="28"/>
        </w:rPr>
        <w:t>江苏</w:t>
      </w:r>
      <w:r w:rsidR="00E315B0">
        <w:rPr>
          <w:rFonts w:asciiTheme="minorEastAsia" w:hAnsiTheme="minorEastAsia" w:cs="微软雅黑CD" w:hint="eastAsia"/>
          <w:color w:val="000000"/>
          <w:sz w:val="28"/>
          <w:szCs w:val="28"/>
        </w:rPr>
        <w:t>东台</w:t>
      </w:r>
      <w:r w:rsidR="00E315B0"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农村商业银行股份有限公司】</w:t>
      </w:r>
    </w:p>
    <w:p w:rsidR="00E315B0" w:rsidRPr="00853841" w:rsidRDefault="00E315B0" w:rsidP="00E315B0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统一社会信用代码：【</w:t>
      </w:r>
      <w:r>
        <w:rPr>
          <w:rFonts w:asciiTheme="minorEastAsia" w:hAnsiTheme="minorEastAsia" w:cs="微软雅黑CD"/>
          <w:color w:val="000000"/>
          <w:sz w:val="28"/>
          <w:szCs w:val="28"/>
        </w:rPr>
        <w:t>913209001425654533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E315B0" w:rsidRDefault="00E315B0" w:rsidP="00E315B0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住所：【</w:t>
      </w:r>
      <w:r>
        <w:rPr>
          <w:rFonts w:asciiTheme="minorEastAsia" w:hAnsiTheme="minorEastAsia" w:cs="微软雅黑CD" w:hint="eastAsia"/>
          <w:color w:val="000000"/>
          <w:sz w:val="28"/>
          <w:szCs w:val="28"/>
        </w:rPr>
        <w:t>东台市东城大道1</w:t>
      </w:r>
      <w:r>
        <w:rPr>
          <w:rFonts w:asciiTheme="minorEastAsia" w:hAnsiTheme="minorEastAsia" w:cs="微软雅黑CD"/>
          <w:color w:val="000000"/>
          <w:sz w:val="28"/>
          <w:szCs w:val="28"/>
        </w:rPr>
        <w:t>0号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E315B0" w:rsidRDefault="00E315B0" w:rsidP="00E315B0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客户服务热线：【</w:t>
      </w:r>
      <w:r>
        <w:rPr>
          <w:rFonts w:asciiTheme="minorEastAsia" w:hAnsiTheme="minorEastAsia" w:cs="微软雅黑CD"/>
          <w:color w:val="000000"/>
          <w:sz w:val="28"/>
          <w:szCs w:val="28"/>
        </w:rPr>
        <w:t>051</w:t>
      </w:r>
      <w:r>
        <w:rPr>
          <w:rFonts w:asciiTheme="minorEastAsia" w:hAnsiTheme="minorEastAsia" w:cs="微软雅黑CD"/>
          <w:color w:val="000000"/>
          <w:sz w:val="28"/>
          <w:szCs w:val="28"/>
        </w:rPr>
        <w:t>5</w:t>
      </w:r>
      <w:r>
        <w:rPr>
          <w:rFonts w:asciiTheme="minorEastAsia" w:hAnsiTheme="minorEastAsia" w:cs="微软雅黑CD"/>
          <w:color w:val="000000"/>
          <w:sz w:val="28"/>
          <w:szCs w:val="28"/>
        </w:rPr>
        <w:t>-96008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E315B0" w:rsidRPr="00E315B0" w:rsidRDefault="00E315B0" w:rsidP="00E315B0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3</w:t>
      </w:r>
      <w:r>
        <w:rPr>
          <w:rFonts w:asciiTheme="minorEastAsia" w:eastAsiaTheme="minorEastAsia" w:hAnsiTheme="minorEastAsia" w:cs="微软雅黑CD"/>
          <w:color w:val="000000"/>
          <w:sz w:val="28"/>
          <w:szCs w:val="28"/>
        </w:rPr>
        <w:t>.</w:t>
      </w:r>
      <w:r w:rsidRPr="00E315B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企业名称：【郑州银行股份有限公司】</w:t>
      </w:r>
    </w:p>
    <w:p w:rsidR="00E315B0" w:rsidRPr="00E315B0" w:rsidRDefault="00E315B0" w:rsidP="00E315B0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E315B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统一社会信用代码：【914100001699995779】</w:t>
      </w:r>
    </w:p>
    <w:p w:rsidR="00E315B0" w:rsidRPr="00E315B0" w:rsidRDefault="00E315B0" w:rsidP="00E315B0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</w:pPr>
      <w:r w:rsidRPr="00E315B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住所：【郑州市郑东新区商务外环路22号】</w:t>
      </w:r>
    </w:p>
    <w:p w:rsidR="000348C4" w:rsidRDefault="00E315B0" w:rsidP="00E315B0">
      <w:pPr>
        <w:pStyle w:val="p0"/>
        <w:snapToGrid w:val="0"/>
        <w:spacing w:line="480" w:lineRule="auto"/>
        <w:ind w:leftChars="567" w:left="1134" w:rightChars="504" w:right="1008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E315B0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客户服务热线：【95097】</w:t>
      </w:r>
    </w:p>
    <w:p w:rsidR="00CA4073" w:rsidRDefault="00CA4073" w:rsidP="00C71F4B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</w:p>
    <w:p w:rsidR="004F766D" w:rsidRPr="00B623FD" w:rsidRDefault="00CA4073" w:rsidP="00C71F4B">
      <w:pPr>
        <w:pStyle w:val="p0"/>
        <w:snapToGrid w:val="0"/>
        <w:spacing w:before="0" w:beforeAutospacing="0" w:after="0" w:afterAutospacing="0" w:line="480" w:lineRule="auto"/>
        <w:ind w:leftChars="567" w:left="1134" w:rightChars="504" w:right="1008" w:firstLineChars="200" w:firstLine="560"/>
        <w:contextualSpacing/>
        <w:jc w:val="both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二</w:t>
      </w:r>
      <w:r w:rsidR="0069387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、</w:t>
      </w:r>
      <w:r w:rsidR="00E315B0">
        <w:rPr>
          <w:rFonts w:asciiTheme="minorEastAsia" w:eastAsiaTheme="minorEastAsia" w:hAnsiTheme="minorEastAsia" w:cs="微软雅黑CD"/>
          <w:color w:val="000000"/>
          <w:sz w:val="28"/>
          <w:szCs w:val="28"/>
        </w:rPr>
        <w:t>S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类</w:t>
      </w:r>
      <w:r w:rsidR="004F766D" w:rsidRPr="00B623F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份额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（份额代码</w:t>
      </w:r>
      <w:r w:rsidR="004F766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：</w:t>
      </w:r>
      <w:r w:rsidR="000348C4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AM244095</w:t>
      </w:r>
      <w:r w:rsidR="00E315B0">
        <w:rPr>
          <w:rFonts w:asciiTheme="minorEastAsia" w:eastAsiaTheme="minorEastAsia" w:hAnsiTheme="minorEastAsia" w:cs="微软雅黑CD"/>
          <w:color w:val="000000"/>
          <w:sz w:val="28"/>
          <w:szCs w:val="28"/>
        </w:rPr>
        <w:t>S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）自202</w:t>
      </w:r>
      <w:r w:rsidR="004F766D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C71F4B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0348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E315B0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11</w:t>
      </w:r>
      <w:r w:rsidR="004F766D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日起增加合作销售机构，具体如下：</w:t>
      </w:r>
      <w:r w:rsidR="004F766D" w:rsidRPr="00B623FD" w:rsidDel="00AF54B6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 xml:space="preserve"> </w:t>
      </w:r>
    </w:p>
    <w:p w:rsidR="000348C4" w:rsidRPr="00853841" w:rsidRDefault="000348C4" w:rsidP="000348C4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bookmarkStart w:id="1" w:name="_GoBack"/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1.企业名称：【</w:t>
      </w:r>
      <w:r w:rsidR="00E315B0">
        <w:rPr>
          <w:rFonts w:asciiTheme="minorEastAsia" w:hAnsiTheme="minorEastAsia" w:cs="微软雅黑CD" w:hint="eastAsia"/>
          <w:color w:val="000000"/>
          <w:sz w:val="28"/>
          <w:szCs w:val="28"/>
        </w:rPr>
        <w:t>江苏如东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农村商业银行股份有限公司】</w:t>
      </w:r>
    </w:p>
    <w:p w:rsidR="000348C4" w:rsidRPr="00853841" w:rsidRDefault="000348C4" w:rsidP="000348C4">
      <w:pPr>
        <w:widowControl/>
        <w:snapToGrid w:val="0"/>
        <w:spacing w:line="480" w:lineRule="auto"/>
        <w:ind w:left="1694" w:rightChars="504" w:right="1008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统一社会信用代码：【</w:t>
      </w:r>
      <w:r w:rsidR="00E315B0">
        <w:rPr>
          <w:rFonts w:asciiTheme="minorEastAsia" w:hAnsiTheme="minorEastAsia" w:cs="微软雅黑CD"/>
          <w:color w:val="000000"/>
          <w:sz w:val="28"/>
          <w:szCs w:val="28"/>
        </w:rPr>
        <w:t>91320600050214904J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0348C4" w:rsidRDefault="000348C4" w:rsidP="000348C4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住所：【</w:t>
      </w:r>
      <w:r w:rsidR="00E315B0">
        <w:rPr>
          <w:rFonts w:asciiTheme="minorEastAsia" w:hAnsiTheme="minorEastAsia" w:cs="微软雅黑CD" w:hint="eastAsia"/>
          <w:color w:val="000000"/>
          <w:sz w:val="28"/>
          <w:szCs w:val="28"/>
        </w:rPr>
        <w:t>江苏省如东县掘港镇钟山路6</w:t>
      </w:r>
      <w:r w:rsidR="00E315B0">
        <w:rPr>
          <w:rFonts w:asciiTheme="minorEastAsia" w:hAnsiTheme="minorEastAsia" w:cs="微软雅黑CD"/>
          <w:color w:val="000000"/>
          <w:sz w:val="28"/>
          <w:szCs w:val="28"/>
        </w:rPr>
        <w:t>6号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p w:rsidR="000348C4" w:rsidRDefault="000348C4" w:rsidP="000348C4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hAnsiTheme="minorEastAsia" w:cs="微软雅黑CD"/>
          <w:color w:val="000000"/>
          <w:sz w:val="28"/>
          <w:szCs w:val="28"/>
        </w:rPr>
      </w:pP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客户服务热线：【</w:t>
      </w:r>
      <w:r w:rsidR="00E315B0">
        <w:rPr>
          <w:rFonts w:asciiTheme="minorEastAsia" w:hAnsiTheme="minorEastAsia" w:cs="微软雅黑CD"/>
          <w:color w:val="000000"/>
          <w:sz w:val="28"/>
          <w:szCs w:val="28"/>
        </w:rPr>
        <w:t>0513-96008</w:t>
      </w:r>
      <w:r w:rsidRPr="00853841">
        <w:rPr>
          <w:rFonts w:asciiTheme="minorEastAsia" w:hAnsiTheme="minorEastAsia" w:cs="微软雅黑CD" w:hint="eastAsia"/>
          <w:color w:val="000000"/>
          <w:sz w:val="28"/>
          <w:szCs w:val="28"/>
        </w:rPr>
        <w:t>】</w:t>
      </w:r>
    </w:p>
    <w:bookmarkEnd w:id="1"/>
    <w:p w:rsidR="008F48E5" w:rsidRDefault="008F48E5" w:rsidP="00C71F4B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8F48E5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</w:p>
    <w:p w:rsidR="0083109F" w:rsidRPr="00B623FD" w:rsidRDefault="0083109F" w:rsidP="00B30A36">
      <w:pPr>
        <w:pStyle w:val="p0"/>
        <w:snapToGrid w:val="0"/>
        <w:spacing w:before="0" w:beforeAutospacing="0" w:after="0" w:afterAutospacing="0" w:line="480" w:lineRule="auto"/>
        <w:ind w:leftChars="567" w:left="1134" w:rightChars="433" w:right="866" w:firstLineChars="200" w:firstLine="560"/>
        <w:contextualSpacing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:rsidR="0083109F" w:rsidRDefault="0083109F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:rsidR="00C71F4B" w:rsidRPr="00B623FD" w:rsidRDefault="00C71F4B" w:rsidP="0083109F">
      <w:pPr>
        <w:pStyle w:val="p0"/>
        <w:snapToGrid w:val="0"/>
        <w:spacing w:before="0" w:beforeAutospacing="0" w:after="0" w:afterAutospacing="0" w:line="560" w:lineRule="atLeast"/>
        <w:ind w:firstLine="560"/>
        <w:rPr>
          <w:rFonts w:asciiTheme="minorEastAsia" w:eastAsiaTheme="minorEastAsia" w:hAnsiTheme="minorEastAsia" w:cs="Times New Roman"/>
          <w:sz w:val="28"/>
          <w:szCs w:val="28"/>
        </w:rPr>
      </w:pPr>
    </w:p>
    <w:p w:rsidR="0083109F" w:rsidRPr="00B623FD" w:rsidRDefault="0083109F" w:rsidP="0083109F">
      <w:pPr>
        <w:pStyle w:val="p0"/>
        <w:snapToGrid w:val="0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信银理财有限责任公司</w:t>
      </w:r>
    </w:p>
    <w:p w:rsidR="000E7CB5" w:rsidRPr="00B623FD" w:rsidRDefault="00D64A6A" w:rsidP="00613113">
      <w:pPr>
        <w:pStyle w:val="a5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asciiTheme="minorEastAsia" w:eastAsiaTheme="minorEastAsia" w:hAnsiTheme="minorEastAsia" w:cs="微软雅黑CD"/>
          <w:color w:val="000000"/>
          <w:sz w:val="28"/>
          <w:szCs w:val="28"/>
        </w:rPr>
      </w:pP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202</w:t>
      </w:r>
      <w:r w:rsidR="00B30A36">
        <w:rPr>
          <w:rFonts w:asciiTheme="minorEastAsia" w:eastAsiaTheme="minorEastAsia" w:hAnsiTheme="minorEastAsia" w:cs="微软雅黑CD"/>
          <w:color w:val="000000"/>
          <w:sz w:val="28"/>
          <w:szCs w:val="28"/>
        </w:rPr>
        <w:t>5</w:t>
      </w:r>
      <w:r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年</w:t>
      </w:r>
      <w:r w:rsidR="00C71F4B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0348C4">
        <w:rPr>
          <w:rFonts w:asciiTheme="minorEastAsia" w:eastAsiaTheme="minorEastAsia" w:hAnsiTheme="minorEastAsia" w:cs="微软雅黑CD"/>
          <w:color w:val="000000"/>
          <w:sz w:val="28"/>
          <w:szCs w:val="28"/>
        </w:rPr>
        <w:t>1</w:t>
      </w:r>
      <w:r w:rsidR="00390F6A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月</w:t>
      </w:r>
      <w:r w:rsidR="00E315B0">
        <w:rPr>
          <w:rFonts w:asciiTheme="minorEastAsia" w:eastAsiaTheme="minorEastAsia" w:hAnsiTheme="minorEastAsia" w:cs="微软雅黑CD"/>
          <w:color w:val="000000"/>
          <w:sz w:val="28"/>
          <w:szCs w:val="28"/>
        </w:rPr>
        <w:t>7</w:t>
      </w:r>
      <w:r w:rsidR="0083109F" w:rsidRPr="00B623FD">
        <w:rPr>
          <w:rFonts w:asciiTheme="minorEastAsia" w:eastAsiaTheme="minorEastAsia" w:hAnsiTheme="minorEastAsia" w:cs="微软雅黑CD" w:hint="eastAsia"/>
          <w:color w:val="000000"/>
          <w:sz w:val="28"/>
          <w:szCs w:val="28"/>
        </w:rPr>
        <w:t>日</w:t>
      </w:r>
    </w:p>
    <w:sectPr w:rsidR="000E7CB5" w:rsidRPr="00B623FD" w:rsidSect="00B30A36">
      <w:pgSz w:w="11907" w:h="16839" w:code="9"/>
      <w:pgMar w:top="0" w:right="400" w:bottom="40" w:left="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EC3" w:rsidRDefault="00AE4EC3" w:rsidP="00450B4F">
      <w:r>
        <w:separator/>
      </w:r>
    </w:p>
  </w:endnote>
  <w:endnote w:type="continuationSeparator" w:id="0">
    <w:p w:rsidR="00AE4EC3" w:rsidRDefault="00AE4EC3" w:rsidP="00450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CD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EC3" w:rsidRDefault="00AE4EC3" w:rsidP="00450B4F">
      <w:r>
        <w:separator/>
      </w:r>
    </w:p>
  </w:footnote>
  <w:footnote w:type="continuationSeparator" w:id="0">
    <w:p w:rsidR="00AE4EC3" w:rsidRDefault="00AE4EC3" w:rsidP="00450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A5440"/>
    <w:multiLevelType w:val="hybridMultilevel"/>
    <w:tmpl w:val="FAB0D864"/>
    <w:lvl w:ilvl="0" w:tplc="13A4FBCA">
      <w:start w:val="1"/>
      <w:numFmt w:val="japaneseCounting"/>
      <w:lvlText w:val="%1、"/>
      <w:lvlJc w:val="left"/>
      <w:pPr>
        <w:ind w:left="24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34" w:hanging="420"/>
      </w:pPr>
    </w:lvl>
    <w:lvl w:ilvl="2" w:tplc="0409001B" w:tentative="1">
      <w:start w:val="1"/>
      <w:numFmt w:val="lowerRoman"/>
      <w:lvlText w:val="%3."/>
      <w:lvlJc w:val="right"/>
      <w:pPr>
        <w:ind w:left="2954" w:hanging="420"/>
      </w:pPr>
    </w:lvl>
    <w:lvl w:ilvl="3" w:tplc="0409000F" w:tentative="1">
      <w:start w:val="1"/>
      <w:numFmt w:val="decimal"/>
      <w:lvlText w:val="%4."/>
      <w:lvlJc w:val="left"/>
      <w:pPr>
        <w:ind w:left="3374" w:hanging="420"/>
      </w:pPr>
    </w:lvl>
    <w:lvl w:ilvl="4" w:tplc="04090019" w:tentative="1">
      <w:start w:val="1"/>
      <w:numFmt w:val="lowerLetter"/>
      <w:lvlText w:val="%5)"/>
      <w:lvlJc w:val="left"/>
      <w:pPr>
        <w:ind w:left="3794" w:hanging="420"/>
      </w:pPr>
    </w:lvl>
    <w:lvl w:ilvl="5" w:tplc="0409001B" w:tentative="1">
      <w:start w:val="1"/>
      <w:numFmt w:val="lowerRoman"/>
      <w:lvlText w:val="%6."/>
      <w:lvlJc w:val="right"/>
      <w:pPr>
        <w:ind w:left="4214" w:hanging="420"/>
      </w:pPr>
    </w:lvl>
    <w:lvl w:ilvl="6" w:tplc="0409000F" w:tentative="1">
      <w:start w:val="1"/>
      <w:numFmt w:val="decimal"/>
      <w:lvlText w:val="%7."/>
      <w:lvlJc w:val="left"/>
      <w:pPr>
        <w:ind w:left="4634" w:hanging="420"/>
      </w:pPr>
    </w:lvl>
    <w:lvl w:ilvl="7" w:tplc="04090019" w:tentative="1">
      <w:start w:val="1"/>
      <w:numFmt w:val="lowerLetter"/>
      <w:lvlText w:val="%8)"/>
      <w:lvlJc w:val="left"/>
      <w:pPr>
        <w:ind w:left="5054" w:hanging="420"/>
      </w:pPr>
    </w:lvl>
    <w:lvl w:ilvl="8" w:tplc="0409001B" w:tentative="1">
      <w:start w:val="1"/>
      <w:numFmt w:val="lowerRoman"/>
      <w:lvlText w:val="%9."/>
      <w:lvlJc w:val="right"/>
      <w:pPr>
        <w:ind w:left="547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20B70"/>
    <w:rsid w:val="00022371"/>
    <w:rsid w:val="00025078"/>
    <w:rsid w:val="00025860"/>
    <w:rsid w:val="00027FCA"/>
    <w:rsid w:val="0003003E"/>
    <w:rsid w:val="0003063D"/>
    <w:rsid w:val="00031708"/>
    <w:rsid w:val="000348C4"/>
    <w:rsid w:val="00051114"/>
    <w:rsid w:val="000544CC"/>
    <w:rsid w:val="00063219"/>
    <w:rsid w:val="000738DC"/>
    <w:rsid w:val="00074005"/>
    <w:rsid w:val="000A033D"/>
    <w:rsid w:val="000A26B2"/>
    <w:rsid w:val="000A5CE2"/>
    <w:rsid w:val="000A68CC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68A2"/>
    <w:rsid w:val="001212F8"/>
    <w:rsid w:val="00135578"/>
    <w:rsid w:val="001573D5"/>
    <w:rsid w:val="001603F3"/>
    <w:rsid w:val="001674C4"/>
    <w:rsid w:val="001703BD"/>
    <w:rsid w:val="001A7B39"/>
    <w:rsid w:val="001C3966"/>
    <w:rsid w:val="001C3EBD"/>
    <w:rsid w:val="001C4E45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7490F"/>
    <w:rsid w:val="002B1960"/>
    <w:rsid w:val="002B3BD6"/>
    <w:rsid w:val="002D05E9"/>
    <w:rsid w:val="002D4CA0"/>
    <w:rsid w:val="002F2B76"/>
    <w:rsid w:val="003203F0"/>
    <w:rsid w:val="003220AD"/>
    <w:rsid w:val="003227A0"/>
    <w:rsid w:val="00355E67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D10D2"/>
    <w:rsid w:val="004D4589"/>
    <w:rsid w:val="004E09AC"/>
    <w:rsid w:val="004F6035"/>
    <w:rsid w:val="004F766D"/>
    <w:rsid w:val="00502D90"/>
    <w:rsid w:val="00510E6F"/>
    <w:rsid w:val="00510F9E"/>
    <w:rsid w:val="00516773"/>
    <w:rsid w:val="005373A5"/>
    <w:rsid w:val="00566C35"/>
    <w:rsid w:val="005810F1"/>
    <w:rsid w:val="00592C99"/>
    <w:rsid w:val="0059443C"/>
    <w:rsid w:val="005A64A6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80B5E"/>
    <w:rsid w:val="006903B1"/>
    <w:rsid w:val="0069360F"/>
    <w:rsid w:val="00693874"/>
    <w:rsid w:val="006A2C8D"/>
    <w:rsid w:val="006A77B8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809B1"/>
    <w:rsid w:val="00785F03"/>
    <w:rsid w:val="00787FEF"/>
    <w:rsid w:val="007C175E"/>
    <w:rsid w:val="007C4277"/>
    <w:rsid w:val="007C42E2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52D5A"/>
    <w:rsid w:val="00865C1E"/>
    <w:rsid w:val="00867A04"/>
    <w:rsid w:val="00870B68"/>
    <w:rsid w:val="008955E0"/>
    <w:rsid w:val="008A7C1D"/>
    <w:rsid w:val="008C50C8"/>
    <w:rsid w:val="008C7EE1"/>
    <w:rsid w:val="008D1205"/>
    <w:rsid w:val="008D7789"/>
    <w:rsid w:val="008F48E5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665F2"/>
    <w:rsid w:val="009712BE"/>
    <w:rsid w:val="009727E8"/>
    <w:rsid w:val="00973119"/>
    <w:rsid w:val="009856FB"/>
    <w:rsid w:val="009910B0"/>
    <w:rsid w:val="00997926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35C8D"/>
    <w:rsid w:val="00A70ED5"/>
    <w:rsid w:val="00A7230B"/>
    <w:rsid w:val="00A76B42"/>
    <w:rsid w:val="00A80455"/>
    <w:rsid w:val="00A95360"/>
    <w:rsid w:val="00AA3BC4"/>
    <w:rsid w:val="00AB103B"/>
    <w:rsid w:val="00AE3D2D"/>
    <w:rsid w:val="00AE4EC3"/>
    <w:rsid w:val="00AF198C"/>
    <w:rsid w:val="00AF54B6"/>
    <w:rsid w:val="00B30A36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71F4B"/>
    <w:rsid w:val="00CA3CDA"/>
    <w:rsid w:val="00CA4073"/>
    <w:rsid w:val="00CB412E"/>
    <w:rsid w:val="00CB6186"/>
    <w:rsid w:val="00CB651A"/>
    <w:rsid w:val="00CE2D47"/>
    <w:rsid w:val="00CF5174"/>
    <w:rsid w:val="00D05147"/>
    <w:rsid w:val="00D33753"/>
    <w:rsid w:val="00D33BC8"/>
    <w:rsid w:val="00D40F84"/>
    <w:rsid w:val="00D42A8C"/>
    <w:rsid w:val="00D439A7"/>
    <w:rsid w:val="00D64A6A"/>
    <w:rsid w:val="00D84FA4"/>
    <w:rsid w:val="00D857F4"/>
    <w:rsid w:val="00D8639B"/>
    <w:rsid w:val="00D91ACE"/>
    <w:rsid w:val="00D92947"/>
    <w:rsid w:val="00D95D7D"/>
    <w:rsid w:val="00DB79EC"/>
    <w:rsid w:val="00DD46EA"/>
    <w:rsid w:val="00DF26AD"/>
    <w:rsid w:val="00E07871"/>
    <w:rsid w:val="00E315B0"/>
    <w:rsid w:val="00E345FA"/>
    <w:rsid w:val="00E42A82"/>
    <w:rsid w:val="00E51D43"/>
    <w:rsid w:val="00E56CDA"/>
    <w:rsid w:val="00E71C46"/>
    <w:rsid w:val="00E73E87"/>
    <w:rsid w:val="00E83C40"/>
    <w:rsid w:val="00E921AE"/>
    <w:rsid w:val="00E933D3"/>
    <w:rsid w:val="00EA1EA8"/>
    <w:rsid w:val="00EA3467"/>
    <w:rsid w:val="00EB646D"/>
    <w:rsid w:val="00EB7542"/>
    <w:rsid w:val="00EC438E"/>
    <w:rsid w:val="00ED0C8D"/>
    <w:rsid w:val="00ED74E1"/>
    <w:rsid w:val="00EE1001"/>
    <w:rsid w:val="00EE122D"/>
    <w:rsid w:val="00EF5012"/>
    <w:rsid w:val="00F05328"/>
    <w:rsid w:val="00F06CCB"/>
    <w:rsid w:val="00F1756E"/>
    <w:rsid w:val="00F35955"/>
    <w:rsid w:val="00F57B70"/>
    <w:rsid w:val="00F60D4E"/>
    <w:rsid w:val="00F72979"/>
    <w:rsid w:val="00F74A2F"/>
    <w:rsid w:val="00F86734"/>
    <w:rsid w:val="00F967A4"/>
    <w:rsid w:val="00F979CB"/>
    <w:rsid w:val="00F97EF7"/>
    <w:rsid w:val="00FA6BB5"/>
    <w:rsid w:val="00FB127A"/>
    <w:rsid w:val="00FB4A84"/>
    <w:rsid w:val="00FF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780826-DECF-4DC6-BE45-1C72F2539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F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styleId="a3">
    <w:name w:val="header"/>
    <w:basedOn w:val="a"/>
    <w:link w:val="Char"/>
    <w:uiPriority w:val="99"/>
    <w:unhideWhenUsed/>
    <w:rsid w:val="00450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0B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0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0B4F"/>
    <w:rPr>
      <w:sz w:val="18"/>
      <w:szCs w:val="18"/>
    </w:rPr>
  </w:style>
  <w:style w:type="paragraph" w:customStyle="1" w:styleId="p0">
    <w:name w:val="p0"/>
    <w:basedOn w:val="a"/>
    <w:uiPriority w:val="99"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831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sz w:val="24"/>
      <w:szCs w:val="24"/>
    </w:rPr>
  </w:style>
  <w:style w:type="table" w:styleId="a6">
    <w:name w:val="Table Grid"/>
    <w:basedOn w:val="a1"/>
    <w:uiPriority w:val="39"/>
    <w:rsid w:val="0083109F"/>
    <w:rPr>
      <w:rFonts w:asciiTheme="minorHAnsi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ate"/>
    <w:basedOn w:val="a"/>
    <w:next w:val="a"/>
    <w:link w:val="Char1"/>
    <w:uiPriority w:val="99"/>
    <w:semiHidden/>
    <w:unhideWhenUsed/>
    <w:rsid w:val="004A0B60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4A0B60"/>
  </w:style>
  <w:style w:type="paragraph" w:styleId="a8">
    <w:name w:val="Balloon Text"/>
    <w:basedOn w:val="a"/>
    <w:link w:val="Char2"/>
    <w:uiPriority w:val="99"/>
    <w:semiHidden/>
    <w:unhideWhenUsed/>
    <w:rsid w:val="00467FC7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67F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8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57FBC-36FC-413F-98D2-6F87EE86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陈菲</dc:creator>
  <cp:lastModifiedBy>法本_陈子贤</cp:lastModifiedBy>
  <cp:revision>82</cp:revision>
  <cp:lastPrinted>2023-03-24T09:10:00Z</cp:lastPrinted>
  <dcterms:created xsi:type="dcterms:W3CDTF">2022-09-15T11:38:00Z</dcterms:created>
  <dcterms:modified xsi:type="dcterms:W3CDTF">2025-11-07T02:28:00Z</dcterms:modified>
</cp:coreProperties>
</file>