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F221D72" w14:textId="77777777" w:rsidR="00E24572" w:rsidRDefault="001D2F77">
      <w:pPr>
        <w:shd w:val="clear" w:color="auto" w:fill="FFFFFF"/>
        <w:spacing w:line="300" w:lineRule="exact"/>
        <w:jc w:val="center"/>
        <w:outlineLvl w:val="1"/>
        <w:rPr>
          <w:rFonts w:ascii="Times New Roman" w:eastAsia="黑体" w:hAnsi="Times New Roman" w:cs="Times New Roman"/>
          <w:sz w:val="22"/>
        </w:rPr>
      </w:pPr>
      <w:r>
        <w:rPr>
          <w:rFonts w:ascii="Times New Roman" w:eastAsia="黑体" w:hAnsi="Times New Roman" w:cs="Times New Roman" w:hint="eastAsia"/>
          <w:sz w:val="22"/>
        </w:rPr>
        <w:t>信银</w:t>
      </w:r>
      <w:proofErr w:type="gramStart"/>
      <w:r>
        <w:rPr>
          <w:rFonts w:ascii="Times New Roman" w:eastAsia="黑体" w:hAnsi="Times New Roman" w:cs="Times New Roman" w:hint="eastAsia"/>
          <w:sz w:val="22"/>
        </w:rPr>
        <w:t>理财理财</w:t>
      </w:r>
      <w:proofErr w:type="gramEnd"/>
      <w:r>
        <w:rPr>
          <w:rFonts w:ascii="Times New Roman" w:eastAsia="黑体" w:hAnsi="Times New Roman" w:cs="Times New Roman" w:hint="eastAsia"/>
          <w:sz w:val="22"/>
        </w:rPr>
        <w:t>产品投资协议书</w:t>
      </w:r>
    </w:p>
    <w:p w14:paraId="3AD0801F" w14:textId="77777777" w:rsidR="00E24572" w:rsidRDefault="00E24572">
      <w:pPr>
        <w:spacing w:line="300" w:lineRule="exact"/>
        <w:ind w:firstLine="480"/>
        <w:rPr>
          <w:rFonts w:ascii="Times New Roman" w:eastAsia="楷体_GB2312" w:hAnsi="Times New Roman" w:cs="Times New Roman"/>
          <w:sz w:val="20"/>
          <w:szCs w:val="20"/>
        </w:rPr>
      </w:pPr>
    </w:p>
    <w:p w14:paraId="6BCFF9B4"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甲方：投资者（投资者信息详见签署页）</w:t>
      </w:r>
    </w:p>
    <w:p w14:paraId="24AB636E"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乙方：</w:t>
      </w:r>
      <w:proofErr w:type="gramStart"/>
      <w:r>
        <w:rPr>
          <w:rFonts w:ascii="Times New Roman" w:eastAsia="楷体_GB2312" w:hAnsi="Times New Roman" w:cs="Times New Roman" w:hint="eastAsia"/>
          <w:b/>
          <w:sz w:val="20"/>
          <w:szCs w:val="20"/>
        </w:rPr>
        <w:t>信银理财</w:t>
      </w:r>
      <w:proofErr w:type="gramEnd"/>
      <w:r>
        <w:rPr>
          <w:rFonts w:ascii="Times New Roman" w:eastAsia="楷体_GB2312" w:hAnsi="Times New Roman" w:cs="Times New Roman" w:hint="eastAsia"/>
          <w:b/>
          <w:sz w:val="20"/>
          <w:szCs w:val="20"/>
        </w:rPr>
        <w:t>有限责任公司</w:t>
      </w:r>
    </w:p>
    <w:p w14:paraId="5E12424F" w14:textId="77777777" w:rsidR="00E24572" w:rsidRDefault="00E24572">
      <w:pPr>
        <w:spacing w:line="300" w:lineRule="exact"/>
        <w:ind w:firstLine="480"/>
        <w:rPr>
          <w:rFonts w:ascii="Times New Roman" w:eastAsia="楷体_GB2312" w:hAnsi="Times New Roman" w:cs="Times New Roman"/>
          <w:sz w:val="20"/>
          <w:szCs w:val="20"/>
        </w:rPr>
      </w:pPr>
    </w:p>
    <w:p w14:paraId="7D86B83F"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经甲方和乙方平等协商，就甲方认购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申购乙方发行的理财产品（以下简称</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理财产品</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），达成本协议如下：</w:t>
      </w:r>
    </w:p>
    <w:p w14:paraId="6B5CC627" w14:textId="77777777" w:rsidR="00E24572" w:rsidRDefault="00E24572">
      <w:pPr>
        <w:spacing w:line="300" w:lineRule="exact"/>
        <w:ind w:firstLine="480"/>
        <w:rPr>
          <w:rFonts w:ascii="Times New Roman" w:eastAsia="楷体_GB2312" w:hAnsi="Times New Roman" w:cs="Times New Roman"/>
          <w:b/>
          <w:bCs/>
          <w:sz w:val="20"/>
          <w:szCs w:val="20"/>
        </w:rPr>
      </w:pPr>
    </w:p>
    <w:p w14:paraId="34574A24"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一、适用范围</w:t>
      </w:r>
    </w:p>
    <w:p w14:paraId="13C4074B"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甲方在认购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申购乙方发行的理财产品之前应签署本协议。本协议生效后，甲方认购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申购乙方发行的理财产品的，均适用本协议。</w:t>
      </w:r>
    </w:p>
    <w:p w14:paraId="62589545"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本协议为规范甲乙双方在理财业务中权利与义务的法律文件，与甲方认购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申购乙方多支理财产品时，不同理财产品对应的《信银理财理财产品产品说明书》《信银理财理财产品风险揭示书》组成的理财产品合同互相独立。</w:t>
      </w:r>
    </w:p>
    <w:p w14:paraId="7B636DC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本协议不作为甲方认购</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申购或持有理财产品的凭证。</w:t>
      </w:r>
    </w:p>
    <w:p w14:paraId="612ABF66" w14:textId="77777777" w:rsidR="00E24572" w:rsidRDefault="00E24572">
      <w:pPr>
        <w:spacing w:line="300" w:lineRule="exact"/>
        <w:ind w:firstLine="480"/>
        <w:rPr>
          <w:rFonts w:ascii="Times New Roman" w:eastAsia="楷体_GB2312" w:hAnsi="Times New Roman" w:cs="Times New Roman"/>
          <w:b/>
          <w:bCs/>
          <w:sz w:val="20"/>
          <w:szCs w:val="20"/>
        </w:rPr>
      </w:pPr>
    </w:p>
    <w:p w14:paraId="307752D8"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二、风险提示</w:t>
      </w:r>
    </w:p>
    <w:p w14:paraId="6CB20381"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本产品为</w:t>
      </w:r>
      <w:r>
        <w:rPr>
          <w:rFonts w:ascii="Times New Roman" w:eastAsia="楷体_GB2312" w:hAnsi="Times New Roman" w:cs="Times New Roman"/>
          <w:b/>
          <w:bCs/>
          <w:sz w:val="20"/>
          <w:szCs w:val="20"/>
        </w:rPr>
        <w:t>【固定收益类】</w:t>
      </w:r>
      <w:r>
        <w:rPr>
          <w:rFonts w:ascii="Times New Roman" w:eastAsia="楷体_GB2312" w:hAnsi="Times New Roman" w:cs="Times New Roman" w:hint="eastAsia"/>
          <w:b/>
          <w:bCs/>
          <w:sz w:val="20"/>
          <w:szCs w:val="20"/>
        </w:rPr>
        <w:t>产品</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具体投资对象</w:t>
      </w:r>
      <w:r>
        <w:rPr>
          <w:rFonts w:ascii="Times New Roman" w:eastAsia="楷体_GB2312" w:hAnsi="Times New Roman" w:cs="Times New Roman"/>
          <w:b/>
          <w:bCs/>
          <w:sz w:val="20"/>
          <w:szCs w:val="20"/>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E24572" w14:paraId="575CC221" w14:textId="77777777">
        <w:tc>
          <w:tcPr>
            <w:tcW w:w="3537" w:type="pct"/>
            <w:vAlign w:val="center"/>
          </w:tcPr>
          <w:p w14:paraId="043D604E" w14:textId="77777777" w:rsidR="00E24572" w:rsidRDefault="001D2F77">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资产种类</w:t>
            </w:r>
          </w:p>
        </w:tc>
        <w:tc>
          <w:tcPr>
            <w:tcW w:w="1463" w:type="pct"/>
            <w:vAlign w:val="center"/>
          </w:tcPr>
          <w:p w14:paraId="41A44E4D" w14:textId="77777777" w:rsidR="00E24572" w:rsidRDefault="001D2F77">
            <w:pPr>
              <w:ind w:rightChars="12" w:right="29"/>
              <w:jc w:val="center"/>
              <w:rPr>
                <w:rFonts w:ascii="楷体" w:eastAsia="楷体" w:hAnsi="楷体"/>
                <w:b/>
                <w:bCs/>
                <w:color w:val="000000"/>
                <w:sz w:val="20"/>
                <w:szCs w:val="20"/>
              </w:rPr>
            </w:pPr>
            <w:r>
              <w:rPr>
                <w:rFonts w:ascii="楷体" w:eastAsia="楷体" w:hAnsi="楷体" w:hint="eastAsia"/>
                <w:b/>
                <w:bCs/>
                <w:color w:val="000000"/>
                <w:sz w:val="20"/>
                <w:szCs w:val="20"/>
              </w:rPr>
              <w:t>投资比例</w:t>
            </w:r>
          </w:p>
        </w:tc>
      </w:tr>
      <w:tr w:rsidR="00E24572" w14:paraId="50AE232B" w14:textId="77777777">
        <w:tc>
          <w:tcPr>
            <w:tcW w:w="3537" w:type="pct"/>
            <w:vAlign w:val="center"/>
          </w:tcPr>
          <w:p w14:paraId="1C9043E2"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债权类资产</w:t>
            </w:r>
          </w:p>
        </w:tc>
        <w:tc>
          <w:tcPr>
            <w:tcW w:w="1463" w:type="pct"/>
            <w:vAlign w:val="center"/>
          </w:tcPr>
          <w:p w14:paraId="6588EB0C"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100%</w:t>
            </w:r>
            <w:r>
              <w:rPr>
                <w:rFonts w:ascii="楷体" w:eastAsia="楷体" w:hAnsi="楷体" w:hint="eastAsia"/>
                <w:sz w:val="20"/>
                <w:szCs w:val="20"/>
              </w:rPr>
              <w:t>】</w:t>
            </w:r>
          </w:p>
        </w:tc>
      </w:tr>
      <w:tr w:rsidR="00E24572" w14:paraId="31E97EB4" w14:textId="77777777">
        <w:tc>
          <w:tcPr>
            <w:tcW w:w="3537" w:type="pct"/>
            <w:vAlign w:val="center"/>
          </w:tcPr>
          <w:p w14:paraId="43881378"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其中</w:t>
            </w:r>
            <w:r>
              <w:rPr>
                <w:rFonts w:ascii="楷体" w:eastAsia="楷体" w:hAnsi="楷体"/>
                <w:color w:val="000000"/>
                <w:sz w:val="20"/>
                <w:szCs w:val="20"/>
              </w:rPr>
              <w:t>，非标准化债权类资产</w:t>
            </w:r>
          </w:p>
        </w:tc>
        <w:tc>
          <w:tcPr>
            <w:tcW w:w="1463" w:type="pct"/>
            <w:vAlign w:val="center"/>
          </w:tcPr>
          <w:p w14:paraId="565FBD2E"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p>
        </w:tc>
      </w:tr>
      <w:tr w:rsidR="00E24572" w14:paraId="18F63803" w14:textId="77777777">
        <w:tc>
          <w:tcPr>
            <w:tcW w:w="3537" w:type="pct"/>
            <w:vAlign w:val="center"/>
          </w:tcPr>
          <w:p w14:paraId="65AE95EE"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权益类资产</w:t>
            </w:r>
          </w:p>
        </w:tc>
        <w:tc>
          <w:tcPr>
            <w:tcW w:w="1463" w:type="pct"/>
            <w:vAlign w:val="center"/>
          </w:tcPr>
          <w:p w14:paraId="75BAC3CB"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E24572" w14:paraId="56540EA2" w14:textId="77777777">
        <w:tc>
          <w:tcPr>
            <w:tcW w:w="3537" w:type="pct"/>
            <w:vAlign w:val="center"/>
          </w:tcPr>
          <w:p w14:paraId="38CF88E8"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资产：持仓合约价值</w:t>
            </w:r>
          </w:p>
        </w:tc>
        <w:tc>
          <w:tcPr>
            <w:tcW w:w="1463" w:type="pct"/>
            <w:vAlign w:val="center"/>
          </w:tcPr>
          <w:p w14:paraId="0CC40081"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r w:rsidR="00E24572" w14:paraId="3514AE68" w14:textId="77777777">
        <w:trPr>
          <w:trHeight w:val="56"/>
        </w:trPr>
        <w:tc>
          <w:tcPr>
            <w:tcW w:w="3537" w:type="pct"/>
            <w:vAlign w:val="center"/>
          </w:tcPr>
          <w:p w14:paraId="71C23869"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color w:val="000000"/>
                <w:sz w:val="20"/>
                <w:szCs w:val="20"/>
              </w:rPr>
              <w:t>商品</w:t>
            </w:r>
            <w:r>
              <w:rPr>
                <w:rFonts w:ascii="楷体" w:eastAsia="楷体" w:hAnsi="楷体"/>
                <w:color w:val="000000"/>
                <w:sz w:val="20"/>
                <w:szCs w:val="20"/>
              </w:rPr>
              <w:t>及</w:t>
            </w:r>
            <w:r>
              <w:rPr>
                <w:rFonts w:ascii="楷体" w:eastAsia="楷体" w:hAnsi="楷体" w:hint="eastAsia"/>
                <w:color w:val="000000"/>
                <w:sz w:val="20"/>
                <w:szCs w:val="20"/>
              </w:rPr>
              <w:t>金融</w:t>
            </w:r>
            <w:r>
              <w:rPr>
                <w:rFonts w:ascii="楷体" w:eastAsia="楷体" w:hAnsi="楷体"/>
                <w:color w:val="000000"/>
                <w:sz w:val="20"/>
                <w:szCs w:val="20"/>
              </w:rPr>
              <w:t>衍生品类</w:t>
            </w:r>
            <w:r>
              <w:rPr>
                <w:rFonts w:ascii="楷体" w:eastAsia="楷体" w:hAnsi="楷体" w:hint="eastAsia"/>
                <w:color w:val="000000"/>
                <w:sz w:val="20"/>
                <w:szCs w:val="20"/>
              </w:rPr>
              <w:t>资产：衍生品账户权益</w:t>
            </w:r>
          </w:p>
        </w:tc>
        <w:tc>
          <w:tcPr>
            <w:tcW w:w="1463" w:type="pct"/>
            <w:vAlign w:val="center"/>
          </w:tcPr>
          <w:p w14:paraId="42FB1300" w14:textId="77777777" w:rsidR="00E24572" w:rsidRDefault="001D2F77">
            <w:pPr>
              <w:ind w:rightChars="12" w:right="29"/>
              <w:jc w:val="center"/>
              <w:rPr>
                <w:rFonts w:ascii="楷体" w:eastAsia="楷体" w:hAnsi="楷体"/>
                <w:color w:val="000000"/>
                <w:sz w:val="20"/>
                <w:szCs w:val="20"/>
              </w:rPr>
            </w:pPr>
            <w:r>
              <w:rPr>
                <w:rFonts w:ascii="楷体" w:eastAsia="楷体" w:hAnsi="楷体" w:hint="eastAsia"/>
                <w:sz w:val="20"/>
                <w:szCs w:val="20"/>
              </w:rPr>
              <w:t>【</w:t>
            </w:r>
            <w:r>
              <w:rPr>
                <w:rFonts w:ascii="楷体" w:eastAsia="楷体" w:hAnsi="楷体"/>
                <w:sz w:val="20"/>
                <w:szCs w:val="20"/>
              </w:rPr>
              <w:t>0%</w:t>
            </w:r>
            <w:r>
              <w:rPr>
                <w:rFonts w:ascii="楷体" w:eastAsia="楷体" w:hAnsi="楷体" w:hint="eastAsia"/>
                <w:sz w:val="20"/>
                <w:szCs w:val="20"/>
              </w:rPr>
              <w:t>】</w:t>
            </w:r>
          </w:p>
        </w:tc>
      </w:tr>
    </w:tbl>
    <w:p w14:paraId="7573A997"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投资者投资本产品可能面临的特定风险主要包括（但不限于）</w:t>
      </w:r>
    </w:p>
    <w:p w14:paraId="713DEF94"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）投资债权类资产的风险</w:t>
      </w:r>
    </w:p>
    <w:p w14:paraId="701CE5F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）投资标准化债权类资产的风险</w:t>
      </w:r>
    </w:p>
    <w:p w14:paraId="1FB02A66"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4575EE6"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）投资非标准化债权类资产的风险</w:t>
      </w:r>
    </w:p>
    <w:p w14:paraId="66E08135"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本产品投资非标债权类资产时可能面临以下风险：由于融资主体</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其他义务人还款履约能力可能的变化导致的信用风险（包括但不限于：融资主体提前还款、延期还款或逾期还款的风险；增</w:t>
      </w:r>
      <w:proofErr w:type="gramStart"/>
      <w:r>
        <w:rPr>
          <w:rFonts w:ascii="Times New Roman" w:eastAsia="楷体_GB2312" w:hAnsi="Times New Roman" w:cs="Times New Roman" w:hint="eastAsia"/>
          <w:b/>
          <w:bCs/>
          <w:sz w:val="20"/>
          <w:szCs w:val="20"/>
        </w:rPr>
        <w:t>信主体</w:t>
      </w:r>
      <w:proofErr w:type="gramEnd"/>
      <w:r>
        <w:rPr>
          <w:rFonts w:ascii="Times New Roman" w:eastAsia="楷体_GB2312" w:hAnsi="Times New Roman" w:cs="Times New Roman" w:hint="eastAsia"/>
          <w:b/>
          <w:bCs/>
          <w:sz w:val="20"/>
          <w:szCs w:val="20"/>
        </w:rPr>
        <w:t>未能履行增信义务（例如：保证担保、差额补足、远期回购、流动性</w:t>
      </w:r>
      <w:proofErr w:type="gramStart"/>
      <w:r>
        <w:rPr>
          <w:rFonts w:ascii="Times New Roman" w:eastAsia="楷体_GB2312" w:hAnsi="Times New Roman" w:cs="Times New Roman" w:hint="eastAsia"/>
          <w:b/>
          <w:bCs/>
          <w:sz w:val="20"/>
          <w:szCs w:val="20"/>
        </w:rPr>
        <w:t>支持等增信</w:t>
      </w:r>
      <w:proofErr w:type="gramEnd"/>
      <w:r>
        <w:rPr>
          <w:rFonts w:ascii="Times New Roman" w:eastAsia="楷体_GB2312" w:hAnsi="Times New Roman" w:cs="Times New Roman" w:hint="eastAsia"/>
          <w:b/>
          <w:bCs/>
          <w:sz w:val="20"/>
          <w:szCs w:val="20"/>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DC9BE6C"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2</w:t>
      </w:r>
      <w:r>
        <w:rPr>
          <w:rFonts w:ascii="Times New Roman" w:eastAsia="楷体_GB2312" w:hAnsi="Times New Roman" w:cs="Times New Roman" w:hint="eastAsia"/>
          <w:b/>
          <w:bCs/>
          <w:sz w:val="20"/>
          <w:szCs w:val="20"/>
        </w:rPr>
        <w:t>）投资权益类资产的风险</w:t>
      </w:r>
    </w:p>
    <w:p w14:paraId="4F9B0BDA"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1</w:t>
      </w:r>
      <w:r>
        <w:rPr>
          <w:rFonts w:ascii="Times New Roman" w:eastAsia="楷体_GB2312" w:hAnsi="Times New Roman" w:cs="Times New Roman" w:hint="eastAsia"/>
          <w:b/>
          <w:bCs/>
          <w:sz w:val="20"/>
          <w:szCs w:val="20"/>
        </w:rPr>
        <w:t>）投资普通股票可能面临的风险</w:t>
      </w:r>
    </w:p>
    <w:p w14:paraId="0A228324"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Pr>
          <w:rFonts w:ascii="Times New Roman" w:eastAsia="楷体_GB2312" w:hAnsi="Times New Roman" w:cs="Times New Roman" w:hint="eastAsia"/>
          <w:b/>
          <w:bCs/>
          <w:sz w:val="20"/>
          <w:szCs w:val="20"/>
        </w:rPr>
        <w:t xml:space="preserve"> </w:t>
      </w:r>
    </w:p>
    <w:p w14:paraId="690DA07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2</w:t>
      </w:r>
      <w:r>
        <w:rPr>
          <w:rFonts w:ascii="Times New Roman" w:eastAsia="楷体_GB2312" w:hAnsi="Times New Roman" w:cs="Times New Roman" w:hint="eastAsia"/>
          <w:b/>
          <w:bCs/>
          <w:sz w:val="20"/>
          <w:szCs w:val="20"/>
        </w:rPr>
        <w:t>）投资优先股可能面临的风险</w:t>
      </w:r>
    </w:p>
    <w:p w14:paraId="4AD2E640"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17D81558"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w:t>
      </w:r>
      <w:r>
        <w:rPr>
          <w:rFonts w:ascii="Times New Roman" w:eastAsia="楷体_GB2312" w:hAnsi="Times New Roman" w:cs="Times New Roman"/>
          <w:b/>
          <w:bCs/>
          <w:sz w:val="20"/>
          <w:szCs w:val="20"/>
        </w:rPr>
        <w:t>3</w:t>
      </w:r>
      <w:r>
        <w:rPr>
          <w:rFonts w:ascii="Times New Roman" w:eastAsia="楷体_GB2312" w:hAnsi="Times New Roman" w:cs="Times New Roman" w:hint="eastAsia"/>
          <w:b/>
          <w:bCs/>
          <w:sz w:val="20"/>
          <w:szCs w:val="20"/>
        </w:rPr>
        <w:t>）投资商品及金融衍生品类资产的风险</w:t>
      </w:r>
    </w:p>
    <w:p w14:paraId="57B7A09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本产品投资商品及金融衍生品类资产时可能面临以下风险：该衍生</w:t>
      </w:r>
      <w:proofErr w:type="gramStart"/>
      <w:r>
        <w:rPr>
          <w:rFonts w:ascii="Times New Roman" w:eastAsia="楷体_GB2312" w:hAnsi="Times New Roman" w:cs="Times New Roman" w:hint="eastAsia"/>
          <w:b/>
          <w:bCs/>
          <w:sz w:val="20"/>
          <w:szCs w:val="20"/>
        </w:rPr>
        <w:t>品资产</w:t>
      </w:r>
      <w:proofErr w:type="gramEnd"/>
      <w:r>
        <w:rPr>
          <w:rFonts w:ascii="Times New Roman" w:eastAsia="楷体_GB2312" w:hAnsi="Times New Roman" w:cs="Times New Roman" w:hint="eastAsia"/>
          <w:b/>
          <w:bCs/>
          <w:sz w:val="20"/>
          <w:szCs w:val="20"/>
        </w:rPr>
        <w:t>可能实行保证金交易制度，具有高杠杆性，高杠杆效应放大了价格波动风险；若本产品运作中出现基差（注：</w:t>
      </w:r>
      <w:proofErr w:type="gramStart"/>
      <w:r>
        <w:rPr>
          <w:rFonts w:ascii="Times New Roman" w:eastAsia="楷体_GB2312" w:hAnsi="Times New Roman" w:cs="Times New Roman" w:hint="eastAsia"/>
          <w:b/>
          <w:bCs/>
          <w:sz w:val="20"/>
          <w:szCs w:val="20"/>
        </w:rPr>
        <w:t>基差是</w:t>
      </w:r>
      <w:proofErr w:type="gramEnd"/>
      <w:r>
        <w:rPr>
          <w:rFonts w:ascii="Times New Roman" w:eastAsia="楷体_GB2312" w:hAnsi="Times New Roman" w:cs="Times New Roman" w:hint="eastAsia"/>
          <w:b/>
          <w:bCs/>
          <w:sz w:val="20"/>
          <w:szCs w:val="20"/>
        </w:rPr>
        <w:t>指现货价格与期货价格之间的差额）波动不确定性加大、</w:t>
      </w:r>
      <w:proofErr w:type="gramStart"/>
      <w:r>
        <w:rPr>
          <w:rFonts w:ascii="Times New Roman" w:eastAsia="楷体_GB2312" w:hAnsi="Times New Roman" w:cs="Times New Roman" w:hint="eastAsia"/>
          <w:b/>
          <w:bCs/>
          <w:sz w:val="20"/>
          <w:szCs w:val="20"/>
        </w:rPr>
        <w:t>基差向</w:t>
      </w:r>
      <w:proofErr w:type="gramEnd"/>
      <w:r>
        <w:rPr>
          <w:rFonts w:ascii="Times New Roman" w:eastAsia="楷体_GB2312" w:hAnsi="Times New Roman" w:cs="Times New Roman" w:hint="eastAsia"/>
          <w:b/>
          <w:bCs/>
          <w:sz w:val="20"/>
          <w:szCs w:val="20"/>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3A99AA76" w14:textId="77777777" w:rsidR="00E24572" w:rsidRDefault="00E24572">
      <w:pPr>
        <w:spacing w:line="300" w:lineRule="exact"/>
        <w:ind w:firstLine="480"/>
        <w:rPr>
          <w:rFonts w:ascii="Times New Roman" w:eastAsia="楷体_GB2312" w:hAnsi="Times New Roman" w:cs="Times New Roman"/>
          <w:b/>
          <w:bCs/>
          <w:sz w:val="20"/>
          <w:szCs w:val="20"/>
        </w:rPr>
      </w:pPr>
    </w:p>
    <w:p w14:paraId="342D3B46" w14:textId="77777777" w:rsidR="00E24572" w:rsidRDefault="001D2F77">
      <w:pPr>
        <w:spacing w:line="300" w:lineRule="exact"/>
        <w:ind w:firstLine="480"/>
        <w:rPr>
          <w:rFonts w:ascii="Times New Roman" w:eastAsia="楷体_GB2312" w:hAnsi="Times New Roman" w:cs="Times New Roman"/>
          <w:b/>
          <w:bCs/>
          <w:i/>
          <w:szCs w:val="20"/>
          <w:u w:val="single"/>
        </w:rPr>
      </w:pPr>
      <w:r>
        <w:rPr>
          <w:rFonts w:ascii="Times New Roman" w:eastAsia="楷体_GB2312" w:hAnsi="Times New Roman" w:cs="Times New Roman" w:hint="eastAsia"/>
          <w:b/>
          <w:bCs/>
          <w:i/>
          <w:szCs w:val="20"/>
          <w:u w:val="single"/>
        </w:rPr>
        <w:t>注：以上特定风险仅为列举性质，未能详尽列明投资本产品可能面临的全部风险和可能导致投资者投资本金及收益损失的所有因素。</w:t>
      </w:r>
    </w:p>
    <w:p w14:paraId="4647AE11" w14:textId="77777777" w:rsidR="00E24572" w:rsidRDefault="00E24572">
      <w:pPr>
        <w:spacing w:line="300" w:lineRule="exact"/>
        <w:ind w:firstLine="480"/>
        <w:rPr>
          <w:rFonts w:ascii="Times New Roman" w:eastAsia="楷体_GB2312" w:hAnsi="Times New Roman" w:cs="Times New Roman"/>
          <w:b/>
          <w:bCs/>
          <w:sz w:val="20"/>
          <w:szCs w:val="20"/>
        </w:rPr>
      </w:pPr>
    </w:p>
    <w:p w14:paraId="46EDA083"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理财非存款、产品有风险、投资须谨慎，理财产品过往业绩不代表其未来表现，不等于理财产品实际收益。投资者投资理财产品的，请关注产品各类</w:t>
      </w:r>
      <w:r>
        <w:rPr>
          <w:rFonts w:ascii="Times New Roman" w:eastAsia="楷体_GB2312" w:hAnsi="Times New Roman" w:cs="Times New Roman"/>
          <w:b/>
          <w:bCs/>
          <w:sz w:val="20"/>
          <w:szCs w:val="20"/>
        </w:rPr>
        <w:t>投资对象</w:t>
      </w:r>
      <w:r>
        <w:rPr>
          <w:rFonts w:ascii="Times New Roman" w:eastAsia="楷体_GB2312" w:hAnsi="Times New Roman" w:cs="Times New Roman" w:hint="eastAsia"/>
          <w:b/>
          <w:bCs/>
          <w:sz w:val="20"/>
          <w:szCs w:val="20"/>
        </w:rPr>
        <w:t>的</w:t>
      </w:r>
      <w:r>
        <w:rPr>
          <w:rFonts w:ascii="Times New Roman" w:eastAsia="楷体_GB2312" w:hAnsi="Times New Roman" w:cs="Times New Roman"/>
          <w:b/>
          <w:bCs/>
          <w:sz w:val="20"/>
          <w:szCs w:val="20"/>
        </w:rPr>
        <w:t>投资比例及相应</w:t>
      </w:r>
      <w:r>
        <w:rPr>
          <w:rFonts w:ascii="Times New Roman" w:eastAsia="楷体_GB2312" w:hAnsi="Times New Roman" w:cs="Times New Roman" w:hint="eastAsia"/>
          <w:b/>
          <w:bCs/>
          <w:sz w:val="20"/>
          <w:szCs w:val="20"/>
        </w:rPr>
        <w:t>投资</w:t>
      </w:r>
      <w:r>
        <w:rPr>
          <w:rFonts w:ascii="Times New Roman" w:eastAsia="楷体_GB2312" w:hAnsi="Times New Roman" w:cs="Times New Roman"/>
          <w:b/>
          <w:bCs/>
          <w:sz w:val="20"/>
          <w:szCs w:val="20"/>
        </w:rPr>
        <w:t>风险</w:t>
      </w:r>
      <w:r>
        <w:rPr>
          <w:rFonts w:ascii="Times New Roman" w:eastAsia="楷体_GB2312" w:hAnsi="Times New Roman" w:cs="Times New Roman" w:hint="eastAsia"/>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eastAsia="楷体_GB2312" w:hAnsi="Times New Roman" w:cs="Times New Roman"/>
          <w:b/>
          <w:bCs/>
          <w:sz w:val="20"/>
          <w:szCs w:val="20"/>
        </w:rPr>
        <w:t>/</w:t>
      </w:r>
      <w:r>
        <w:rPr>
          <w:rFonts w:ascii="Times New Roman" w:eastAsia="楷体_GB2312" w:hAnsi="Times New Roman" w:cs="Times New Roman" w:hint="eastAsia"/>
          <w:b/>
          <w:bCs/>
          <w:sz w:val="20"/>
          <w:szCs w:val="20"/>
        </w:rPr>
        <w:t>申购的理财产品的《信银理财理财产品产品说明书》和《信银理财理财产品风险揭示书》中的相应条款。</w:t>
      </w:r>
    </w:p>
    <w:p w14:paraId="4D14D90A" w14:textId="77777777" w:rsidR="00E24572" w:rsidRDefault="00E24572">
      <w:pPr>
        <w:spacing w:line="300" w:lineRule="exact"/>
        <w:ind w:firstLine="480"/>
        <w:rPr>
          <w:rFonts w:ascii="Times New Roman" w:eastAsia="楷体_GB2312" w:hAnsi="Times New Roman" w:cs="Times New Roman"/>
          <w:b/>
          <w:bCs/>
          <w:sz w:val="20"/>
          <w:szCs w:val="20"/>
        </w:rPr>
      </w:pPr>
    </w:p>
    <w:p w14:paraId="25338F5E"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三、投资条款</w:t>
      </w:r>
    </w:p>
    <w:p w14:paraId="460FD174"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Cs/>
          <w:sz w:val="20"/>
          <w:szCs w:val="20"/>
        </w:rPr>
        <w:t>甲方认购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申购理财产品的具体认购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申购条件、流程、金额、份额、费用以及其他投资条款，由甲方实际认购</w:t>
      </w:r>
      <w:r>
        <w:rPr>
          <w:rFonts w:ascii="Times New Roman" w:eastAsia="楷体_GB2312" w:hAnsi="Times New Roman" w:cs="Times New Roman"/>
          <w:bCs/>
          <w:sz w:val="20"/>
          <w:szCs w:val="20"/>
        </w:rPr>
        <w:t>/</w:t>
      </w:r>
      <w:r>
        <w:rPr>
          <w:rFonts w:ascii="Times New Roman" w:eastAsia="楷体_GB2312" w:hAnsi="Times New Roman" w:cs="Times New Roman" w:hint="eastAsia"/>
          <w:bCs/>
          <w:sz w:val="20"/>
          <w:szCs w:val="20"/>
        </w:rPr>
        <w:t>申购的理财产品的《信银理财理财产品产品说明书》具体约定。</w:t>
      </w:r>
    </w:p>
    <w:p w14:paraId="33D72089" w14:textId="77777777" w:rsidR="00E24572" w:rsidRDefault="00E24572">
      <w:pPr>
        <w:spacing w:line="300" w:lineRule="exact"/>
        <w:ind w:firstLine="480"/>
        <w:rPr>
          <w:rFonts w:ascii="Times New Roman" w:eastAsia="楷体_GB2312" w:hAnsi="Times New Roman" w:cs="Times New Roman"/>
          <w:b/>
          <w:bCs/>
          <w:sz w:val="20"/>
          <w:szCs w:val="20"/>
        </w:rPr>
      </w:pPr>
    </w:p>
    <w:p w14:paraId="67E333D8"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四、甲方的权利与义务</w:t>
      </w:r>
    </w:p>
    <w:p w14:paraId="1248C41B"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（一）甲方具有完全民事行为能力，有完全适当的资格与能力订立并履行理财产品销售文件，不存在法律、行政法规有关规定禁止或限制投资理财产品的情形（适用于个人投资者）；</w:t>
      </w:r>
    </w:p>
    <w:p w14:paraId="0C980319"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EBB8DE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（二）甲方保证以真实身份投资本理财产品，保证提供给产品管理人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代销机构的信息和资料均真实、准确、完整、合法。如甲方的信息和</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或资料发生变更，应当及时书面告知产品管理人或代销机构；</w:t>
      </w:r>
    </w:p>
    <w:p w14:paraId="3C3FBD1F"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（三）甲方声明熟悉理财产品类型特征及不同销售渠道的法律法规规定；</w:t>
      </w:r>
    </w:p>
    <w:p w14:paraId="74471ECF"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（四）甲方承诺：如委托他人购买本产品，代理人须出具具有法律效力的授权委托书；</w:t>
      </w:r>
    </w:p>
    <w:p w14:paraId="6775CF2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（五）甲方保证理财投资资金来源和用途合法，保证可向产品管理人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代销机构提供合法筹集的证明文件；</w:t>
      </w:r>
    </w:p>
    <w:p w14:paraId="2D98F0FF"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（六）甲方不得利用理财业务及理财产品销售文件项下理财产品从事违法活动；</w:t>
      </w:r>
    </w:p>
    <w:p w14:paraId="5F623AB4"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代销机构开展投资者身份识</w:t>
      </w:r>
      <w:r>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567303F3"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Pr>
          <w:rFonts w:ascii="Times New Roman" w:eastAsia="楷体_GB2312" w:hAnsi="Times New Roman" w:cs="Times New Roman" w:hint="eastAsia"/>
          <w:sz w:val="20"/>
          <w:szCs w:val="20"/>
        </w:rPr>
        <w:t>涉恐及反洗</w:t>
      </w:r>
      <w:proofErr w:type="gramEnd"/>
      <w:r>
        <w:rPr>
          <w:rFonts w:ascii="Times New Roman" w:eastAsia="楷体_GB2312" w:hAnsi="Times New Roman" w:cs="Times New Roman" w:hint="eastAsia"/>
          <w:sz w:val="20"/>
          <w:szCs w:val="20"/>
        </w:rPr>
        <w:t>钱相关风险名单内的企业或个人；</w:t>
      </w:r>
      <w:proofErr w:type="gramStart"/>
      <w:r>
        <w:rPr>
          <w:rFonts w:ascii="Times New Roman" w:eastAsia="楷体_GB2312" w:hAnsi="Times New Roman" w:cs="Times New Roman" w:hint="eastAsia"/>
          <w:sz w:val="20"/>
          <w:szCs w:val="20"/>
        </w:rPr>
        <w:t>不</w:t>
      </w:r>
      <w:proofErr w:type="gramEnd"/>
      <w:r>
        <w:rPr>
          <w:rFonts w:ascii="Times New Roman" w:eastAsia="楷体_GB2312" w:hAnsi="Times New Roman" w:cs="Times New Roman" w:hint="eastAsia"/>
          <w:sz w:val="20"/>
          <w:szCs w:val="20"/>
        </w:rPr>
        <w:t>位于被联合国、欧盟或美国等制裁的国家和地区；</w:t>
      </w:r>
    </w:p>
    <w:p w14:paraId="156B6516"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F0801AF" w14:textId="77777777" w:rsidR="00E24572" w:rsidRDefault="00E24572">
      <w:pPr>
        <w:spacing w:line="300" w:lineRule="exact"/>
        <w:ind w:firstLine="480"/>
        <w:rPr>
          <w:rFonts w:ascii="Times New Roman" w:eastAsia="楷体_GB2312" w:hAnsi="Times New Roman" w:cs="Times New Roman"/>
          <w:b/>
          <w:bCs/>
          <w:sz w:val="20"/>
          <w:szCs w:val="20"/>
        </w:rPr>
      </w:pPr>
    </w:p>
    <w:p w14:paraId="5411AE5E" w14:textId="77777777" w:rsidR="00E24572" w:rsidRDefault="001D2F77">
      <w:pPr>
        <w:spacing w:line="300" w:lineRule="exact"/>
        <w:ind w:firstLine="480"/>
        <w:rPr>
          <w:rFonts w:ascii="Times New Roman" w:eastAsia="楷体_GB2312" w:hAnsi="Times New Roman" w:cs="Times New Roman"/>
          <w:sz w:val="20"/>
          <w:szCs w:val="20"/>
        </w:rPr>
      </w:pPr>
      <w:r>
        <w:rPr>
          <w:rFonts w:ascii="Times New Roman" w:eastAsia="楷体_GB2312" w:hAnsi="Times New Roman" w:cs="Times New Roman" w:hint="eastAsia"/>
          <w:b/>
          <w:bCs/>
          <w:sz w:val="20"/>
          <w:szCs w:val="20"/>
        </w:rPr>
        <w:t>五、乙方的权利与义务</w:t>
      </w:r>
    </w:p>
    <w:p w14:paraId="455B40E3"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8D51E2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（二）乙方具有完全适当的资格和能力订立与履行理财产品合同。</w:t>
      </w:r>
    </w:p>
    <w:p w14:paraId="51356F37" w14:textId="77777777" w:rsidR="00E24572" w:rsidRDefault="00E24572">
      <w:pPr>
        <w:spacing w:line="300" w:lineRule="exact"/>
        <w:ind w:firstLine="480"/>
        <w:rPr>
          <w:rFonts w:ascii="Times New Roman" w:eastAsia="楷体_GB2312" w:hAnsi="Times New Roman" w:cs="Times New Roman"/>
          <w:b/>
          <w:bCs/>
          <w:sz w:val="20"/>
          <w:szCs w:val="20"/>
        </w:rPr>
      </w:pPr>
    </w:p>
    <w:p w14:paraId="02F2A845"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六、违约责任</w:t>
      </w:r>
    </w:p>
    <w:p w14:paraId="322E1A56"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双方因违反本协议约定而给对方造成损失的，违约方应赔偿因此给对方造成的直接损失。</w:t>
      </w:r>
    </w:p>
    <w:p w14:paraId="09F86641" w14:textId="77777777" w:rsidR="00E24572" w:rsidRDefault="00E24572">
      <w:pPr>
        <w:spacing w:line="300" w:lineRule="exact"/>
        <w:ind w:firstLine="480"/>
        <w:rPr>
          <w:rFonts w:ascii="Times New Roman" w:eastAsia="楷体_GB2312" w:hAnsi="Times New Roman" w:cs="Times New Roman"/>
          <w:b/>
          <w:bCs/>
          <w:sz w:val="20"/>
          <w:szCs w:val="20"/>
        </w:rPr>
      </w:pPr>
    </w:p>
    <w:p w14:paraId="2DB522B9" w14:textId="77777777" w:rsidR="00E24572" w:rsidRDefault="001D2F77">
      <w:pPr>
        <w:spacing w:line="300" w:lineRule="exact"/>
        <w:ind w:firstLine="480"/>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七、免责内容</w:t>
      </w:r>
    </w:p>
    <w:p w14:paraId="1901D6A5"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因法律法规或监管政策变化、自然灾害、意外事故、战争、系统故障、通讯故障等信银理财客观不能预见、不能避免、不能克服的不可抗力事件或意外事件，</w:t>
      </w:r>
      <w:proofErr w:type="gramStart"/>
      <w:r>
        <w:rPr>
          <w:rFonts w:ascii="Times New Roman" w:eastAsia="楷体_GB2312" w:hAnsi="Times New Roman" w:cs="Times New Roman" w:hint="eastAsia"/>
          <w:b/>
          <w:bCs/>
          <w:sz w:val="20"/>
          <w:szCs w:val="20"/>
        </w:rPr>
        <w:t>导致信银</w:t>
      </w:r>
      <w:proofErr w:type="gramEnd"/>
      <w:r>
        <w:rPr>
          <w:rFonts w:ascii="Times New Roman" w:eastAsia="楷体_GB2312" w:hAnsi="Times New Roman" w:cs="Times New Roman" w:hint="eastAsia"/>
          <w:b/>
          <w:bCs/>
          <w:sz w:val="20"/>
          <w:szCs w:val="20"/>
        </w:rPr>
        <w:t>理财无法或延后履行本协议及《信银理财理财产品产品说明书》有关义务的，</w:t>
      </w:r>
      <w:proofErr w:type="gramStart"/>
      <w:r>
        <w:rPr>
          <w:rFonts w:ascii="Times New Roman" w:eastAsia="楷体_GB2312" w:hAnsi="Times New Roman" w:cs="Times New Roman" w:hint="eastAsia"/>
          <w:b/>
          <w:bCs/>
          <w:sz w:val="20"/>
          <w:szCs w:val="20"/>
        </w:rPr>
        <w:t>信银理财</w:t>
      </w:r>
      <w:proofErr w:type="gramEnd"/>
      <w:r>
        <w:rPr>
          <w:rFonts w:ascii="Times New Roman" w:eastAsia="楷体_GB2312" w:hAnsi="Times New Roman" w:cs="Times New Roman" w:hint="eastAsia"/>
          <w:b/>
          <w:bCs/>
          <w:sz w:val="20"/>
          <w:szCs w:val="20"/>
        </w:rPr>
        <w:t>不承担责任，但</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故意或重大过失造成的系统故障、通讯故障的除外。前述约定</w:t>
      </w:r>
      <w:proofErr w:type="gramStart"/>
      <w:r>
        <w:rPr>
          <w:rFonts w:ascii="Times New Roman" w:eastAsia="楷体_GB2312" w:hAnsi="Times New Roman" w:cs="Times New Roman" w:hint="eastAsia"/>
          <w:b/>
          <w:bCs/>
          <w:sz w:val="20"/>
          <w:szCs w:val="20"/>
        </w:rPr>
        <w:t>不</w:t>
      </w:r>
      <w:proofErr w:type="gramEnd"/>
      <w:r>
        <w:rPr>
          <w:rFonts w:ascii="Times New Roman" w:eastAsia="楷体_GB2312" w:hAnsi="Times New Roman" w:cs="Times New Roman" w:hint="eastAsia"/>
          <w:b/>
          <w:bCs/>
          <w:sz w:val="20"/>
          <w:szCs w:val="20"/>
        </w:rPr>
        <w:t>免除</w:t>
      </w:r>
      <w:proofErr w:type="gramStart"/>
      <w:r>
        <w:rPr>
          <w:rFonts w:ascii="Times New Roman" w:eastAsia="楷体_GB2312" w:hAnsi="Times New Roman" w:cs="Times New Roman" w:hint="eastAsia"/>
          <w:b/>
          <w:bCs/>
          <w:sz w:val="20"/>
          <w:szCs w:val="20"/>
        </w:rPr>
        <w:t>因信银理财</w:t>
      </w:r>
      <w:proofErr w:type="gramEnd"/>
      <w:r>
        <w:rPr>
          <w:rFonts w:ascii="Times New Roman" w:eastAsia="楷体_GB2312" w:hAnsi="Times New Roman" w:cs="Times New Roman" w:hint="eastAsia"/>
          <w:b/>
          <w:bCs/>
          <w:sz w:val="20"/>
          <w:szCs w:val="20"/>
        </w:rPr>
        <w:t>过错导致依法应由产品管理人承担的责任。乙方应在条件允许的情况下，采取必要的补救措施以减少不可抗力造成的损失</w:t>
      </w:r>
      <w:r>
        <w:rPr>
          <w:rFonts w:ascii="Times New Roman" w:eastAsia="楷体_GB2312" w:hAnsi="Times New Roman" w:cs="Times New Roman"/>
          <w:b/>
          <w:bCs/>
          <w:sz w:val="20"/>
          <w:szCs w:val="20"/>
        </w:rPr>
        <w:t>。</w:t>
      </w:r>
    </w:p>
    <w:p w14:paraId="197773DA" w14:textId="77777777" w:rsidR="00E24572" w:rsidRDefault="00E24572">
      <w:pPr>
        <w:spacing w:line="300" w:lineRule="exact"/>
        <w:ind w:firstLine="480"/>
        <w:rPr>
          <w:rFonts w:ascii="Times New Roman" w:eastAsia="楷体_GB2312" w:hAnsi="Times New Roman" w:cs="Times New Roman"/>
          <w:b/>
          <w:bCs/>
          <w:sz w:val="20"/>
          <w:szCs w:val="20"/>
        </w:rPr>
      </w:pPr>
    </w:p>
    <w:p w14:paraId="76943DB2"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八、争议解决</w:t>
      </w:r>
    </w:p>
    <w:p w14:paraId="300FD9FD"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（一）本协议及其他理财产品合同适用中华人民共和国法律（为履行理财产品合同之目的，不包括中国香港特别行政区、澳门特别行政区及台湾地区法律）。</w:t>
      </w:r>
    </w:p>
    <w:p w14:paraId="6B2A905B" w14:textId="77777777" w:rsidR="00E24572" w:rsidRDefault="001D2F77">
      <w:pPr>
        <w:spacing w:line="300" w:lineRule="exact"/>
        <w:ind w:firstLine="482"/>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rPr>
        <w:t>理财产品合同引起的或与本协议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5AF0DDE8" w14:textId="326611C3" w:rsidR="00E24572" w:rsidRDefault="001D2F7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bCs/>
          <w:sz w:val="20"/>
          <w:szCs w:val="20"/>
        </w:rPr>
        <w:t>（三）在协商或仲裁期间，对于本协议</w:t>
      </w:r>
      <w:r>
        <w:rPr>
          <w:rFonts w:ascii="Times New Roman" w:eastAsia="楷体_GB2312" w:hAnsi="Times New Roman" w:cs="Times New Roman" w:hint="eastAsia"/>
          <w:b/>
          <w:bCs/>
          <w:sz w:val="20"/>
          <w:szCs w:val="20"/>
        </w:rPr>
        <w:t>/</w:t>
      </w:r>
      <w:r>
        <w:rPr>
          <w:rFonts w:ascii="Times New Roman" w:eastAsia="楷体_GB2312" w:hAnsi="Times New Roman" w:cs="Times New Roman" w:hint="eastAsia"/>
          <w:b/>
          <w:bCs/>
          <w:sz w:val="20"/>
          <w:szCs w:val="20"/>
        </w:rPr>
        <w:t>理财产品合同</w:t>
      </w:r>
      <w:r w:rsidR="00AA6F26">
        <w:rPr>
          <w:rFonts w:ascii="Times New Roman" w:eastAsia="楷体_GB2312" w:hAnsi="Times New Roman" w:cs="Times New Roman" w:hint="eastAsia"/>
          <w:b/>
          <w:bCs/>
          <w:sz w:val="20"/>
          <w:szCs w:val="20"/>
        </w:rPr>
        <w:t>不</w:t>
      </w:r>
      <w:r>
        <w:rPr>
          <w:rFonts w:ascii="Times New Roman" w:eastAsia="楷体_GB2312" w:hAnsi="Times New Roman" w:cs="Times New Roman" w:hint="eastAsia"/>
          <w:b/>
          <w:bCs/>
          <w:sz w:val="20"/>
          <w:szCs w:val="20"/>
        </w:rPr>
        <w:t>涉及争议部分的条款，双方仍须履行。</w:t>
      </w:r>
    </w:p>
    <w:p w14:paraId="16A43A6E" w14:textId="77777777" w:rsidR="00E24572" w:rsidRDefault="00E24572">
      <w:pPr>
        <w:spacing w:line="300" w:lineRule="exact"/>
        <w:ind w:firstLine="480"/>
        <w:rPr>
          <w:rFonts w:ascii="Times New Roman" w:eastAsia="楷体_GB2312" w:hAnsi="Times New Roman" w:cs="Times New Roman"/>
          <w:b/>
          <w:sz w:val="20"/>
          <w:szCs w:val="20"/>
        </w:rPr>
      </w:pPr>
    </w:p>
    <w:p w14:paraId="657DE804" w14:textId="77777777" w:rsidR="00E24572" w:rsidRDefault="001D2F77">
      <w:pPr>
        <w:spacing w:line="300" w:lineRule="exact"/>
        <w:ind w:firstLine="480"/>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九、附则</w:t>
      </w:r>
    </w:p>
    <w:p w14:paraId="2A3AE062" w14:textId="77777777" w:rsidR="00E24572" w:rsidRDefault="001D2F7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Pr>
          <w:rFonts w:ascii="Times New Roman" w:eastAsia="楷体_GB2312" w:hAnsi="Times New Roman" w:cs="Times New Roman" w:hint="eastAsia"/>
          <w:b/>
          <w:sz w:val="20"/>
          <w:szCs w:val="20"/>
        </w:rPr>
        <w:t>勾选且</w:t>
      </w:r>
      <w:proofErr w:type="gramEnd"/>
      <w:r>
        <w:rPr>
          <w:rFonts w:ascii="Times New Roman" w:eastAsia="楷体_GB2312" w:hAnsi="Times New Roman" w:cs="Times New Roman" w:hint="eastAsia"/>
          <w:b/>
          <w:sz w:val="20"/>
          <w:szCs w:val="20"/>
        </w:rPr>
        <w:t>甲方产品认购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申购份额经乙方确认后生效。甲方知悉并确认，乙方对于甲方认购</w:t>
      </w:r>
      <w:r>
        <w:rPr>
          <w:rFonts w:ascii="Times New Roman" w:eastAsia="楷体_GB2312" w:hAnsi="Times New Roman" w:cs="Times New Roman"/>
          <w:b/>
          <w:sz w:val="20"/>
          <w:szCs w:val="20"/>
        </w:rPr>
        <w:t>/</w:t>
      </w:r>
      <w:r>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2FBEDDE7" w14:textId="77777777" w:rsidR="00E24572" w:rsidRDefault="001D2F77">
      <w:pPr>
        <w:spacing w:line="300" w:lineRule="exact"/>
        <w:ind w:firstLine="482"/>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4853B9A3" w14:textId="77777777" w:rsidR="00E24572" w:rsidRDefault="001D2F77">
      <w:pPr>
        <w:spacing w:line="300" w:lineRule="exact"/>
        <w:ind w:firstLine="482"/>
        <w:rPr>
          <w:rFonts w:ascii="Times New Roman" w:eastAsia="楷体_GB2312" w:hAnsi="Times New Roman" w:cs="Times New Roman"/>
          <w:b/>
          <w:sz w:val="20"/>
          <w:szCs w:val="20"/>
        </w:rPr>
      </w:pPr>
      <w:r>
        <w:rPr>
          <w:rFonts w:ascii="Times New Roman" w:eastAsia="楷体_GB2312" w:hAnsi="Times New Roman" w:cs="Times New Roman" w:hint="eastAsia"/>
          <w:b/>
          <w:sz w:val="20"/>
          <w:szCs w:val="20"/>
        </w:rPr>
        <w:lastRenderedPageBreak/>
        <w:t>（三）如果由于任何原因使本协议下的任何条款或者内容成为无效或者依法被撤销，本协议其他条款或内容的合法性，有效性和</w:t>
      </w:r>
      <w:proofErr w:type="gramStart"/>
      <w:r>
        <w:rPr>
          <w:rFonts w:ascii="Times New Roman" w:eastAsia="楷体_GB2312" w:hAnsi="Times New Roman" w:cs="Times New Roman" w:hint="eastAsia"/>
          <w:b/>
          <w:sz w:val="20"/>
          <w:szCs w:val="20"/>
        </w:rPr>
        <w:t>可</w:t>
      </w:r>
      <w:proofErr w:type="gramEnd"/>
      <w:r>
        <w:rPr>
          <w:rFonts w:ascii="Times New Roman" w:eastAsia="楷体_GB2312" w:hAnsi="Times New Roman" w:cs="Times New Roman" w:hint="eastAsia"/>
          <w:b/>
          <w:sz w:val="20"/>
          <w:szCs w:val="20"/>
        </w:rPr>
        <w:t>执行性不受影响。</w:t>
      </w:r>
    </w:p>
    <w:p w14:paraId="4F05906F" w14:textId="77777777" w:rsidR="00E24572" w:rsidRDefault="00E24572">
      <w:pPr>
        <w:spacing w:line="300" w:lineRule="exact"/>
        <w:rPr>
          <w:rFonts w:ascii="Times New Roman" w:eastAsia="楷体_GB2312" w:hAnsi="Times New Roman" w:cs="Times New Roman"/>
          <w:sz w:val="20"/>
          <w:szCs w:val="20"/>
        </w:rPr>
      </w:pPr>
    </w:p>
    <w:p w14:paraId="2382D395" w14:textId="77777777" w:rsidR="00E24572" w:rsidRDefault="00E24572">
      <w:pPr>
        <w:spacing w:line="300" w:lineRule="exact"/>
        <w:rPr>
          <w:rFonts w:ascii="Times New Roman" w:eastAsia="楷体_GB2312" w:hAnsi="Times New Roman" w:cs="Times New Roman"/>
          <w:sz w:val="20"/>
          <w:szCs w:val="20"/>
        </w:rPr>
      </w:pPr>
    </w:p>
    <w:p w14:paraId="6CFBCC20" w14:textId="77777777" w:rsidR="00E24572" w:rsidRDefault="001D2F77">
      <w:pPr>
        <w:spacing w:line="300" w:lineRule="exact"/>
        <w:rPr>
          <w:rFonts w:ascii="Times New Roman" w:eastAsia="楷体_GB2312" w:hAnsi="Times New Roman" w:cs="Times New Roman"/>
          <w:sz w:val="20"/>
          <w:szCs w:val="20"/>
        </w:rPr>
      </w:pPr>
      <w:r>
        <w:rPr>
          <w:rFonts w:ascii="Times New Roman" w:eastAsia="楷体_GB2312" w:hAnsi="Times New Roman" w:cs="Times New Roman"/>
          <w:b/>
          <w:sz w:val="20"/>
          <w:szCs w:val="20"/>
        </w:rPr>
        <w:t>甲方</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个人投资者（签字）</w:t>
      </w:r>
      <w:r>
        <w:rPr>
          <w:rFonts w:ascii="Times New Roman" w:eastAsia="楷体_GB2312" w:hAnsi="Times New Roman" w:cs="Times New Roman"/>
          <w:sz w:val="20"/>
          <w:szCs w:val="20"/>
        </w:rPr>
        <w:t xml:space="preserve">:               </w:t>
      </w:r>
    </w:p>
    <w:p w14:paraId="12D2CF07"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35624555"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3C5D0C7F"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机构投资者（公章）</w:t>
      </w:r>
      <w:r>
        <w:rPr>
          <w:rFonts w:ascii="Times New Roman" w:eastAsia="楷体_GB2312" w:hAnsi="Times New Roman" w:cs="Times New Roman"/>
          <w:sz w:val="20"/>
          <w:szCs w:val="20"/>
        </w:rPr>
        <w:t xml:space="preserve">:               </w:t>
      </w:r>
      <w:bookmarkStart w:id="0" w:name="_GoBack"/>
      <w:bookmarkEnd w:id="0"/>
    </w:p>
    <w:p w14:paraId="58B52C84"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法定代表人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负责人</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授权代表（签字</w:t>
      </w:r>
      <w:r>
        <w:rPr>
          <w:rFonts w:ascii="Times New Roman" w:eastAsia="楷体_GB2312" w:hAnsi="Times New Roman" w:cs="Times New Roman"/>
          <w:sz w:val="20"/>
          <w:szCs w:val="20"/>
        </w:rPr>
        <w:t>/</w:t>
      </w:r>
      <w:r>
        <w:rPr>
          <w:rFonts w:ascii="Times New Roman" w:eastAsia="楷体_GB2312" w:hAnsi="Times New Roman" w:cs="Times New Roman" w:hint="eastAsia"/>
          <w:sz w:val="20"/>
          <w:szCs w:val="20"/>
        </w:rPr>
        <w:t>盖章）：</w:t>
      </w:r>
    </w:p>
    <w:p w14:paraId="3979AFA0"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160AB0A3"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0C5367A4"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证件类别（个人投资者）：</w:t>
      </w:r>
      <w:r>
        <w:rPr>
          <w:rFonts w:ascii="Times New Roman" w:eastAsia="楷体_GB2312" w:hAnsi="Times New Roman" w:cs="Times New Roman"/>
          <w:sz w:val="20"/>
          <w:szCs w:val="20"/>
        </w:rPr>
        <w:t xml:space="preserve">             </w:t>
      </w:r>
    </w:p>
    <w:p w14:paraId="76BBC23C"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33272020"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1C1778D3" w14:textId="77777777" w:rsidR="00E24572" w:rsidRDefault="001D2F77">
      <w:pPr>
        <w:spacing w:line="300" w:lineRule="exact"/>
        <w:ind w:firstLineChars="300" w:firstLine="600"/>
        <w:rPr>
          <w:rFonts w:ascii="Times New Roman" w:eastAsia="楷体_GB2312" w:hAnsi="Times New Roman" w:cs="Times New Roman"/>
          <w:sz w:val="20"/>
          <w:szCs w:val="20"/>
        </w:rPr>
      </w:pPr>
      <w:r>
        <w:rPr>
          <w:rFonts w:ascii="Times New Roman" w:eastAsia="楷体_GB2312" w:hAnsi="Times New Roman" w:cs="Times New Roman" w:hint="eastAsia"/>
          <w:sz w:val="20"/>
          <w:szCs w:val="20"/>
        </w:rPr>
        <w:t>证件号（个人投资者）：</w:t>
      </w:r>
      <w:r>
        <w:rPr>
          <w:rFonts w:ascii="Times New Roman" w:eastAsia="楷体_GB2312" w:hAnsi="Times New Roman" w:cs="Times New Roman"/>
          <w:sz w:val="20"/>
          <w:szCs w:val="20"/>
        </w:rPr>
        <w:t xml:space="preserve">                </w:t>
      </w:r>
    </w:p>
    <w:p w14:paraId="4B830866" w14:textId="77777777" w:rsidR="00E24572" w:rsidRDefault="00E24572">
      <w:pPr>
        <w:spacing w:line="300" w:lineRule="exact"/>
        <w:ind w:firstLineChars="300" w:firstLine="600"/>
        <w:rPr>
          <w:rFonts w:ascii="Times New Roman" w:eastAsia="楷体_GB2312" w:hAnsi="Times New Roman" w:cs="Times New Roman"/>
          <w:sz w:val="20"/>
          <w:szCs w:val="20"/>
        </w:rPr>
      </w:pPr>
    </w:p>
    <w:p w14:paraId="7CE61169" w14:textId="77777777" w:rsidR="00E24572" w:rsidRDefault="00E24572">
      <w:pPr>
        <w:spacing w:line="300" w:lineRule="exact"/>
        <w:rPr>
          <w:rFonts w:ascii="Times New Roman" w:eastAsia="楷体_GB2312" w:hAnsi="Times New Roman" w:cs="Times New Roman"/>
          <w:sz w:val="20"/>
          <w:szCs w:val="20"/>
        </w:rPr>
      </w:pPr>
    </w:p>
    <w:p w14:paraId="2136D99D" w14:textId="77777777" w:rsidR="00E24572" w:rsidRDefault="00E24572"/>
    <w:p w14:paraId="1500EA1D" w14:textId="77777777" w:rsidR="00E24572" w:rsidRDefault="00E24572">
      <w:pPr>
        <w:rPr>
          <w:rFonts w:ascii="黑体" w:eastAsia="黑体" w:hAnsi="楷体_GB2312" w:cs="黑体"/>
          <w:b/>
          <w:bCs/>
          <w:color w:val="000000" w:themeColor="text1"/>
        </w:rPr>
      </w:pPr>
    </w:p>
    <w:p w14:paraId="600D8517" w14:textId="77777777" w:rsidR="004E0669" w:rsidRDefault="004E0669">
      <w:pPr>
        <w:spacing w:line="300" w:lineRule="exact"/>
        <w:ind w:rightChars="-330" w:right="-792"/>
        <w:jc w:val="center"/>
        <w:rPr>
          <w:rFonts w:ascii="黑体" w:eastAsia="黑体"/>
          <w:b/>
          <w:bCs/>
          <w:color w:val="000000" w:themeColor="text1"/>
        </w:rPr>
      </w:pPr>
    </w:p>
    <w:sectPr w:rsidR="004E0669">
      <w:headerReference w:type="default" r:id="rId8"/>
      <w:footerReference w:type="default" r:id="rId9"/>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93C92" w14:textId="77777777" w:rsidR="004B5D85" w:rsidRDefault="004B5D85">
      <w:r>
        <w:separator/>
      </w:r>
    </w:p>
  </w:endnote>
  <w:endnote w:type="continuationSeparator" w:id="0">
    <w:p w14:paraId="58995B90" w14:textId="77777777" w:rsidR="004B5D85" w:rsidRDefault="004B5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51D30" w14:textId="77777777" w:rsidR="00B640A5" w:rsidRDefault="00B640A5">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EB1D24" w:rsidRPr="00EB1D24">
      <w:rPr>
        <w:noProof/>
        <w:color w:val="000000" w:themeColor="text1"/>
        <w:lang w:val="zh-CN"/>
      </w:rPr>
      <w:t>4</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EB1D24">
      <w:rPr>
        <w:noProof/>
        <w:color w:val="000000" w:themeColor="text1"/>
      </w:rPr>
      <w:t>4</w:t>
    </w:r>
    <w:r>
      <w:rPr>
        <w:color w:val="000000" w:themeColor="text1"/>
      </w:rPr>
      <w:fldChar w:fldCharType="end"/>
    </w:r>
    <w:r>
      <w:rPr>
        <w:rFonts w:hint="eastAsia"/>
        <w:color w:val="000000" w:themeColor="text1"/>
      </w:rPr>
      <w:t>页</w:t>
    </w:r>
  </w:p>
  <w:p w14:paraId="7ACD776D" w14:textId="77777777" w:rsidR="00B640A5" w:rsidRDefault="00B640A5">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0FD94" w14:textId="77777777" w:rsidR="004B5D85" w:rsidRDefault="004B5D85">
      <w:r>
        <w:separator/>
      </w:r>
    </w:p>
  </w:footnote>
  <w:footnote w:type="continuationSeparator" w:id="0">
    <w:p w14:paraId="28D99352" w14:textId="77777777" w:rsidR="004B5D85" w:rsidRDefault="004B5D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9DD0" w14:textId="6705E2EA" w:rsidR="00B640A5" w:rsidRDefault="00B640A5" w:rsidP="00EB1D24">
    <w:pPr>
      <w:pStyle w:val="a6"/>
      <w:jc w:val="right"/>
    </w:pPr>
    <w:r>
      <w:t>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07FD3"/>
    <w:multiLevelType w:val="singleLevel"/>
    <w:tmpl w:val="04007FD3"/>
    <w:lvl w:ilvl="0">
      <w:start w:val="2"/>
      <w:numFmt w:val="decimal"/>
      <w:lvlText w:val="%1."/>
      <w:lvlJc w:val="left"/>
      <w:pPr>
        <w:tabs>
          <w:tab w:val="left" w:pos="312"/>
        </w:tabs>
      </w:pPr>
    </w:lvl>
  </w:abstractNum>
  <w:abstractNum w:abstractNumId="1">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2">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3">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4">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5">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6">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9">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6"/>
  </w:num>
  <w:num w:numId="2">
    <w:abstractNumId w:val="2"/>
  </w:num>
  <w:num w:numId="3">
    <w:abstractNumId w:val="0"/>
  </w:num>
  <w:num w:numId="4">
    <w:abstractNumId w:val="5"/>
  </w:num>
  <w:num w:numId="5">
    <w:abstractNumId w:val="9"/>
  </w:num>
  <w:num w:numId="6">
    <w:abstractNumId w:val="8"/>
  </w:num>
  <w:num w:numId="7">
    <w:abstractNumId w:val="4"/>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B7FFC826"/>
    <w:rsid w:val="BECFC637"/>
    <w:rsid w:val="CCF4A6B1"/>
    <w:rsid w:val="EADC2597"/>
    <w:rsid w:val="EB6C672A"/>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65CC2"/>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5173"/>
    <w:rsid w:val="001A720A"/>
    <w:rsid w:val="001A74E8"/>
    <w:rsid w:val="001A7BE3"/>
    <w:rsid w:val="001B01FF"/>
    <w:rsid w:val="001B1C1B"/>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173F"/>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5D85"/>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066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9AD"/>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5F69C5"/>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31A5"/>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689E"/>
    <w:rsid w:val="009B0089"/>
    <w:rsid w:val="009B1DC4"/>
    <w:rsid w:val="009B4622"/>
    <w:rsid w:val="009B56EF"/>
    <w:rsid w:val="009B58EC"/>
    <w:rsid w:val="009B5B81"/>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A3BFD"/>
    <w:rsid w:val="00AA5CB2"/>
    <w:rsid w:val="00AA6F26"/>
    <w:rsid w:val="00AA707F"/>
    <w:rsid w:val="00AA7BEB"/>
    <w:rsid w:val="00AB3DC6"/>
    <w:rsid w:val="00AB4AB1"/>
    <w:rsid w:val="00AB4C0B"/>
    <w:rsid w:val="00AB7DF7"/>
    <w:rsid w:val="00AC2BE4"/>
    <w:rsid w:val="00AC42F8"/>
    <w:rsid w:val="00AC550D"/>
    <w:rsid w:val="00AC6333"/>
    <w:rsid w:val="00AC6572"/>
    <w:rsid w:val="00AD05BE"/>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1ED"/>
    <w:rsid w:val="00B41274"/>
    <w:rsid w:val="00B41994"/>
    <w:rsid w:val="00B43C8F"/>
    <w:rsid w:val="00B45671"/>
    <w:rsid w:val="00B47537"/>
    <w:rsid w:val="00B51166"/>
    <w:rsid w:val="00B55BD2"/>
    <w:rsid w:val="00B55E40"/>
    <w:rsid w:val="00B574BD"/>
    <w:rsid w:val="00B57718"/>
    <w:rsid w:val="00B6170E"/>
    <w:rsid w:val="00B618B2"/>
    <w:rsid w:val="00B62647"/>
    <w:rsid w:val="00B640A5"/>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63F"/>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0FC"/>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46A1"/>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65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0D7C"/>
    <w:rsid w:val="00DB47F8"/>
    <w:rsid w:val="00DB7CB3"/>
    <w:rsid w:val="00DC075A"/>
    <w:rsid w:val="00DC1D1B"/>
    <w:rsid w:val="00DC2073"/>
    <w:rsid w:val="00DC3342"/>
    <w:rsid w:val="00DC3443"/>
    <w:rsid w:val="00DC61EB"/>
    <w:rsid w:val="00DD339B"/>
    <w:rsid w:val="00DD351D"/>
    <w:rsid w:val="00DD36EA"/>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4AD8"/>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1D24"/>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2AD7"/>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16766474"/>
    <w:rsid w:val="29BFC1DD"/>
    <w:rsid w:val="39402337"/>
    <w:rsid w:val="3FE1C6CC"/>
    <w:rsid w:val="4DED180A"/>
    <w:rsid w:val="4FF7DBC1"/>
    <w:rsid w:val="54F974BE"/>
    <w:rsid w:val="578EADB6"/>
    <w:rsid w:val="598A78EB"/>
    <w:rsid w:val="5A380F0B"/>
    <w:rsid w:val="5B1C54E4"/>
    <w:rsid w:val="650B63FE"/>
    <w:rsid w:val="686B0D4F"/>
    <w:rsid w:val="6D53E079"/>
    <w:rsid w:val="6FA30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B5B842-73CD-4B75-AE59-F741EB085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D82684AE-53D4-44D7-8F1B-30C01F78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581</Words>
  <Characters>3315</Characters>
  <Application>Microsoft Office Word</Application>
  <DocSecurity>0</DocSecurity>
  <Lines>27</Lines>
  <Paragraphs>7</Paragraphs>
  <ScaleCrop>false</ScaleCrop>
  <Company>citicbank</Company>
  <LinksUpToDate>false</LinksUpToDate>
  <CharactersWithSpaces>3889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141</cp:revision>
  <cp:lastPrinted>2024-03-14T16:50:00Z</cp:lastPrinted>
  <dcterms:created xsi:type="dcterms:W3CDTF">2023-09-15T09:52:00Z</dcterms:created>
  <dcterms:modified xsi:type="dcterms:W3CDTF">2025-11-03T09:46:00Z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5B8703658C1AA1414AC0D367DCDDCAEF_42</vt:lpwstr>
  </property>
</Properties>
</file>