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Times New Roman"/>
          <w:b/>
          <w:sz w:val="36"/>
          <w:szCs w:val="36"/>
        </w:rPr>
      </w:pPr>
      <w:r>
        <w:rPr>
          <w:rFonts w:ascii="楷体" w:eastAsia="楷体" w:hAnsi="楷体" w:cs="Times New Roman" w:hint="eastAsia"/>
          <w:b/>
          <w:sz w:val="36"/>
          <w:szCs w:val="36"/>
        </w:rPr>
        <w:t xml:space="preserve">“</w:t>
      </w:r>
      <w:r>
        <w:rPr>
          <w:rFonts w:ascii="楷体" w:eastAsia="楷体" w:hAnsi="楷体" w:cs="楷体" w:hint="eastAsia"/>
          <w:b/>
          <w:bCs/>
          <w:spacing w:val="-1"/>
          <w:sz w:val="36"/>
          <w:szCs w:val="36"/>
        </w:rPr>
        <w:t xml:space="preserve">苏银理财恒源封闭债权218期优选2年</w:t>
      </w:r>
      <w:r>
        <w:rPr>
          <w:rFonts w:ascii="楷体" w:eastAsia="楷体" w:hAnsi="楷体" w:cs="Times New Roman" w:hint="eastAsia"/>
          <w:b/>
          <w:sz w:val="36"/>
          <w:szCs w:val="36"/>
        </w:rPr>
        <w:t xml:space="preserve">”理财产品非标准化债权类资产变动公告</w:t>
      </w:r>
    </w:p>
    <w:p>
      <w:pPr>
        <w:pStyle w:val="Normal(Web)"/>
        <w:spacing w:before="0" w:beforeAutospacing="0" w:after="0" w:afterAutospacing="0" w:line="360" w:lineRule="auto"/>
        <w:rPr>
          <w:rFonts w:ascii="楷体" w:eastAsia="楷体" w:hAnsi="楷体" w:cs="Times New Roman"/>
        </w:rPr>
      </w:pPr>
      <w:r>
        <w:rPr>
          <w:rFonts w:ascii="楷体" w:eastAsia="楷体" w:hAnsi="楷体" w:cs="Times New Roman"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Times New Roman"/>
        </w:rPr>
      </w:pPr>
      <w:r>
        <w:rPr>
          <w:rFonts w:ascii="楷体" w:eastAsia="楷体" w:hAnsi="楷体" w:cs="Times New Roman" w:hint="eastAsia"/>
        </w:rPr>
        <w:t xml:space="preserve">“</w:t>
      </w:r>
      <w:r>
        <w:rPr>
          <w:rFonts w:ascii="楷体" w:eastAsia="楷体" w:hAnsi="楷体" w:cs="楷体" w:hint="eastAsia"/>
          <w:b w:val="0"/>
          <w:bCs w:val="0"/>
          <w:spacing w:val="-1"/>
          <w:sz w:val="24"/>
          <w:szCs w:val="24"/>
        </w:rPr>
        <w:t xml:space="preserve">苏银理财恒源封闭债权218期优选2年</w:t>
      </w:r>
      <w:r>
        <w:rPr>
          <w:rFonts w:ascii="楷体" w:eastAsia="楷体" w:hAnsi="楷体" w:cs="Times New Roman" w:hint="eastAsia"/>
        </w:rPr>
        <w:t xml:space="preserve">”理财产品</w:t>
      </w:r>
      <w:r>
        <w:rPr>
          <w:rFonts w:ascii="楷体" w:eastAsia="楷体" w:hAnsi="楷体" w:cs="Times New Roman" w:hint="eastAsia"/>
          <w:lang w:val="en-US" w:eastAsia="zh-CN"/>
        </w:rPr>
        <w:t xml:space="preserve">发生非标准化债权类资产变动，具体情况如下：</w:t>
      </w:r>
    </w:p>
    <w:p>
      <w:pPr>
        <w:pStyle w:val="Heading3"/>
        <w:rPr>
          <w:rFonts w:ascii="楷体" w:hAnsi="楷体"/>
        </w:rPr>
      </w:pPr>
      <w:r>
        <w:rPr>
          <w:rFonts w:ascii="楷体" w:hAnsi="楷体" w:hint="eastAsia"/>
        </w:rPr>
        <w:t xml:space="preserve">一</w:t>
      </w:r>
      <w:bookmarkStart w:id="0" w:name="_Toc535504139"/>
      <w:r>
        <w:rPr>
          <w:rFonts w:ascii="楷体" w:hAnsi="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473"/>
        <w:gridCol w:w="4148"/>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95"/>
        </w:trPr>
        <w:tc>
          <w:tcPr>
            <w:tcW w:w="4473" w:type="dxa"/>
            <w:vAlign w:val="center"/>
          </w:tcPr>
          <w:p>
            <w:pPr>
              <w:spacing w:line="320" w:lineRule="exact"/>
              <w:rPr>
                <w:rFonts w:ascii="楷体" w:eastAsia="楷体" w:hAnsi="楷体"/>
                <w:sz w:val="24"/>
                <w:szCs w:val="24"/>
              </w:rPr>
            </w:pPr>
            <w:r>
              <w:rPr>
                <w:rFonts w:ascii="楷体" w:eastAsia="楷体" w:hAnsi="楷体" w:hint="eastAsia"/>
                <w:sz w:val="24"/>
                <w:szCs w:val="24"/>
              </w:rPr>
              <w:t xml:space="preserve">产品名称</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苏银理财恒源封闭债权218期优选2年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sz w:val="24"/>
                <w:szCs w:val="24"/>
              </w:rPr>
            </w:pPr>
            <w:r>
              <w:rPr>
                <w:rFonts w:ascii="楷体" w:eastAsia="楷体" w:hAnsi="楷体" w:hint="eastAsia"/>
                <w:sz w:val="24"/>
                <w:szCs w:val="24"/>
              </w:rPr>
              <w:t xml:space="preserve">全国银行业理财信息登记系统登记编码</w:t>
            </w:r>
          </w:p>
        </w:tc>
        <w:tc>
          <w:tcPr>
            <w:tcW w:w="4148" w:type="dxa"/>
            <w:vAlign w:val="center"/>
          </w:tcPr>
          <w:p>
            <w:pPr>
              <w:spacing w:line="320" w:lineRule="exact"/>
              <w:jc w:val="center"/>
              <w:rPr>
                <w:rFonts w:ascii="楷体" w:eastAsia="楷体" w:hAnsi="楷体"/>
                <w:sz w:val="24"/>
                <w:szCs w:val="24"/>
                <w:highlight w:val="yellow"/>
              </w:rPr>
            </w:pPr>
            <w:r>
              <w:rPr>
                <w:rFonts w:ascii="楷体" w:eastAsia="楷体" w:hAnsi="楷体" w:cs="楷体" w:hint="eastAsia"/>
                <w:spacing w:val="-1"/>
                <w:sz w:val="24"/>
                <w:szCs w:val="24"/>
              </w:rPr>
              <w:t xml:space="preserve">Z7003125000189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default"/>
                <w:sz w:val="24"/>
                <w:szCs w:val="24"/>
                <w:lang w:val="en-US" w:eastAsia="zh-CN"/>
              </w:rPr>
            </w:pPr>
            <w:r>
              <w:rPr>
                <w:rFonts w:ascii="楷体" w:eastAsia="楷体" w:hAnsi="楷体" w:hint="eastAsia"/>
                <w:sz w:val="24"/>
                <w:szCs w:val="24"/>
                <w:lang w:val="en-US" w:eastAsia="zh-CN"/>
              </w:rPr>
              <w:t xml:space="preserve">销售代码</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J06121、J06122、J06123、J06124、J06125、J06126、J06127、J06128、J06130、J06131、J06132、J06133、J06134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eastAsia"/>
                <w:sz w:val="24"/>
                <w:szCs w:val="24"/>
                <w:lang w:val="en-US" w:eastAsia="zh-CN"/>
              </w:rPr>
            </w:pPr>
            <w:r>
              <w:rPr>
                <w:rFonts w:ascii="楷体" w:eastAsia="楷体" w:hAnsi="楷体" w:hint="eastAsia"/>
                <w:sz w:val="24"/>
                <w:szCs w:val="24"/>
              </w:rPr>
              <w:t xml:space="preserve">产品</w:t>
            </w:r>
            <w:r>
              <w:rPr>
                <w:rFonts w:ascii="楷体" w:eastAsia="楷体" w:hAnsi="楷体" w:hint="eastAsia"/>
                <w:sz w:val="24"/>
                <w:szCs w:val="24"/>
                <w:lang w:val="en-US" w:eastAsia="zh-CN"/>
              </w:rPr>
              <w:t xml:space="preserve">成立日</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2025-08-07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default"/>
                <w:sz w:val="24"/>
                <w:szCs w:val="24"/>
                <w:lang w:val="en-US" w:eastAsia="zh-CN"/>
              </w:rPr>
            </w:pPr>
            <w:r>
              <w:rPr>
                <w:rFonts w:ascii="楷体" w:eastAsia="楷体" w:hAnsi="楷体" w:hint="eastAsia"/>
                <w:sz w:val="24"/>
                <w:szCs w:val="24"/>
                <w:lang w:val="en-US" w:eastAsia="zh-CN"/>
              </w:rPr>
              <w:t xml:space="preserve">非标准化债权类资产变动日期</w:t>
            </w:r>
          </w:p>
        </w:tc>
        <w:tc>
          <w:tcPr>
            <w:tcW w:w="4148" w:type="dxa"/>
            <w:vAlign w:val="center"/>
          </w:tcPr>
          <w:p>
            <w:pPr>
              <w:spacing w:line="320" w:lineRule="exact"/>
              <w:jc w:val="center"/>
              <w:rPr>
                <w:rFonts w:ascii="楷体" w:eastAsia="楷体" w:hAnsi="楷体"/>
                <w:sz w:val="24"/>
                <w:szCs w:val="24"/>
                <w:highlight w:val="yellow"/>
              </w:rPr>
            </w:pPr>
            <w:r>
              <w:rPr>
                <w:rFonts w:ascii="楷体" w:eastAsia="楷体" w:hAnsi="楷体" w:cs="楷体" w:hint="eastAsia"/>
                <w:b w:val="0"/>
                <w:bCs w:val="0"/>
                <w:spacing w:val="-1"/>
                <w:sz w:val="24"/>
                <w:szCs w:val="24"/>
              </w:rPr>
              <w:t xml:space="preserve">2025-08-28</w:t>
            </w:r>
          </w:p>
        </w:tc>
      </w:tr>
    </w:tbl>
    <w:p>
      <w:pPr>
        <w:pStyle w:val="标题4"/>
        <w:rPr>
          <w:rFonts w:ascii="楷体" w:hAnsi="楷体"/>
        </w:rPr>
      </w:pPr>
    </w:p>
    <w:p>
      <w:pPr>
        <w:pStyle w:val="Heading3"/>
        <w:rPr>
          <w:rFonts w:ascii="楷体" w:hAnsi="楷体" w:hint="default"/>
          <w:lang w:val="en-US" w:eastAsia="zh-CN"/>
        </w:rPr>
      </w:pPr>
      <w:r>
        <w:rPr>
          <w:rFonts w:ascii="楷体" w:hAnsi="楷体" w:hint="eastAsia"/>
          <w:lang w:val="en-US" w:eastAsia="zh-CN"/>
        </w:rPr>
        <w:t xml:space="preserve">二、增加的非标准化债权类资产明细</w:t>
      </w:r>
    </w:p>
    <w:tbl>
      <w:tblPr>
        <w:tblStyle w:val="TableNormal"/>
        <w:tblW w:w="8727" w:type="dxa"/>
        <w:jc w:val="center"/>
        <w:tblInd w:w="0" w:type="dxa"/>
        <w:tblLayout w:type="fixed"/>
        <w:tblCellMar>
          <w:top w:w="0" w:type="dxa"/>
          <w:left w:w="108" w:type="dxa"/>
          <w:bottom w:w="0" w:type="dxa"/>
          <w:right w:w="108" w:type="dxa"/>
        </w:tblCellMar>
        <w:tblLook w:firstRow="0" w:lastRow="0" w:firstColumn="0" w:lastColumn="0" w:noHBand="1" w:noVBand="1"/>
      </w:tblPr>
      <w:tblGrid>
        <w:gridCol w:w="978"/>
        <w:gridCol w:w="1824"/>
        <w:gridCol w:w="1410"/>
        <w:gridCol w:w="1245"/>
        <w:gridCol w:w="1335"/>
        <w:gridCol w:w="1080"/>
        <w:gridCol w:w="855"/>
      </w:tblGrid>
      <w:tr>
        <w:tblPrEx>
          <w:tblW w:w="8727" w:type="dxa"/>
          <w:tblInd w:w="0" w:type="dxa"/>
          <w:tblLayout w:type="fixed"/>
          <w:tblCellMar>
            <w:top w:w="0" w:type="dxa"/>
            <w:left w:w="108" w:type="dxa"/>
            <w:bottom w:w="0" w:type="dxa"/>
            <w:right w:w="108" w:type="dxa"/>
          </w:tblCellMar>
        </w:tblPrEx>
        <w:trPr>
          <w:trHeight w:val="272"/>
          <w:jc w:val="center"/>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eastAsia"/>
                <w:sz w:val="24"/>
                <w:szCs w:val="24"/>
                <w:lang w:val="en-US" w:eastAsia="zh-CN"/>
              </w:rPr>
            </w:pPr>
            <w:r>
              <w:rPr>
                <w:rFonts w:ascii="楷体" w:eastAsia="楷体" w:hAnsi="楷体" w:hint="eastAsia"/>
                <w:sz w:val="24"/>
                <w:szCs w:val="24"/>
                <w:lang w:val="en-US" w:eastAsia="zh-CN"/>
              </w:rPr>
              <w:t xml:space="preserve">序号</w:t>
            </w:r>
          </w:p>
        </w:tc>
        <w:tc>
          <w:tcPr>
            <w:tcW w:w="1824"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剩余融资期限（天）</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风险状况</w:t>
            </w:r>
          </w:p>
        </w:tc>
      </w:tr>
      <w:tr>
        <w:tblPrEx>
          <w:tblW w:w="8727" w:type="dxa"/>
          <w:tblInd w:w="0" w:type="dxa"/>
          <w:tblLayout w:type="fixed"/>
          <w:tblCellMar>
            <w:top w:w="0" w:type="dxa"/>
            <w:left w:w="108" w:type="dxa"/>
            <w:bottom w:w="0" w:type="dxa"/>
            <w:right w:w="108" w:type="dxa"/>
          </w:tblCellMar>
        </w:tblPrEx>
        <w:trPr>
          <w:trHeight w:val="272"/>
          <w:jc w:val="center"/>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default"/>
                <w:sz w:val="22"/>
                <w:szCs w:val="24"/>
                <w:lang w:val="en-US" w:eastAsia="zh-CN"/>
              </w:rPr>
            </w:pPr>
            <w:r>
              <w:rPr>
                <w:rFonts w:ascii="楷体" w:eastAsia="楷体" w:hAnsi="楷体" w:cs="楷体" w:hint="eastAsia"/>
                <w:spacing w:val="-2"/>
                <w:sz w:val="20"/>
                <w:szCs w:val="20"/>
              </w:rPr>
              <w:t xml:space="preserve">1</w:t>
            </w: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楷体" w:eastAsia="楷体" w:hAnsi="楷体" w:hint="eastAsia"/>
                <w:sz w:val="22"/>
                <w:szCs w:val="24"/>
                <w:highlight w:val="yellow"/>
                <w:lang w:val="en-US" w:eastAsia="zh-CN"/>
              </w:rPr>
            </w:pPr>
            <w:r>
              <w:rPr>
                <w:rFonts w:ascii="楷体" w:eastAsia="楷体" w:hAnsi="楷体" w:cs="楷体" w:hint="eastAsia"/>
                <w:sz w:val="22"/>
              </w:rPr>
              <w:t xml:space="preserve">浙江吉利控股集团有限公司作为额补足承诺人的对资产池网约车享有的收费权</w:t>
            </w:r>
          </w:p>
        </w:tc>
        <w:tc>
          <w:tcPr>
            <w:tcW w:w="141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招商信诺资管-绿色出行1号资产支持计划（第2期）-A2</w:t>
            </w:r>
          </w:p>
        </w:tc>
        <w:tc>
          <w:tcPr>
            <w:tcW w:w="124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719</w:t>
            </w:r>
          </w:p>
        </w:tc>
        <w:tc>
          <w:tcPr>
            <w:tcW w:w="133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循环期按季付息不还本，摊还期按季过手摊还本息;</w:t>
            </w:r>
          </w:p>
        </w:tc>
        <w:tc>
          <w:tcPr>
            <w:tcW w:w="108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正常</w:t>
            </w:r>
          </w:p>
        </w:tc>
      </w:tr>
    </w:tbl>
    <w:p>
      <w:pPr>
        <w:pStyle w:val="标题4"/>
        <w:rPr>
          <w:rFonts w:ascii="楷体" w:hAnsi="楷体"/>
        </w:rPr>
      </w:pPr>
    </w:p>
    <w:p>
      <w:pPr>
        <w:pStyle w:val="Heading3"/>
        <w:numPr>
          <w:ilvl w:val="0"/>
          <w:numId w:val="3"/>
        </w:numPr>
        <w:rPr>
          <w:rFonts w:ascii="楷体" w:hAnsi="楷体" w:hint="eastAsia"/>
          <w:lang w:val="en-US" w:eastAsia="zh-CN"/>
        </w:rPr>
      </w:pPr>
      <w:r>
        <w:rPr>
          <w:rFonts w:ascii="楷体" w:hAnsi="楷体" w:hint="eastAsia"/>
          <w:lang w:val="en-US" w:eastAsia="zh-CN"/>
        </w:rPr>
        <w:t xml:space="preserve">减少的非标准化债权类资产明细</w:t>
      </w:r>
    </w:p>
    <w:tbl>
      <w:tblPr>
        <w:tblStyle w:val="TableNormal"/>
        <w:tblW w:w="8727" w:type="dxa"/>
        <w:tblInd w:w="0" w:type="dxa"/>
        <w:tblLayout w:type="fixed"/>
        <w:tblCellMar>
          <w:top w:w="0" w:type="dxa"/>
          <w:left w:w="108" w:type="dxa"/>
          <w:bottom w:w="0" w:type="dxa"/>
          <w:right w:w="108" w:type="dxa"/>
        </w:tblCellMar>
        <w:tblLook w:firstRow="0" w:lastRow="0" w:firstColumn="0" w:lastColumn="0" w:noHBand="1" w:noVBand="1"/>
      </w:tblPr>
      <w:tblGrid>
        <w:gridCol w:w="978"/>
        <w:gridCol w:w="1824"/>
        <w:gridCol w:w="1410"/>
        <w:gridCol w:w="1245"/>
        <w:gridCol w:w="1335"/>
        <w:gridCol w:w="1080"/>
        <w:gridCol w:w="855"/>
      </w:tblGrid>
      <w:tr>
        <w:tblPrEx>
          <w:tblW w:w="8727" w:type="dxa"/>
          <w:tblInd w:w="0" w:type="dxa"/>
          <w:tblLayout w:type="fixed"/>
          <w:tblCellMar>
            <w:top w:w="0" w:type="dxa"/>
            <w:left w:w="108" w:type="dxa"/>
            <w:bottom w:w="0" w:type="dxa"/>
            <w:right w:w="108" w:type="dxa"/>
          </w:tblCellMar>
        </w:tblPrEx>
        <w:trPr>
          <w:trHeight w:val="270"/>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lang w:val="en-US" w:eastAsia="zh-CN"/>
              </w:rPr>
              <w:t xml:space="preserve">序号</w:t>
            </w:r>
          </w:p>
        </w:tc>
        <w:tc>
          <w:tcPr>
            <w:tcW w:w="1824"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剩余融资期限（天）</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风险状况</w:t>
            </w:r>
          </w:p>
        </w:tc>
      </w:tr>
      <w:tr>
        <w:tblPrEx>
          <w:tblW w:w="8727" w:type="dxa"/>
          <w:tblInd w:w="0" w:type="dxa"/>
          <w:tblLayout w:type="fixed"/>
          <w:tblCellMar>
            <w:top w:w="0" w:type="dxa"/>
            <w:left w:w="108" w:type="dxa"/>
            <w:bottom w:w="0" w:type="dxa"/>
            <w:right w:w="108" w:type="dxa"/>
          </w:tblCellMar>
        </w:tblPrEx>
        <w:trPr>
          <w:trHeight w:val="270"/>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default"/>
                <w:sz w:val="22"/>
                <w:szCs w:val="24"/>
                <w:lang w:val="en-US" w:eastAsia="zh-CN"/>
              </w:rPr>
            </w:pPr>
            <w:r>
              <w:rPr>
                <w:rFonts w:ascii="楷体" w:eastAsia="楷体" w:hAnsi="楷体" w:cs="楷体" w:hint="eastAsia"/>
                <w:spacing w:val="-2"/>
                <w:sz w:val="24"/>
                <w:szCs w:val="24"/>
              </w:rPr>
              <w:t xml:space="preserve">-</w:t>
            </w: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楷体" w:eastAsia="楷体" w:hAnsi="楷体" w:hint="eastAsia"/>
                <w:sz w:val="22"/>
                <w:szCs w:val="24"/>
                <w:highlight w:val="yellow"/>
                <w:lang w:val="en-US" w:eastAsia="zh-CN"/>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r>
    </w:tbl>
    <w:p>
      <w:pPr>
        <w:numPr>
          <w:ilvl w:val="0"/>
          <w:numId w:val="0"/>
        </w:numPr>
        <w:rPr>
          <w:rFonts w:hint="default"/>
          <w:lang w:val="en-US" w:eastAsia="zh-CN"/>
        </w:rPr>
      </w:pP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苏银理财有限责任公司将本着“受人之托、代人理财”的服务宗旨，切实履行产品管理人职责，感谢您一直以来对苏银理财的支持！</w:t>
      </w: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特此公告。</w:t>
      </w:r>
    </w:p>
    <w:p>
      <w:pPr>
        <w:rPr>
          <w:rFonts w:ascii="楷体" w:eastAsia="楷体" w:hAnsi="楷体"/>
        </w:rPr>
      </w:pPr>
    </w:p>
    <w:p>
      <w:pPr>
        <w:jc w:val="right"/>
        <w:rPr>
          <w:rFonts w:ascii="楷体" w:eastAsia="楷体" w:hAnsi="楷体"/>
          <w:sz w:val="24"/>
          <w:szCs w:val="24"/>
        </w:rPr>
      </w:pPr>
      <w:r>
        <w:rPr>
          <w:rFonts w:ascii="楷体" w:eastAsia="楷体" w:hAnsi="楷体" w:hint="eastAsia"/>
          <w:b/>
          <w:sz w:val="24"/>
          <w:szCs w:val="24"/>
        </w:rPr>
        <w:t xml:space="preserve">苏银理财</w:t>
      </w:r>
      <w:r>
        <w:rPr>
          <w:rFonts w:ascii="楷体" w:eastAsia="楷体" w:hAnsi="楷体"/>
          <w:b/>
          <w:sz w:val="24"/>
          <w:szCs w:val="24"/>
        </w:rPr>
        <w:t xml:space="preserve">有限责任公司</w:t>
      </w:r>
    </w:p>
    <w:p>
      <w:pPr>
        <w:ind w:right="105"/>
        <w:jc w:val="right"/>
        <w:rPr>
          <w:rFonts w:ascii="楷体" w:eastAsia="楷体" w:hAnsi="楷体"/>
        </w:rPr>
      </w:pPr>
      <w:r>
        <w:rPr>
          <w:rFonts w:ascii="楷体" w:eastAsia="楷体" w:hAnsi="楷体" w:cs="楷体" w:hint="eastAsia"/>
          <w:b w:val="0"/>
          <w:bCs w:val="0"/>
          <w:spacing w:val="-1"/>
          <w:sz w:val="24"/>
          <w:szCs w:val="24"/>
        </w:rPr>
        <w:t xml:space="preserve">2025年08月29日</w:t>
      </w:r>
    </w:p>
    <w:p>
      <w:pPr>
        <w:rPr>
          <w:rFonts w:ascii="楷体" w:eastAsia="楷体" w:hAnsi="楷体" w:cs="Times New Roman" w:hint="eastAsia"/>
          <w:kern w:val="0"/>
          <w:sz w:val="24"/>
          <w:szCs w:val="24"/>
          <w:lang w:val="en-US" w:eastAsia="zh-CN" w:bidi="ar-SA"/>
        </w:rPr>
      </w:pPr>
    </w:p>
    <w:p>
      <w:pPr>
        <w:rPr>
          <w:rFonts w:ascii="楷体" w:eastAsia="楷体" w:hAnsi="楷体" w:cs="Times New Roman" w:hint="eastAsia"/>
          <w:kern w:val="0"/>
          <w:sz w:val="24"/>
          <w:szCs w:val="24"/>
          <w:lang w:val="en-US" w:eastAsia="zh-CN" w:bidi="ar-SA"/>
        </w:rPr>
      </w:pPr>
      <w:r>
        <w:rPr>
          <w:rFonts w:ascii="楷体" w:eastAsia="楷体" w:hAnsi="楷体" w:cs="Times New Roman" w:hint="eastAsia"/>
          <w:kern w:val="0"/>
          <w:sz w:val="24"/>
          <w:szCs w:val="24"/>
          <w:lang w:val="en-US" w:eastAsia="zh-CN" w:bidi="ar-SA"/>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1</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573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573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574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574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9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2025-06-23T07:52:57Z</dcterms:modified>
  <cp:revision>10</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465</Words>
  <Characters>2651</Characters>
  <Lines>22</Lines>
  <Paragraphs>6</Paragraphs>
  <TotalTime>0</TotalTime>
  <ScaleCrop>false</ScaleCrop>
  <LinksUpToDate>false</LinksUpToDate>
  <CharactersWithSpaces>3110</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465</Words>
  <Characters>2651</Characters>
  <Application>WPS Office_10.8.2.7119_F1E327BC-269C-435d-A152-05C5408002CA</Application>
  <DocSecurity>0</DocSecurity>
  <Lines>22</Lines>
  <Paragraphs>6</Paragraphs>
  <Company>WORKGROUP</Company>
  <CharactersWithSpaces>3110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10</cp:revision>
  <dcterms:created xsi:type="dcterms:W3CDTF">2021-11-18T10:04:00Z</dcterms:created>
  <dcterms:modified xsi:type="dcterms:W3CDTF">2025-08-29T00:38:50Z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