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恒源1年定开26期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恒源1年定开26期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3</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11</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383"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56"/>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3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3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恒源1年定开26期</w:t>
                  </w:r>
                  <w:r>
                    <w:rPr>
                      <w:rFonts w:hint="eastAsia" w:ascii="楷体" w:hAnsi="楷体" w:eastAsia="楷体" w:cs="宋体"/>
                      <w:spacing w:val="-2"/>
                      <w:sz w:val="18"/>
                      <w:szCs w:val="18"/>
                      <w:highlight w:val="none"/>
                      <w:lang w:val="en-US" w:eastAsia="zh-CN"/>
                    </w:rPr>
                    <w:t>C</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J07523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恒源1年定开26期</w:t>
                  </w:r>
                  <w:r>
                    <w:rPr>
                      <w:rFonts w:hint="eastAsia" w:ascii="楷体" w:hAnsi="楷体" w:eastAsia="楷体" w:cs="宋体"/>
                      <w:spacing w:val="-2"/>
                      <w:sz w:val="18"/>
                      <w:szCs w:val="18"/>
                      <w:highlight w:val="none"/>
                      <w:lang w:val="en-US" w:eastAsia="zh-CN"/>
                    </w:rPr>
                    <w:t>P</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J07524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苏银理财恒源1年定开26期ZN（自动赎回）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J07527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苏银理财恒源1年定开26期ZQ（自动赎回）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J07528</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3"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383"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52"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9</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9</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2025年9月12日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4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64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按投资周期开放申购与赎回，投资者可在每个投资周期终止日前7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按投资周期开放申购，投资者可在每个投资周期终止日前7日（含投资周期终止日）内，通过销售机构提出申购申请，管理人于投资周期终止日次日对申购申请予以统一确认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highlight w:val="none"/>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（2）调整D份额销售对象、认购起点/追加金额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D份额个人投资者认购起点50万元，追加金额为1万元的整数倍；机构投资者认购起点5000万元，追加金额为1万元的整数倍。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（3）调整业绩比较基准与超额业绩报酬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2.83</w:t>
            </w:r>
            <w:r>
              <w:rPr>
                <w:rFonts w:hint="default" w:ascii="楷体" w:hAnsi="楷体" w:eastAsia="楷体" w:cs="楷体"/>
                <w:lang w:val="en-US" w:eastAsia="zh-CN"/>
              </w:rPr>
              <w:t>%-</w:t>
            </w:r>
            <w:r>
              <w:rPr>
                <w:rFonts w:hint="eastAsia" w:ascii="楷体" w:hAnsi="楷体" w:eastAsia="楷体" w:cs="楷体"/>
                <w:lang w:val="en-US" w:eastAsia="zh-CN"/>
              </w:rPr>
              <w:t>3.43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2.95</w:t>
            </w:r>
            <w:r>
              <w:rPr>
                <w:rFonts w:hint="default" w:ascii="楷体" w:hAnsi="楷体" w:eastAsia="楷体" w:cs="楷体"/>
                <w:lang w:val="en-US" w:eastAsia="zh-CN"/>
              </w:rPr>
              <w:t>%-</w:t>
            </w:r>
            <w:r>
              <w:rPr>
                <w:rFonts w:hint="eastAsia" w:ascii="楷体" w:hAnsi="楷体" w:eastAsia="楷体" w:cs="楷体"/>
                <w:lang w:val="en-US" w:eastAsia="zh-CN"/>
              </w:rPr>
              <w:t>3.55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2.90</w:t>
            </w:r>
            <w:r>
              <w:rPr>
                <w:rFonts w:hint="default" w:ascii="楷体" w:hAnsi="楷体" w:eastAsia="楷体" w:cs="楷体"/>
                <w:lang w:val="en-US" w:eastAsia="zh-CN"/>
              </w:rPr>
              <w:t>%-</w:t>
            </w:r>
            <w:r>
              <w:rPr>
                <w:rFonts w:hint="eastAsia" w:ascii="楷体" w:hAnsi="楷体" w:eastAsia="楷体" w:cs="楷体"/>
                <w:lang w:val="en-US" w:eastAsia="zh-CN"/>
              </w:rPr>
              <w:t>3.50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管理人按投资周期收取超额业绩报酬。假设单一投资周期的各份额实际年化投资收益在扣除托管费、销售服务费、投资管理费以及运作产品所必须缴纳的税费后为R：</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若R&lt;业绩比较基准下限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，管理人无超额业绩报酬；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≤R&lt;业绩比较基准上限，管理人对超出【业绩比较基准下限+（业绩比较基准上限-业绩比较基准下限）*</w:t>
            </w:r>
            <w:r>
              <w:rPr>
                <w:rFonts w:hint="eastAsia" w:ascii="楷体" w:hAnsi="楷体" w:eastAsia="楷体" w:cs="宋体"/>
                <w:spacing w:val="-2"/>
                <w:sz w:val="18"/>
                <w:szCs w:val="18"/>
                <w:highlight w:val="none"/>
                <w:lang w:val="en-US" w:eastAsia="zh-CN"/>
              </w:rPr>
              <w:t>60</w:t>
            </w:r>
            <w:r>
              <w:rPr>
                <w:rFonts w:hint="eastAsia" w:ascii="楷体" w:hAnsi="楷体" w:eastAsia="楷体" w:cs="宋体"/>
                <w:spacing w:val="-2"/>
                <w:sz w:val="18"/>
                <w:szCs w:val="18"/>
                <w:highlight w:val="none"/>
              </w:rPr>
              <w:t>%】的部分，收取40%的超额业绩报酬；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若R≥业绩比较基准上限，管理人对</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与业绩比较基准</w:t>
            </w:r>
            <w:r>
              <w:rPr>
                <w:rFonts w:hint="eastAsia" w:ascii="楷体" w:hAnsi="楷体" w:eastAsia="楷体" w:cs="宋体"/>
                <w:spacing w:val="-2"/>
                <w:sz w:val="18"/>
                <w:szCs w:val="18"/>
                <w:highlight w:val="none"/>
                <w:lang w:val="en-US" w:eastAsia="zh-CN"/>
              </w:rPr>
              <w:t>上</w:t>
            </w:r>
            <w:r>
              <w:rPr>
                <w:rFonts w:hint="eastAsia" w:ascii="楷体" w:hAnsi="楷体" w:eastAsia="楷体" w:cs="宋体"/>
                <w:spacing w:val="-2"/>
                <w:sz w:val="18"/>
                <w:szCs w:val="18"/>
                <w:highlight w:val="none"/>
              </w:rPr>
              <w:t>限之间的部分，收取40%的超额业绩报酬；管理人对超出业绩比较基准上限的部分，收取60%的超额业绩报酬。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0.55%/年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bookmarkStart w:id="0" w:name="_GoBack"/>
            <w:bookmarkEnd w:id="0"/>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0.70%/年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ZQ份额 0.80%/年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12</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3</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9</w:t>
      </w:r>
      <w:r>
        <w:rPr>
          <w:rFonts w:hint="eastAsia" w:ascii="楷体" w:hAnsi="楷体" w:eastAsia="楷体"/>
          <w:sz w:val="28"/>
          <w:szCs w:val="28"/>
          <w:lang w:eastAsia="zh-CN"/>
        </w:rPr>
        <w:t>月</w:t>
      </w:r>
      <w:r>
        <w:rPr>
          <w:rFonts w:hint="eastAsia" w:ascii="楷体" w:hAnsi="楷体" w:eastAsia="楷体"/>
          <w:sz w:val="28"/>
          <w:szCs w:val="28"/>
          <w:lang w:val="en-US" w:eastAsia="zh-CN"/>
        </w:rPr>
        <w:t>11</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8</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26</w:t>
      </w:r>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A62BE9"/>
    <w:rsid w:val="02CD6006"/>
    <w:rsid w:val="02D16326"/>
    <w:rsid w:val="02E14AB1"/>
    <w:rsid w:val="033A123E"/>
    <w:rsid w:val="034335FA"/>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93B5BA9"/>
    <w:rsid w:val="097F69FA"/>
    <w:rsid w:val="099D0555"/>
    <w:rsid w:val="09FF588F"/>
    <w:rsid w:val="0A392F7B"/>
    <w:rsid w:val="0A77384F"/>
    <w:rsid w:val="0ACC4A81"/>
    <w:rsid w:val="0B8445B4"/>
    <w:rsid w:val="0B9C374F"/>
    <w:rsid w:val="0BA11BEE"/>
    <w:rsid w:val="0BEC30C9"/>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B64F8F"/>
    <w:rsid w:val="15CF287D"/>
    <w:rsid w:val="162F011F"/>
    <w:rsid w:val="16BB26F8"/>
    <w:rsid w:val="16CD5009"/>
    <w:rsid w:val="17121734"/>
    <w:rsid w:val="176A14D9"/>
    <w:rsid w:val="17C078CB"/>
    <w:rsid w:val="17E23DD4"/>
    <w:rsid w:val="181E174A"/>
    <w:rsid w:val="183A3312"/>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76388C"/>
    <w:rsid w:val="1FB6782F"/>
    <w:rsid w:val="209B1322"/>
    <w:rsid w:val="20A57817"/>
    <w:rsid w:val="20C13F30"/>
    <w:rsid w:val="212C6D72"/>
    <w:rsid w:val="213644A8"/>
    <w:rsid w:val="21510889"/>
    <w:rsid w:val="22546781"/>
    <w:rsid w:val="23151294"/>
    <w:rsid w:val="233F63EE"/>
    <w:rsid w:val="237F15A3"/>
    <w:rsid w:val="23A55F71"/>
    <w:rsid w:val="23AB2404"/>
    <w:rsid w:val="23AC7493"/>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D004E"/>
    <w:rsid w:val="42044479"/>
    <w:rsid w:val="425F0F38"/>
    <w:rsid w:val="42AB75CB"/>
    <w:rsid w:val="42CE5FBB"/>
    <w:rsid w:val="42E90E20"/>
    <w:rsid w:val="43A0700B"/>
    <w:rsid w:val="44991AE0"/>
    <w:rsid w:val="44BD6023"/>
    <w:rsid w:val="44F778DB"/>
    <w:rsid w:val="45047CA4"/>
    <w:rsid w:val="451609AC"/>
    <w:rsid w:val="4594103F"/>
    <w:rsid w:val="45B4435C"/>
    <w:rsid w:val="45E83876"/>
    <w:rsid w:val="45EB52C6"/>
    <w:rsid w:val="46625BDF"/>
    <w:rsid w:val="46B94F03"/>
    <w:rsid w:val="47585D41"/>
    <w:rsid w:val="47631940"/>
    <w:rsid w:val="47762CA8"/>
    <w:rsid w:val="477A5D4D"/>
    <w:rsid w:val="47AC5CCC"/>
    <w:rsid w:val="47E37682"/>
    <w:rsid w:val="47E7403E"/>
    <w:rsid w:val="47F27979"/>
    <w:rsid w:val="480774F3"/>
    <w:rsid w:val="4845132D"/>
    <w:rsid w:val="48BB4465"/>
    <w:rsid w:val="49216DBC"/>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2294F82"/>
    <w:rsid w:val="52500057"/>
    <w:rsid w:val="526268DD"/>
    <w:rsid w:val="5274712B"/>
    <w:rsid w:val="5305453E"/>
    <w:rsid w:val="549473C0"/>
    <w:rsid w:val="54F40A45"/>
    <w:rsid w:val="55F82031"/>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E6B43CE"/>
    <w:rsid w:val="5E923EC9"/>
    <w:rsid w:val="5F963482"/>
    <w:rsid w:val="5FA6139F"/>
    <w:rsid w:val="601B0AEB"/>
    <w:rsid w:val="60367908"/>
    <w:rsid w:val="604D0E43"/>
    <w:rsid w:val="60D713FC"/>
    <w:rsid w:val="611976DA"/>
    <w:rsid w:val="617A47CC"/>
    <w:rsid w:val="61C21FBF"/>
    <w:rsid w:val="62025FCA"/>
    <w:rsid w:val="62192F56"/>
    <w:rsid w:val="62262AD4"/>
    <w:rsid w:val="62730DFD"/>
    <w:rsid w:val="6281495E"/>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6FEA785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2009</Words>
  <Characters>2336</Characters>
  <Lines>2</Lines>
  <Paragraphs>1</Paragraphs>
  <TotalTime>16</TotalTime>
  <ScaleCrop>false</ScaleCrop>
  <LinksUpToDate>false</LinksUpToDate>
  <CharactersWithSpaces>2359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2025-08-26T01:57:14Z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