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3,409,567,807.00份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云南国际信托有限公司,华鑫国际信托有限公司,国投泰康信托有限公司,广东粤财信托有限公司,紫金信托有限责任公司,大家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1,234,171,013.52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1,426,926,534.09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283,707,072.37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506,477,783.18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截至报告期末，本产品Y30167份额净值为1.0118元，Y31167份额净值为1.0122元，Y32167份额净值为1.0126元，Y33167份额净值为1.0129元。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787,839,785.61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610,382,520.72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303,256,789.68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TYJKX202406060022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国投泰康信托远望76号集合资金信托计划（第3期）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200,508,896.00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200,492,798.00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170,490,205.20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中信信托.兴邦82号固定收益类信托计划（第2期）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150,391,260.00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ZCZQT202406050001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大家-长煜1号资产支持计划（第7期）优先级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120,040,650.41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中信信托.兴邦82号固定收益类信托计划（第2期）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东海县城市建设投资发展集团有限公司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粤财信托·瑞兴144号集合资金信托计划第1期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诸暨市交通基础设施建设有限公司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泰州市凯明城市建设有限公司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南银法巴消费金融有限公司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同业借款（南银法巴消金）20240611-01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同业借款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光大永明-安鑫1号资产支持计划（第8期）优先级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大家-长煜1号资产支持计划（第7期）优先级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泰州新区新农村建设投资发展有限公司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国投泰康信托远望76号集合资金信托计划（第3期）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宜兴市阳羡新农村建设有限公司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粤财信托·瑞兴132号集合资金信托计划（第1期-鑫逸稳167期）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0101050000001020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产品支付关联方托管费0.00元，支付关联方代销费156,617.04元。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