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1,427,073,997.00份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五矿国际信托有限公司,国投泰康信托有限公司,广东粤财信托有限公司,紫金信托有限责任公司,华融国际信托有限责任公司,中国对外经济贸易信托有限公司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978,516,582.36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341,427,370.17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128,996,154.57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截至报告期末，本产品Y30162份额净值为1.0151元，Y31162份额净值为1.0155元，Y32162份额净值为1.0160元。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407,995,608.89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315,859,533.67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粤财信托·瑞兴97号集合资金信托计划（第2期）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202,056,305.22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国投泰康信托.远望110号集合资金信托计划（第1期-鑫逸稳161/162期）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102,012,179.00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XTDKX202404260002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粤财信托·瑞兴105号集合资金信托计划（第3期）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100,244,994.00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70,147,553.70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65,934,657.07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国投泰康信托远望129号集合资金信托计划第3期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52,106,310.36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50,117,067.00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华融信托·苏欣7号集合资金信托计划（第1-A期）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40,095,037.20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粤财信托·瑞兴97号集合资金信托计划（第2期）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徐州经济技术开发区国有资产经营有限责任公司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国投泰康信托.远望110号集合资金信托计划（第1期-鑫逸稳161/162期）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泗阳县民康农村经济发展有限公司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华融信托·苏欣7号集合资金信托计划（第1-A期）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高邮市交通产业投资集团有限公司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无锡市太湖新城资产经营管理有限公司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粤财信托.瑞兴87号集合资金信托计划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江苏宜兴环保科技工业园国有控股有限公司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泰州东部新城控股集团有限公司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南京吉山国有资产运营集团有限公司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国投泰康信托远望129号集合资金信托计划第3期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扬中市绿洲产业投资集团有限公司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国投泰康信托远望152号集合资金信托计划第1期2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0101060000000973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产品支付关联方托管费0.00元，支付关联方代销费348,444.25元。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