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南银理财珠联璧合鑫逸稳一年159期封闭式公募人民币理财产品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南银理财珠联璧合鑫逸稳一年159期封闭式公募人民币理财产品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Z7003224000061（投资者可依据该编码在中国理财网www.chinawealth.com.cn查询理财产品相关信息）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2024年03月27日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1,326,404,013.00份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西部信托有限公司,中信信托有限责任公司,五矿国际信托有限公司,华鑫国际信托有限公司,广东粤财信托有限公司,紫金信托有限责任公司,中国对外经济贸易信托有限公司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Y30159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894,641,852.12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Y31159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369,526,848.43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Y32159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73,045,733.30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Y33159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11,905,059.58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活跃品种的交易机会。</w:t>
        <w:br w:type="textWrapping" w:clear="all"/>
      </w:r>
      <w:r>
        <w:rPr>
          <w:rFonts w:hint="eastAsia" w:ascii="方正仿宋简体" w:eastAsia="方正仿宋简体"/>
          <w:sz w:val="24"/>
          <w:szCs w:val="24"/>
        </w:rPr>
        <w:t>  操作方面，坚持稳健配置的管理思路产品，对于合意的信用债资产保持积极配置，保持适度杠杆以增厚票息收益。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截至报告期末，本产品Y30159份额净值为1.0169元，Y31159份额净值为1.0174元，Y32159份额净值为1.0179元，Y33159份额净值为1.0184元。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531,478,383.77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XTDKX202404170021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西部信托·瑞龙4号集合资金信托计划第1期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200,470,060.00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XTDKX202404020001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中信信托.兴邦73号固定收益类信托计划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150,304,105.50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XTDKX202404010002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150,284,944.50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149,881,425.95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XTDKX202404110021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华鑫信托·嘉盈和颜35号集合资金信托计划（第3期）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50,116,691.50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15,071,495.24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江苏句容投资集团有限公司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西部信托·瑞龙4号集合资金信托计划第1期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江苏句容投资集团有限公司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泰州市泰政交通投资有限公司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绍兴袍江经济技术开发区投资发展集团有限公司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中信信托.兴邦73号固定收益类信托计划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华鑫信托·嘉盈和颜35号集合资金信托计划（第3期）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0101000000000947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南京银行南京分行南银理财鑫逸稳一年159期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产品投资关联方作为管理人的资产管理产品交易金额5,000,000.00元。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产品支付关联方托管费0.00元，支付关联方代销费423,472.71元。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