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南银理财珠联璧合悦稳（最低持有28天）公募人民币理财产品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10,055,098,970.78份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厦门国际信托有限公司,国投泰康信托有限公司,广发基金管理有限公司,鑫元基金管理有限公司,鑫沅资产管理有限公司,陆家嘴国际信托有限公司,泰康资产管理有限责任公司,江苏省国际信托有限责任公司,光大永明资产管理股份有限公司,百年保险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7,651,506,423.92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1,836,135,464.81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12,002,607.81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984,124,045.29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截至报告期末，本产品A32009份额净值为1.0423元，A32010份额净值为1.0434元，A32029份额净值为1.0405元，A32032份额净值为1.0430元。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2,669,137,874.39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2,006,928,596.91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ZJQTT202204260021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江苏信托南银1号集合资金信托计划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1,139,285,056.58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652,392,227.44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457,708,390.53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352,215,344.35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264,443,475.65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XJCKX202406170005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浦发银行南京分行活期存款（约期）20240617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ZJQTT202407110003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厦门信托-金宁长瑞2号集合资金信托计划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181,066,446.19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010324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广发招财短债债券E</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150,127,011.01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0120030000001147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产品投资于关联方承销的证券交易金额250,019,345.20元。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产品投资关联方作为管理人的资产管理产品交易金额88,000,000.00元。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产品支付关联方托管费521,172.37元，支付关联方代销费2,163,653.57元。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