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南银理财珠联璧合悦稳（最低持有91天）公募人民币理财产品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南银理财珠联璧合悦稳（最低持有91天）公募人民币理财产品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Z7003222000021（投资者可依据该编码在中国理财网www.chinawealth.com.cn查询理财产品相关信息）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2022年03月30日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6,459,960,386.52份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中粮信托有限责任公司,厦门国际信托有限公司,国投泰康信托有限公司,鑫元基金管理有限公司,鑫沅资产管理有限公司,江苏省国际信托有限责任公司,上海光大证券资产管理有限公司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A32001</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5,146,703,788.45</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1.0695</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1.0695</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A32002</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1,763,819,200.46</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1.0722</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1.0722</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A32003</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3,223,397.11</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1.0680</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1.0680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2024年07月01日 - 2024年09月30日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A32001</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2024年07月01日 - 2024年09月30日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A32002</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2024年07月01日 - 2024年09月30日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A32003</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截至报告期末，本产品A32001份额净值为1.0695元，A32002份额净值为1.0722元，A32003份额净值为1.0680元。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930,815,928.63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ZJQTT202204260021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江苏信托南银1号集合资金信托计划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927,196,583.01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527,706,579.89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525,235,792.83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鑫元基金-鑫安利得57号集合资产管理计划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519,760,887.09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429,237,701.97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288,633,011.81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196,084,595.27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XJCKX202306070001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167,847,897.27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XJCKX202407110001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浦发银行南京分行活期存款（约期）20240711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0120080000000782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南银理财悦稳最低持有91天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产品投资关联方作为管理人的资产管理产品交易金额27,000,000.00元。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产品支付关联方托管费284,963.04元，支付关联方代销费1,819,786.82元。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