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南银理财珠联璧合悦稳（最低持有280天）公募人民币理财产品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南银理财珠联璧合悦稳（最低持有280天）公募人民币理财产品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Z7003222000028（投资者可依据该编码在中国理财网www.chinawealth.com.cn查询理财产品相关信息）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2022年04月27日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5,549,331,398.54份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中粮信托有限责任公司,太平资产管理有限公司,广发基金管理有限公司,鑫元基金管理有限公司,鹏华基金管理有限公司,陆家嘴国际信托有限公司,江苏省国际信托有限责任公司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4,793,620,934.70</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1.0795</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1.0795</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1,199,993,516.90</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1.0821</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1.0821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2024年07月01日 - 2024年09月30日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A32005</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2024年07月01日 - 2024年09月30日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A32006</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截至报告期末，本产品A32005份额净值为1.0795元，A32006份额净值为1.0821元。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2,329,252,395.24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1,871,238,957.55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772,967,826.83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XJCKX202312190022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347,494,004.10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DQCKX202405100003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中国银行定期存款20240510C</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ZJQTT202403110021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太平资产稳赢59号资管产品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76,036,395.49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DQCKX202405100002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中国银行定期存款20240510B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DQCKX202405170003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中国银行定期存款20240517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009532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广发景明中短债E</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49,995,169.55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015530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鹏华稳福中短债债券A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49,957,353.45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0120050000000806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南银理财悦稳最低持有280天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产品投资关联方作为管理人的资产管理产品交易金额690,000,000.00元。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产品支付关联方托管费288,907.94元，支付关联方代销费1,145,271.82元。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