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138,472,562.00份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国投泰康信托有限公司,重庆国际信托股份有限公司,中国对外经济贸易信托有限公司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报告期（2024年07月01日 - 2024年09月30日）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59,199,770.88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76,477,648.14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4,488,440.34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2024年3季度，债券市场整体呈现先扬后抑的走势，7月和8月利率整体震荡下行，9月中下旬随着对央行和财政政策的预期逐步升温，10Y国债收益率在迫近2%后开启反弹，反弹幅度达到20BP以上，三季度信用债相比利率债而言，走势相对较弱，主要是由于在上半年利率下行的过程中，等级利差和信用利差均压至历史极低位置，因此在8月开始信用债便开始与利率走势有所分化，截至9月末，信用利差和期限利差多数走阔20bp以上，回到相对合理的位置。</w:t>
        <w:br w:type="textWrapping" w:clear="all"/>
      </w:r>
      <w:r>
        <w:rPr>
          <w:rFonts w:hint="eastAsia" w:ascii="方正仿宋简体" w:eastAsia="方正仿宋简体"/>
          <w:sz w:val="24"/>
          <w:szCs w:val="24"/>
        </w:rPr>
        <w:t>  展望四季度，对债券市场并不悲观，从货币的角度来看，当前的经济基本面偏弱的格局并不支持货币政策出现转向，进一步降准降息值得期待，在品种上，可以关注一些存单和短期信用债调整后的机会，同时在阶段性也可以关注长端利率债的交易机会。</w:t>
        <w:br w:type="textWrapping" w:clear="all"/>
      </w:r>
      <w:r>
        <w:rPr>
          <w:rFonts w:hint="eastAsia" w:ascii="方正仿宋简体" w:eastAsia="方正仿宋简体"/>
          <w:sz w:val="24"/>
          <w:szCs w:val="24"/>
        </w:rPr>
        <w:t>  鑫逸稳两年期封闭式产品，今年三季度产品操作稳健偏中性。三季度债券市场波动放大，资金利率边际走高，利率债、存单、信用债等向下突破后出现一定回调，信用债信用利差、以及各品种利差开始走阔，债市在下至较低位置后迎来阶段性调整，风险也得一定的缓释。三季度产品运作过程中操作边际转向中性，追求收益的同时注重回撤控制，把握债券估值性价比相对较高的窗口期，积极寻找个券配置机会，提升组合静态，组合运作保持了适度的杠杆水平以增厚产品收益。市场机会把握方面，除了企业类信用品种外，主要关注并参与了银行资本补充工具、利率债等的投资机会，获得了不错的波段交易收益。下一阶段，产品将继续围绕稳健回报的收益目标进行操作，审慎精选票息品种，久期维持中性水平跟住市场，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平稳，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截至报告期末，本产品Y60074份额净值为1.0120元，Y61074份额净值为1.0123元，Y62074份额净值为1.0126元。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69,429,522.93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48,822,301.10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21,117,349.09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0101060000001053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产品支付关联方托管费0.00元，支付关联方代销费9,357.51元。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2024年09月30日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